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C5280" w14:textId="0EFD77B3" w:rsidR="00FF6C0D" w:rsidRDefault="00FF6C0D" w:rsidP="00FF6C0D">
      <w:pPr>
        <w:rPr>
          <w:rFonts w:ascii="Calibri" w:eastAsia="Times New Roman" w:hAnsi="Calibri" w:cs="Calibri"/>
          <w:sz w:val="22"/>
          <w:szCs w:val="22"/>
        </w:rPr>
      </w:pPr>
      <w:bookmarkStart w:id="0" w:name="_MailOriginal"/>
      <w:r>
        <w:rPr>
          <w:rFonts w:ascii="Calibri" w:eastAsia="Times New Roman" w:hAnsi="Calibri" w:cs="Calibri"/>
          <w:b/>
          <w:bCs/>
          <w:sz w:val="22"/>
          <w:szCs w:val="22"/>
        </w:rPr>
        <w:t>From:</w:t>
      </w:r>
      <w:r>
        <w:rPr>
          <w:rFonts w:ascii="Calibri" w:eastAsia="Times New Roman" w:hAnsi="Calibri" w:cs="Calibri"/>
          <w:sz w:val="22"/>
          <w:szCs w:val="22"/>
        </w:rPr>
        <w:t xml:space="preserve"> Steve McCord </w:t>
      </w:r>
      <w:r>
        <w:rPr>
          <w:rFonts w:ascii="Calibri" w:eastAsia="Times New Roman" w:hAnsi="Calibri" w:cs="Calibri"/>
          <w:sz w:val="22"/>
          <w:szCs w:val="22"/>
        </w:rPr>
        <w:br/>
      </w:r>
      <w:r>
        <w:rPr>
          <w:rFonts w:ascii="Calibri" w:eastAsia="Times New Roman" w:hAnsi="Calibri" w:cs="Calibri"/>
          <w:b/>
          <w:bCs/>
          <w:sz w:val="22"/>
          <w:szCs w:val="22"/>
        </w:rPr>
        <w:t>Sent:</w:t>
      </w:r>
      <w:r>
        <w:rPr>
          <w:rFonts w:ascii="Calibri" w:eastAsia="Times New Roman" w:hAnsi="Calibri" w:cs="Calibri"/>
          <w:sz w:val="22"/>
          <w:szCs w:val="22"/>
        </w:rPr>
        <w:t xml:space="preserve"> Wednesday, August 5, 2026 1:16 PM</w:t>
      </w:r>
      <w:r>
        <w:rPr>
          <w:rFonts w:ascii="Calibri" w:eastAsia="Times New Roman" w:hAnsi="Calibri" w:cs="Calibri"/>
          <w:sz w:val="22"/>
          <w:szCs w:val="22"/>
        </w:rPr>
        <w:br/>
      </w:r>
      <w:r>
        <w:rPr>
          <w:rFonts w:ascii="Calibri" w:eastAsia="Times New Roman" w:hAnsi="Calibri" w:cs="Calibri"/>
          <w:b/>
          <w:bCs/>
          <w:sz w:val="22"/>
          <w:szCs w:val="22"/>
        </w:rPr>
        <w:t>To:</w:t>
      </w:r>
      <w:r>
        <w:rPr>
          <w:rFonts w:ascii="Calibri" w:eastAsia="Times New Roman" w:hAnsi="Calibri" w:cs="Calibri"/>
          <w:sz w:val="22"/>
          <w:szCs w:val="22"/>
        </w:rPr>
        <w:t xml:space="preserve"> </w:t>
      </w:r>
      <w:proofErr w:type="spellStart"/>
      <w:r>
        <w:rPr>
          <w:rFonts w:ascii="Calibri" w:eastAsia="Times New Roman" w:hAnsi="Calibri" w:cs="Calibri"/>
          <w:sz w:val="22"/>
          <w:szCs w:val="22"/>
        </w:rPr>
        <w:t>naesb</w:t>
      </w:r>
      <w:proofErr w:type="spellEnd"/>
      <w:r>
        <w:rPr>
          <w:rFonts w:ascii="Calibri" w:eastAsia="Times New Roman" w:hAnsi="Calibri" w:cs="Calibri"/>
          <w:sz w:val="22"/>
          <w:szCs w:val="22"/>
        </w:rPr>
        <w:t xml:space="preserve"> &lt;naesb@naesb.org&gt;</w:t>
      </w:r>
      <w:r>
        <w:rPr>
          <w:rFonts w:ascii="Calibri" w:eastAsia="Times New Roman" w:hAnsi="Calibri" w:cs="Calibri"/>
          <w:sz w:val="22"/>
          <w:szCs w:val="22"/>
        </w:rPr>
        <w:br/>
      </w:r>
      <w:r>
        <w:rPr>
          <w:rFonts w:ascii="Calibri" w:eastAsia="Times New Roman" w:hAnsi="Calibri" w:cs="Calibri"/>
          <w:b/>
          <w:bCs/>
          <w:sz w:val="22"/>
          <w:szCs w:val="22"/>
        </w:rPr>
        <w:t>Subject:</w:t>
      </w:r>
      <w:r>
        <w:rPr>
          <w:rFonts w:ascii="Calibri" w:eastAsia="Times New Roman" w:hAnsi="Calibri" w:cs="Calibri"/>
          <w:sz w:val="22"/>
          <w:szCs w:val="22"/>
        </w:rPr>
        <w:t xml:space="preserve"> Re: [EXTERNAL] NAESB WGQ Business Practices Subcommittee Informal Comment Period – Due September 11, 2026</w:t>
      </w:r>
    </w:p>
    <w:p w14:paraId="25E5B08C" w14:textId="77777777" w:rsidR="00FF6C0D" w:rsidRDefault="00FF6C0D" w:rsidP="00FF6C0D"/>
    <w:p w14:paraId="77B2BF9A" w14:textId="77777777" w:rsidR="00FF6C0D" w:rsidRDefault="00FF6C0D" w:rsidP="00FF6C0D">
      <w:pPr>
        <w:rPr>
          <w:rFonts w:eastAsia="Times New Roman"/>
          <w:color w:val="000000"/>
        </w:rPr>
      </w:pPr>
      <w:r>
        <w:rPr>
          <w:rFonts w:eastAsia="Times New Roman"/>
          <w:color w:val="000000"/>
        </w:rPr>
        <w:t>It has come to my attention that our Canadian pipelines are using the Export Declaration data elements in their Nominations and apparently are the ones who requested this data element back in the 90's.  I would ask the subcommittee to remove the following data elements from the deprecation listing:</w:t>
      </w:r>
    </w:p>
    <w:p w14:paraId="1F6D617F" w14:textId="77777777" w:rsidR="00FF6C0D" w:rsidRDefault="00FF6C0D" w:rsidP="00FF6C0D">
      <w:pPr>
        <w:rPr>
          <w:rFonts w:eastAsia="Times New Roman"/>
          <w:color w:val="000000"/>
        </w:rPr>
      </w:pPr>
    </w:p>
    <w:tbl>
      <w:tblPr>
        <w:tblW w:w="10392" w:type="dxa"/>
        <w:tblCellMar>
          <w:left w:w="0" w:type="dxa"/>
          <w:right w:w="0" w:type="dxa"/>
        </w:tblCellMar>
        <w:tblLook w:val="04A0" w:firstRow="1" w:lastRow="0" w:firstColumn="1" w:lastColumn="0" w:noHBand="0" w:noVBand="1"/>
      </w:tblPr>
      <w:tblGrid>
        <w:gridCol w:w="413"/>
        <w:gridCol w:w="3651"/>
        <w:gridCol w:w="6328"/>
      </w:tblGrid>
      <w:tr w:rsidR="00FF6C0D" w14:paraId="66685D8F" w14:textId="77777777">
        <w:trPr>
          <w:trHeight w:val="720"/>
        </w:trPr>
        <w:tc>
          <w:tcPr>
            <w:tcW w:w="413" w:type="dxa"/>
            <w:tcMar>
              <w:top w:w="15" w:type="dxa"/>
              <w:left w:w="15" w:type="dxa"/>
              <w:bottom w:w="0" w:type="dxa"/>
              <w:right w:w="15" w:type="dxa"/>
            </w:tcMar>
            <w:vAlign w:val="center"/>
            <w:hideMark/>
          </w:tcPr>
          <w:p w14:paraId="42420400" w14:textId="77777777" w:rsidR="00FF6C0D" w:rsidRDefault="00FF6C0D">
            <w:pPr>
              <w:rPr>
                <w:rFonts w:eastAsia="Times New Roman"/>
                <w:color w:val="000000"/>
              </w:rPr>
            </w:pPr>
          </w:p>
        </w:tc>
        <w:tc>
          <w:tcPr>
            <w:tcW w:w="5206" w:type="dxa"/>
            <w:tcBorders>
              <w:top w:val="nil"/>
              <w:left w:val="single" w:sz="4" w:space="0" w:color="auto"/>
              <w:bottom w:val="double" w:sz="6" w:space="0" w:color="000000"/>
              <w:right w:val="single" w:sz="8" w:space="0" w:color="000000"/>
            </w:tcBorders>
            <w:tcMar>
              <w:top w:w="15" w:type="dxa"/>
              <w:left w:w="15" w:type="dxa"/>
              <w:bottom w:w="0" w:type="dxa"/>
              <w:right w:w="15" w:type="dxa"/>
            </w:tcMar>
            <w:vAlign w:val="center"/>
            <w:hideMark/>
          </w:tcPr>
          <w:p w14:paraId="79A05D0C" w14:textId="77777777" w:rsidR="00FF6C0D" w:rsidRDefault="00FF6C0D">
            <w:pPr>
              <w:rPr>
                <w:rFonts w:eastAsia="Times New Roman"/>
                <w:color w:val="000000"/>
              </w:rPr>
            </w:pPr>
            <w:r>
              <w:rPr>
                <w:rFonts w:eastAsia="Times New Roman"/>
                <w:b/>
                <w:bCs/>
                <w:color w:val="000000"/>
              </w:rPr>
              <w:t>Business Name (Abbreviation)</w:t>
            </w:r>
          </w:p>
        </w:tc>
        <w:tc>
          <w:tcPr>
            <w:tcW w:w="10117" w:type="dxa"/>
            <w:tcBorders>
              <w:top w:val="nil"/>
              <w:left w:val="nil"/>
              <w:bottom w:val="double" w:sz="6" w:space="0" w:color="000000"/>
              <w:right w:val="single" w:sz="8" w:space="0" w:color="000000"/>
            </w:tcBorders>
            <w:shd w:val="clear" w:color="auto" w:fill="DAF2D0"/>
            <w:tcMar>
              <w:top w:w="15" w:type="dxa"/>
              <w:left w:w="15" w:type="dxa"/>
              <w:bottom w:w="0" w:type="dxa"/>
              <w:right w:w="15" w:type="dxa"/>
            </w:tcMar>
            <w:vAlign w:val="center"/>
            <w:hideMark/>
          </w:tcPr>
          <w:p w14:paraId="181E8887" w14:textId="77777777" w:rsidR="00FF6C0D" w:rsidRDefault="00FF6C0D">
            <w:pPr>
              <w:rPr>
                <w:rFonts w:eastAsia="Times New Roman"/>
                <w:color w:val="000000"/>
              </w:rPr>
            </w:pPr>
            <w:r>
              <w:rPr>
                <w:rFonts w:eastAsia="Times New Roman"/>
                <w:b/>
                <w:bCs/>
                <w:color w:val="000000"/>
              </w:rPr>
              <w:t>Discussion Notes</w:t>
            </w:r>
          </w:p>
        </w:tc>
      </w:tr>
      <w:tr w:rsidR="00FF6C0D" w14:paraId="308188F7" w14:textId="77777777">
        <w:trPr>
          <w:trHeight w:val="375"/>
        </w:trPr>
        <w:tc>
          <w:tcPr>
            <w:tcW w:w="413" w:type="dxa"/>
            <w:noWrap/>
            <w:tcMar>
              <w:top w:w="15" w:type="dxa"/>
              <w:left w:w="15" w:type="dxa"/>
              <w:bottom w:w="0" w:type="dxa"/>
              <w:right w:w="15" w:type="dxa"/>
            </w:tcMar>
            <w:vAlign w:val="center"/>
            <w:hideMark/>
          </w:tcPr>
          <w:p w14:paraId="4CDA31D5" w14:textId="77777777" w:rsidR="00FF6C0D" w:rsidRDefault="00FF6C0D">
            <w:pPr>
              <w:rPr>
                <w:rFonts w:eastAsia="Times New Roman"/>
                <w:color w:val="000000"/>
              </w:rPr>
            </w:pPr>
            <w:r>
              <w:rPr>
                <w:rFonts w:eastAsia="Times New Roman"/>
                <w:color w:val="000000"/>
              </w:rPr>
              <w:t>X</w:t>
            </w:r>
          </w:p>
        </w:tc>
        <w:tc>
          <w:tcPr>
            <w:tcW w:w="5206" w:type="dxa"/>
            <w:tcBorders>
              <w:top w:val="nil"/>
              <w:left w:val="double" w:sz="6" w:space="0" w:color="000000"/>
              <w:bottom w:val="double" w:sz="6" w:space="0" w:color="000000"/>
              <w:right w:val="single" w:sz="8" w:space="0" w:color="000000"/>
            </w:tcBorders>
            <w:tcMar>
              <w:top w:w="15" w:type="dxa"/>
              <w:left w:w="15" w:type="dxa"/>
              <w:bottom w:w="0" w:type="dxa"/>
              <w:right w:w="15" w:type="dxa"/>
            </w:tcMar>
            <w:vAlign w:val="center"/>
            <w:hideMark/>
          </w:tcPr>
          <w:p w14:paraId="69B68E05" w14:textId="77777777" w:rsidR="00FF6C0D" w:rsidRDefault="00FF6C0D">
            <w:pPr>
              <w:rPr>
                <w:rFonts w:eastAsia="Times New Roman"/>
                <w:color w:val="000000"/>
              </w:rPr>
            </w:pPr>
            <w:r>
              <w:rPr>
                <w:rFonts w:eastAsia="Times New Roman"/>
                <w:color w:val="000000"/>
              </w:rPr>
              <w:t>Export Declaration Data</w:t>
            </w:r>
          </w:p>
        </w:tc>
        <w:tc>
          <w:tcPr>
            <w:tcW w:w="10117" w:type="dxa"/>
            <w:tcBorders>
              <w:top w:val="nil"/>
              <w:left w:val="nil"/>
              <w:bottom w:val="double" w:sz="6" w:space="0" w:color="000000"/>
              <w:right w:val="single" w:sz="8" w:space="0" w:color="000000"/>
            </w:tcBorders>
            <w:tcMar>
              <w:top w:w="15" w:type="dxa"/>
              <w:left w:w="15" w:type="dxa"/>
              <w:bottom w:w="0" w:type="dxa"/>
              <w:right w:w="15" w:type="dxa"/>
            </w:tcMar>
            <w:vAlign w:val="center"/>
            <w:hideMark/>
          </w:tcPr>
          <w:p w14:paraId="1B734743" w14:textId="77777777" w:rsidR="00FF6C0D" w:rsidRDefault="00FF6C0D">
            <w:pPr>
              <w:rPr>
                <w:rFonts w:eastAsia="Times New Roman"/>
                <w:color w:val="000000"/>
              </w:rPr>
            </w:pPr>
            <w:r>
              <w:rPr>
                <w:rFonts w:eastAsia="Times New Roman"/>
                <w:color w:val="000000"/>
              </w:rPr>
              <w:t> </w:t>
            </w:r>
          </w:p>
        </w:tc>
      </w:tr>
      <w:tr w:rsidR="00FF6C0D" w14:paraId="73E20A32" w14:textId="77777777">
        <w:trPr>
          <w:trHeight w:val="375"/>
        </w:trPr>
        <w:tc>
          <w:tcPr>
            <w:tcW w:w="413" w:type="dxa"/>
            <w:noWrap/>
            <w:tcMar>
              <w:top w:w="15" w:type="dxa"/>
              <w:left w:w="15" w:type="dxa"/>
              <w:bottom w:w="0" w:type="dxa"/>
              <w:right w:w="15" w:type="dxa"/>
            </w:tcMar>
            <w:vAlign w:val="center"/>
            <w:hideMark/>
          </w:tcPr>
          <w:p w14:paraId="74704B56" w14:textId="77777777" w:rsidR="00FF6C0D" w:rsidRDefault="00FF6C0D">
            <w:pPr>
              <w:rPr>
                <w:rFonts w:eastAsia="Times New Roman"/>
                <w:color w:val="000000"/>
              </w:rPr>
            </w:pPr>
            <w:r>
              <w:rPr>
                <w:rFonts w:eastAsia="Times New Roman"/>
                <w:color w:val="000000"/>
              </w:rPr>
              <w:t>X</w:t>
            </w:r>
          </w:p>
        </w:tc>
        <w:tc>
          <w:tcPr>
            <w:tcW w:w="5206" w:type="dxa"/>
            <w:tcBorders>
              <w:top w:val="nil"/>
              <w:left w:val="double" w:sz="6" w:space="0" w:color="000000"/>
              <w:bottom w:val="single" w:sz="8" w:space="0" w:color="000000"/>
              <w:right w:val="single" w:sz="8" w:space="0" w:color="000000"/>
            </w:tcBorders>
            <w:tcMar>
              <w:top w:w="15" w:type="dxa"/>
              <w:left w:w="270" w:type="dxa"/>
              <w:bottom w:w="0" w:type="dxa"/>
              <w:right w:w="15" w:type="dxa"/>
            </w:tcMar>
            <w:vAlign w:val="center"/>
            <w:hideMark/>
          </w:tcPr>
          <w:p w14:paraId="130719C2" w14:textId="77777777" w:rsidR="00FF6C0D" w:rsidRDefault="00FF6C0D">
            <w:pPr>
              <w:rPr>
                <w:rFonts w:eastAsia="Times New Roman"/>
                <w:color w:val="000000"/>
              </w:rPr>
            </w:pPr>
            <w:r>
              <w:rPr>
                <w:rFonts w:eastAsia="Times New Roman"/>
                <w:color w:val="000000"/>
              </w:rPr>
              <w:t>Export Declaration</w:t>
            </w:r>
          </w:p>
          <w:p w14:paraId="1273D02A" w14:textId="77777777" w:rsidR="00FF6C0D" w:rsidRDefault="00FF6C0D">
            <w:pPr>
              <w:rPr>
                <w:rFonts w:eastAsia="Times New Roman"/>
                <w:color w:val="000000"/>
              </w:rPr>
            </w:pPr>
            <w:r>
              <w:rPr>
                <w:rFonts w:eastAsia="Times New Roman"/>
                <w:color w:val="000000"/>
              </w:rPr>
              <w:t>(Exp Dec)</w:t>
            </w:r>
          </w:p>
        </w:tc>
        <w:tc>
          <w:tcPr>
            <w:tcW w:w="10117" w:type="dxa"/>
            <w:tcBorders>
              <w:top w:val="nil"/>
              <w:left w:val="nil"/>
              <w:bottom w:val="single" w:sz="8" w:space="0" w:color="000000"/>
              <w:right w:val="single" w:sz="8" w:space="0" w:color="000000"/>
            </w:tcBorders>
            <w:shd w:val="clear" w:color="auto" w:fill="DAF2D0"/>
            <w:tcMar>
              <w:top w:w="15" w:type="dxa"/>
              <w:left w:w="15" w:type="dxa"/>
              <w:bottom w:w="0" w:type="dxa"/>
              <w:right w:w="15" w:type="dxa"/>
            </w:tcMar>
            <w:vAlign w:val="center"/>
            <w:hideMark/>
          </w:tcPr>
          <w:p w14:paraId="0005A6F1" w14:textId="77777777" w:rsidR="00FF6C0D" w:rsidRDefault="00FF6C0D">
            <w:pPr>
              <w:rPr>
                <w:rFonts w:eastAsia="Times New Roman"/>
                <w:color w:val="000000"/>
              </w:rPr>
            </w:pPr>
            <w:r>
              <w:rPr>
                <w:rFonts w:eastAsia="Times New Roman"/>
                <w:color w:val="000000"/>
              </w:rPr>
              <w:t>Research</w:t>
            </w:r>
          </w:p>
        </w:tc>
      </w:tr>
      <w:tr w:rsidR="00FF6C0D" w14:paraId="2F4A837F" w14:textId="77777777">
        <w:trPr>
          <w:trHeight w:val="540"/>
        </w:trPr>
        <w:tc>
          <w:tcPr>
            <w:tcW w:w="413" w:type="dxa"/>
            <w:tcBorders>
              <w:top w:val="nil"/>
              <w:left w:val="nil"/>
              <w:bottom w:val="single" w:sz="8" w:space="0" w:color="auto"/>
              <w:right w:val="nil"/>
            </w:tcBorders>
            <w:noWrap/>
            <w:tcMar>
              <w:top w:w="15" w:type="dxa"/>
              <w:left w:w="15" w:type="dxa"/>
              <w:bottom w:w="0" w:type="dxa"/>
              <w:right w:w="15" w:type="dxa"/>
            </w:tcMar>
            <w:vAlign w:val="center"/>
            <w:hideMark/>
          </w:tcPr>
          <w:p w14:paraId="41AE052B" w14:textId="77777777" w:rsidR="00FF6C0D" w:rsidRDefault="00FF6C0D">
            <w:pPr>
              <w:rPr>
                <w:rFonts w:eastAsia="Times New Roman"/>
                <w:color w:val="000000"/>
              </w:rPr>
            </w:pPr>
            <w:r>
              <w:rPr>
                <w:rFonts w:eastAsia="Times New Roman"/>
                <w:color w:val="000000"/>
              </w:rPr>
              <w:t>X</w:t>
            </w:r>
          </w:p>
        </w:tc>
        <w:tc>
          <w:tcPr>
            <w:tcW w:w="5206" w:type="dxa"/>
            <w:tcBorders>
              <w:top w:val="nil"/>
              <w:left w:val="double" w:sz="6" w:space="0" w:color="000000"/>
              <w:bottom w:val="single" w:sz="8" w:space="0" w:color="auto"/>
              <w:right w:val="single" w:sz="8" w:space="0" w:color="000000"/>
            </w:tcBorders>
            <w:tcMar>
              <w:top w:w="15" w:type="dxa"/>
              <w:left w:w="270" w:type="dxa"/>
              <w:bottom w:w="0" w:type="dxa"/>
              <w:right w:w="15" w:type="dxa"/>
            </w:tcMar>
            <w:vAlign w:val="center"/>
            <w:hideMark/>
          </w:tcPr>
          <w:p w14:paraId="4C0924B4" w14:textId="77777777" w:rsidR="00FF6C0D" w:rsidRDefault="00FF6C0D">
            <w:pPr>
              <w:rPr>
                <w:rFonts w:eastAsia="Times New Roman"/>
                <w:color w:val="000000"/>
              </w:rPr>
            </w:pPr>
            <w:r>
              <w:rPr>
                <w:rFonts w:eastAsia="Times New Roman"/>
                <w:color w:val="000000"/>
              </w:rPr>
              <w:t>Export Declaration Description (Exp Dec Desc)</w:t>
            </w:r>
          </w:p>
        </w:tc>
        <w:tc>
          <w:tcPr>
            <w:tcW w:w="10117" w:type="dxa"/>
            <w:tcBorders>
              <w:top w:val="nil"/>
              <w:left w:val="nil"/>
              <w:bottom w:val="single" w:sz="8" w:space="0" w:color="auto"/>
              <w:right w:val="single" w:sz="8" w:space="0" w:color="000000"/>
            </w:tcBorders>
            <w:shd w:val="clear" w:color="auto" w:fill="DAF2D0"/>
            <w:tcMar>
              <w:top w:w="15" w:type="dxa"/>
              <w:left w:w="15" w:type="dxa"/>
              <w:bottom w:w="0" w:type="dxa"/>
              <w:right w:w="15" w:type="dxa"/>
            </w:tcMar>
            <w:vAlign w:val="center"/>
            <w:hideMark/>
          </w:tcPr>
          <w:p w14:paraId="15D1DE51" w14:textId="77777777" w:rsidR="00FF6C0D" w:rsidRDefault="00FF6C0D">
            <w:pPr>
              <w:rPr>
                <w:rFonts w:eastAsia="Times New Roman"/>
                <w:color w:val="000000"/>
              </w:rPr>
            </w:pPr>
            <w:r>
              <w:rPr>
                <w:rFonts w:eastAsia="Times New Roman"/>
                <w:color w:val="000000"/>
              </w:rPr>
              <w:t>Research</w:t>
            </w:r>
          </w:p>
        </w:tc>
      </w:tr>
    </w:tbl>
    <w:p w14:paraId="58A37035" w14:textId="77777777" w:rsidR="00FF6C0D" w:rsidRDefault="00FF6C0D" w:rsidP="00FF6C0D">
      <w:pPr>
        <w:rPr>
          <w:rFonts w:eastAsia="Times New Roman"/>
          <w:color w:val="000000"/>
        </w:rPr>
      </w:pPr>
    </w:p>
    <w:p w14:paraId="11148FA0" w14:textId="77777777" w:rsidR="00FF6C0D" w:rsidRDefault="00FF6C0D" w:rsidP="00FF6C0D">
      <w:pPr>
        <w:rPr>
          <w:rFonts w:eastAsia="Times New Roman"/>
          <w:color w:val="000000"/>
        </w:rPr>
      </w:pPr>
    </w:p>
    <w:p w14:paraId="5CD6B5F4" w14:textId="77777777" w:rsidR="00FF6C0D" w:rsidRDefault="00FF6C0D" w:rsidP="00FF6C0D">
      <w:pPr>
        <w:rPr>
          <w:rFonts w:eastAsia="Times New Roman"/>
          <w:color w:val="000000"/>
        </w:rPr>
      </w:pPr>
      <w:r>
        <w:rPr>
          <w:rFonts w:eastAsia="Times New Roman"/>
          <w:color w:val="000000"/>
        </w:rPr>
        <w:t>The data elements are being used in Canada so customers can indicate on the nomination whether the Canadian Goods and Services Tax is applicable on the export.  Please reach out if additional information is needed.</w:t>
      </w:r>
    </w:p>
    <w:p w14:paraId="340F40C3" w14:textId="77777777" w:rsidR="00FF6C0D" w:rsidRDefault="00FF6C0D" w:rsidP="00FF6C0D">
      <w:pPr>
        <w:rPr>
          <w:rFonts w:eastAsia="Times New Roman"/>
          <w:color w:val="000000"/>
        </w:rPr>
      </w:pPr>
    </w:p>
    <w:p w14:paraId="48343AA0" w14:textId="77777777" w:rsidR="00FF6C0D" w:rsidRDefault="00FF6C0D" w:rsidP="00FF6C0D">
      <w:pPr>
        <w:rPr>
          <w:rFonts w:eastAsia="Times New Roman"/>
          <w:color w:val="000000"/>
        </w:rPr>
      </w:pPr>
      <w:r>
        <w:rPr>
          <w:rFonts w:eastAsia="Times New Roman"/>
          <w:color w:val="000000"/>
        </w:rPr>
        <w:t>Thanks -</w:t>
      </w:r>
    </w:p>
    <w:p w14:paraId="16B9F866" w14:textId="77777777" w:rsidR="00FF6C0D" w:rsidRDefault="00FF6C0D" w:rsidP="00FF6C0D">
      <w:pPr>
        <w:rPr>
          <w:rFonts w:eastAsia="Times New Roman"/>
          <w:color w:val="000000"/>
        </w:rPr>
      </w:pPr>
      <w:r>
        <w:rPr>
          <w:rFonts w:eastAsia="Times New Roman"/>
          <w:color w:val="000000"/>
        </w:rPr>
        <w:t>Steve</w:t>
      </w:r>
    </w:p>
    <w:p w14:paraId="777B2696" w14:textId="77777777" w:rsidR="00FF6C0D" w:rsidRDefault="00FF6C0D" w:rsidP="00FF6C0D">
      <w:pPr>
        <w:rPr>
          <w:rFonts w:eastAsia="Times New Roman"/>
          <w:color w:val="000000"/>
        </w:rPr>
      </w:pPr>
    </w:p>
    <w:p w14:paraId="3A9142FF" w14:textId="77777777" w:rsidR="00FF6C0D" w:rsidRDefault="00FF6C0D" w:rsidP="00FF6C0D">
      <w:pPr>
        <w:pStyle w:val="elementtoproof"/>
      </w:pPr>
      <w:r>
        <w:rPr>
          <w:rFonts w:ascii="Calibri" w:hAnsi="Calibri" w:cs="Calibri"/>
          <w:b/>
          <w:bCs/>
          <w:color w:val="0D64EF"/>
          <w:sz w:val="20"/>
          <w:szCs w:val="20"/>
        </w:rPr>
        <w:t>Steven McCord</w:t>
      </w:r>
    </w:p>
    <w:p w14:paraId="71C3F38C" w14:textId="77777777" w:rsidR="00FF6C0D" w:rsidRDefault="00FF6C0D" w:rsidP="00FF6C0D">
      <w:pPr>
        <w:pStyle w:val="elementtoproof"/>
      </w:pPr>
      <w:r>
        <w:rPr>
          <w:rFonts w:ascii="Calibri" w:hAnsi="Calibri" w:cs="Calibri"/>
          <w:b/>
          <w:bCs/>
          <w:color w:val="333333"/>
          <w:sz w:val="18"/>
          <w:szCs w:val="18"/>
        </w:rPr>
        <w:t>Manager, NAESB, Compliance and Reporting</w:t>
      </w:r>
    </w:p>
    <w:p w14:paraId="05632392" w14:textId="77777777" w:rsidR="00FF6C0D" w:rsidRDefault="00FF6C0D" w:rsidP="00FF6C0D">
      <w:pPr>
        <w:rPr>
          <w:rFonts w:eastAsia="Times New Roman"/>
          <w:color w:val="000000"/>
          <w:sz w:val="20"/>
          <w:szCs w:val="20"/>
        </w:rPr>
      </w:pPr>
      <w:r>
        <w:rPr>
          <w:rFonts w:eastAsia="Times New Roman"/>
          <w:color w:val="000000"/>
          <w:sz w:val="20"/>
          <w:szCs w:val="20"/>
        </w:rPr>
        <w:t>Commercial Operations USPL</w:t>
      </w:r>
    </w:p>
    <w:p w14:paraId="4758461F" w14:textId="77777777" w:rsidR="00FF6C0D" w:rsidRDefault="00FF6C0D" w:rsidP="00FF6C0D">
      <w:pPr>
        <w:rPr>
          <w:rFonts w:ascii="Calibri" w:eastAsia="Times New Roman" w:hAnsi="Calibri" w:cs="Calibri"/>
          <w:color w:val="333333"/>
          <w:sz w:val="18"/>
          <w:szCs w:val="18"/>
        </w:rPr>
      </w:pPr>
    </w:p>
    <w:p w14:paraId="363B4694" w14:textId="77777777" w:rsidR="00FF6C0D" w:rsidRDefault="00FF6C0D" w:rsidP="00FF6C0D">
      <w:pPr>
        <w:rPr>
          <w:rFonts w:ascii="Calibri" w:eastAsia="Times New Roman" w:hAnsi="Calibri" w:cs="Calibri"/>
          <w:color w:val="333333"/>
          <w:sz w:val="2"/>
          <w:szCs w:val="2"/>
        </w:rPr>
      </w:pPr>
      <w:r>
        <w:rPr>
          <w:rFonts w:ascii="Calibri" w:eastAsia="Times New Roman" w:hAnsi="Calibri" w:cs="Calibri"/>
          <w:color w:val="333333"/>
          <w:sz w:val="2"/>
          <w:szCs w:val="2"/>
        </w:rPr>
        <w:t> </w:t>
      </w:r>
    </w:p>
    <w:p w14:paraId="1B0F7EE6" w14:textId="2B2B95A6" w:rsidR="00FF6C0D" w:rsidRDefault="00FF6C0D" w:rsidP="00FF6C0D">
      <w:pPr>
        <w:pStyle w:val="elementtoproof"/>
        <w:spacing w:after="200"/>
      </w:pPr>
      <w:r>
        <w:rPr>
          <w:rFonts w:ascii="Calibri" w:hAnsi="Calibri" w:cs="Calibri"/>
          <w:noProof/>
          <w:color w:val="0D64EF"/>
          <w:sz w:val="16"/>
          <w:szCs w:val="16"/>
        </w:rPr>
        <w:drawing>
          <wp:inline distT="0" distB="0" distL="0" distR="0" wp14:anchorId="5ED160DF" wp14:editId="237A701C">
            <wp:extent cx="1181100" cy="236220"/>
            <wp:effectExtent l="0" t="0" r="0" b="0"/>
            <wp:docPr id="554491656"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1100" cy="236220"/>
                    </a:xfrm>
                    <a:prstGeom prst="rect">
                      <a:avLst/>
                    </a:prstGeom>
                    <a:noFill/>
                    <a:ln>
                      <a:noFill/>
                    </a:ln>
                  </pic:spPr>
                </pic:pic>
              </a:graphicData>
            </a:graphic>
          </wp:inline>
        </w:drawing>
      </w:r>
    </w:p>
    <w:p w14:paraId="53976A96" w14:textId="400C1FC3" w:rsidR="00FF6C0D" w:rsidRDefault="00FF6C0D" w:rsidP="00FF6C0D">
      <w:pPr>
        <w:pStyle w:val="elementtoproof"/>
        <w:rPr>
          <w:rFonts w:eastAsia="Times New Roman"/>
        </w:rPr>
      </w:pPr>
      <w:r>
        <w:t> </w:t>
      </w:r>
      <w:r>
        <w:rPr>
          <w:rFonts w:eastAsia="Times New Roman"/>
        </w:rPr>
        <w:pict w14:anchorId="217E3616">
          <v:rect id="_x0000_i1026" style="width:458.65pt;height:1.2pt" o:hrpct="980" o:hralign="center" o:hrstd="t" o:hr="t" fillcolor="#a0a0a0" stroked="f"/>
        </w:pict>
      </w:r>
    </w:p>
    <w:p w14:paraId="72E0D1D5" w14:textId="2773E4FA" w:rsidR="00FF6C0D" w:rsidRDefault="00FF6C0D" w:rsidP="00FF6C0D">
      <w:pPr>
        <w:outlineLvl w:val="0"/>
        <w:rPr>
          <w:rFonts w:eastAsia="Times New Roman"/>
        </w:rPr>
      </w:pPr>
      <w:r>
        <w:rPr>
          <w:rFonts w:ascii="Calibri" w:eastAsia="Times New Roman" w:hAnsi="Calibri" w:cs="Calibri"/>
          <w:b/>
          <w:bCs/>
          <w:color w:val="000000"/>
          <w:sz w:val="22"/>
          <w:szCs w:val="22"/>
        </w:rPr>
        <w:t>From:</w:t>
      </w:r>
      <w:r>
        <w:rPr>
          <w:rFonts w:ascii="Calibri" w:eastAsia="Times New Roman" w:hAnsi="Calibri" w:cs="Calibri"/>
          <w:color w:val="000000"/>
          <w:sz w:val="22"/>
          <w:szCs w:val="22"/>
        </w:rPr>
        <w:t xml:space="preserve"> </w:t>
      </w:r>
      <w:hyperlink r:id="rId5" w:history="1">
        <w:r>
          <w:rPr>
            <w:rStyle w:val="Hyperlink"/>
            <w:rFonts w:ascii="Calibri" w:eastAsia="Times New Roman" w:hAnsi="Calibri" w:cs="Calibri"/>
            <w:sz w:val="22"/>
            <w:szCs w:val="22"/>
          </w:rPr>
          <w:t>naesbmail@naesb.org</w:t>
        </w:r>
      </w:hyperlink>
      <w:r>
        <w:rPr>
          <w:rFonts w:ascii="Calibri" w:eastAsia="Times New Roman" w:hAnsi="Calibri" w:cs="Calibri"/>
          <w:color w:val="000000"/>
          <w:sz w:val="22"/>
          <w:szCs w:val="22"/>
        </w:rPr>
        <w:t xml:space="preserve"> &lt;</w:t>
      </w:r>
      <w:hyperlink r:id="rId6" w:history="1">
        <w:r>
          <w:rPr>
            <w:rStyle w:val="Hyperlink"/>
            <w:rFonts w:ascii="Calibri" w:eastAsia="Times New Roman" w:hAnsi="Calibri" w:cs="Calibri"/>
            <w:sz w:val="22"/>
            <w:szCs w:val="22"/>
          </w:rPr>
          <w:t>naesbmail@naesb.org</w:t>
        </w:r>
      </w:hyperlink>
      <w:r>
        <w:rPr>
          <w:rFonts w:ascii="Calibri" w:eastAsia="Times New Roman" w:hAnsi="Calibri" w:cs="Calibri"/>
          <w:color w:val="000000"/>
          <w:sz w:val="22"/>
          <w:szCs w:val="22"/>
        </w:rPr>
        <w:t>&gt;</w:t>
      </w:r>
      <w:r>
        <w:rPr>
          <w:rFonts w:ascii="Calibri" w:eastAsia="Times New Roman" w:hAnsi="Calibri" w:cs="Calibri"/>
          <w:color w:val="000000"/>
          <w:sz w:val="22"/>
          <w:szCs w:val="22"/>
        </w:rPr>
        <w:br/>
      </w:r>
      <w:r>
        <w:rPr>
          <w:rFonts w:ascii="Calibri" w:eastAsia="Times New Roman" w:hAnsi="Calibri" w:cs="Calibri"/>
          <w:b/>
          <w:bCs/>
          <w:color w:val="000000"/>
          <w:sz w:val="22"/>
          <w:szCs w:val="22"/>
        </w:rPr>
        <w:t>Sent:</w:t>
      </w:r>
      <w:r>
        <w:rPr>
          <w:rFonts w:ascii="Calibri" w:eastAsia="Times New Roman" w:hAnsi="Calibri" w:cs="Calibri"/>
          <w:color w:val="000000"/>
          <w:sz w:val="22"/>
          <w:szCs w:val="22"/>
        </w:rPr>
        <w:t xml:space="preserve"> Friday, July 31, 2026 1:04 PM</w:t>
      </w:r>
      <w:r>
        <w:rPr>
          <w:rFonts w:ascii="Calibri" w:eastAsia="Times New Roman" w:hAnsi="Calibri" w:cs="Calibri"/>
          <w:color w:val="000000"/>
          <w:sz w:val="22"/>
          <w:szCs w:val="22"/>
        </w:rPr>
        <w:br/>
      </w:r>
      <w:r>
        <w:rPr>
          <w:rFonts w:ascii="Calibri" w:eastAsia="Times New Roman" w:hAnsi="Calibri" w:cs="Calibri"/>
          <w:b/>
          <w:bCs/>
          <w:color w:val="000000"/>
          <w:sz w:val="22"/>
          <w:szCs w:val="22"/>
        </w:rPr>
        <w:t>To:</w:t>
      </w:r>
      <w:r>
        <w:rPr>
          <w:rFonts w:ascii="Calibri" w:eastAsia="Times New Roman" w:hAnsi="Calibri" w:cs="Calibri"/>
          <w:color w:val="000000"/>
          <w:sz w:val="22"/>
          <w:szCs w:val="22"/>
        </w:rPr>
        <w:t xml:space="preserve"> Steve McCord </w:t>
      </w:r>
      <w:r>
        <w:rPr>
          <w:rFonts w:ascii="Calibri" w:eastAsia="Times New Roman" w:hAnsi="Calibri" w:cs="Calibri"/>
          <w:color w:val="000000"/>
          <w:sz w:val="22"/>
          <w:szCs w:val="22"/>
        </w:rPr>
        <w:t xml:space="preserve"> </w:t>
      </w:r>
      <w:r>
        <w:rPr>
          <w:rFonts w:ascii="Calibri" w:eastAsia="Times New Roman" w:hAnsi="Calibri" w:cs="Calibri"/>
          <w:color w:val="000000"/>
          <w:sz w:val="22"/>
          <w:szCs w:val="22"/>
        </w:rPr>
        <w:br/>
      </w:r>
      <w:r>
        <w:rPr>
          <w:rFonts w:ascii="Calibri" w:eastAsia="Times New Roman" w:hAnsi="Calibri" w:cs="Calibri"/>
          <w:b/>
          <w:bCs/>
          <w:color w:val="000000"/>
          <w:sz w:val="22"/>
          <w:szCs w:val="22"/>
        </w:rPr>
        <w:t>Subject:</w:t>
      </w:r>
      <w:r>
        <w:rPr>
          <w:rFonts w:ascii="Calibri" w:eastAsia="Times New Roman" w:hAnsi="Calibri" w:cs="Calibri"/>
          <w:color w:val="000000"/>
          <w:sz w:val="22"/>
          <w:szCs w:val="22"/>
        </w:rPr>
        <w:t xml:space="preserve"> [EXTERNAL] NAESB WGQ Business Practices Subcommittee Informal Comment Period – Due September 11, 2026</w:t>
      </w:r>
      <w:r>
        <w:rPr>
          <w:rFonts w:eastAsia="Times New Roman"/>
        </w:rPr>
        <w:t xml:space="preserve"> </w:t>
      </w:r>
    </w:p>
    <w:p w14:paraId="562BE180" w14:textId="183AC91B" w:rsidR="00FF6C0D" w:rsidRDefault="00FF6C0D" w:rsidP="00FF6C0D">
      <w:pPr>
        <w:rPr>
          <w:rFonts w:eastAsia="Times New Roman"/>
        </w:rPr>
      </w:pPr>
      <w:r>
        <w:rPr>
          <w:rFonts w:eastAsia="Times New Roman"/>
          <w:sz w:val="22"/>
          <w:szCs w:val="22"/>
        </w:rPr>
        <w:t>________________________________</w:t>
      </w:r>
      <w:r>
        <w:rPr>
          <w:rFonts w:eastAsia="Times New Roman"/>
          <w:sz w:val="22"/>
          <w:szCs w:val="22"/>
        </w:rPr>
        <w:br/>
      </w:r>
      <w:r>
        <w:rPr>
          <w:rFonts w:eastAsia="Times New Roman"/>
          <w:sz w:val="22"/>
          <w:szCs w:val="22"/>
        </w:rPr>
        <w:br/>
        <w:t>Dear NAESB WGQ Members and Interested Industry Parties,</w:t>
      </w:r>
      <w:r>
        <w:rPr>
          <w:rFonts w:eastAsia="Times New Roman"/>
          <w:sz w:val="22"/>
          <w:szCs w:val="22"/>
        </w:rPr>
        <w:br/>
      </w:r>
      <w:r>
        <w:rPr>
          <w:rFonts w:eastAsia="Times New Roman"/>
          <w:sz w:val="22"/>
          <w:szCs w:val="22"/>
        </w:rPr>
        <w:br/>
        <w:t xml:space="preserve">Through this request for informal comment, the WGQ Business Practices Subcommittee (BPS) is </w:t>
      </w:r>
      <w:r>
        <w:rPr>
          <w:rFonts w:eastAsia="Times New Roman"/>
          <w:sz w:val="22"/>
          <w:szCs w:val="22"/>
        </w:rPr>
        <w:lastRenderedPageBreak/>
        <w:t>seeking feedback from all interested parties concerning revisions to the WGQ Nominations Standards to deprecate existing data elements that are no longer used by the industry.  This is being done as part of 2026 WGQ Annual Plan Item 4.a and 4.b, and the subcommittee is requesting comments regarding the usage of certain data elements identified in the work paper that can be found through the following hyperlink:</w:t>
      </w:r>
      <w:r>
        <w:rPr>
          <w:rFonts w:eastAsia="Times New Roman"/>
          <w:sz w:val="22"/>
          <w:szCs w:val="22"/>
        </w:rPr>
        <w:br/>
      </w:r>
      <w:hyperlink r:id="rId7" w:history="1">
        <w:r>
          <w:rPr>
            <w:rStyle w:val="Hyperlink"/>
            <w:rFonts w:eastAsia="Times New Roman"/>
            <w:szCs w:val="22"/>
          </w:rPr>
          <w:t>https://nam11.safelinks.protection.outlook.com/?url=https%3A%2F%2Fnaesb.org%2Fmember_login_check.asp%3Fdoc%3Dwgq_bps073126reqcom_a1.xlsx&amp;data=05%7C02%7Csteven_mccord%40tcenergy.com%7Cc25c115b0e3b4ee1b11808deef2e44d4%7Cb0cee36c225c4f48b60b921f444b5698%7C0%7C0%7C639211179186425164%7CUnknown%7CTWFpbGZsb3d8eyJFbXB0eU1hcGkiOnRydWUsIlYiOiIwLjAuMDAwMCIsIlAiOiJXaW4zMiIsIkFOIjoiTWFpbCIsIldUIjoyfQ%3D%3D%7C0%7C%7C%7C&amp;sdata=3hoeVUcMf4vZHzwxhJz5oi%2BY3XTyDbIdh6TlTiWvh3s%3D&amp;reserved=0</w:t>
        </w:r>
      </w:hyperlink>
      <w:r>
        <w:rPr>
          <w:rFonts w:eastAsia="Times New Roman"/>
          <w:sz w:val="22"/>
          <w:szCs w:val="22"/>
        </w:rPr>
        <w:br/>
      </w:r>
      <w:r>
        <w:rPr>
          <w:rFonts w:eastAsia="Times New Roman"/>
          <w:sz w:val="22"/>
          <w:szCs w:val="22"/>
        </w:rPr>
        <w:br/>
        <w:t>This work paper contains copyright protected language and is therefore accessible by members through NAESB member homepage access; however, non-members can access the document by contacting the NAESB Office to seek access through a copyright waiver.</w:t>
      </w:r>
      <w:r>
        <w:rPr>
          <w:rFonts w:eastAsia="Times New Roman"/>
          <w:sz w:val="22"/>
          <w:szCs w:val="22"/>
        </w:rPr>
        <w:br/>
      </w:r>
      <w:r>
        <w:rPr>
          <w:rFonts w:eastAsia="Times New Roman"/>
          <w:sz w:val="22"/>
          <w:szCs w:val="22"/>
        </w:rPr>
        <w:br/>
        <w:t>If your company is utilizing any of the data elements marked for possible deprecation in the work paper, please provide substantive comments notifying the subcommittee of their use, including how they are being used, whether their use is essential or discretionary, and any potential implications if they are removed. The responses received will be reviewed by the subcommittee to inform decisions on whether these data elements should be removed, replaced, or updated and make any corresponding changes to the standards.</w:t>
      </w:r>
      <w:r>
        <w:rPr>
          <w:rFonts w:eastAsia="Times New Roman"/>
          <w:sz w:val="22"/>
          <w:szCs w:val="22"/>
        </w:rPr>
        <w:br/>
      </w:r>
      <w:r>
        <w:rPr>
          <w:rFonts w:eastAsia="Times New Roman"/>
          <w:sz w:val="22"/>
          <w:szCs w:val="22"/>
        </w:rPr>
        <w:br/>
        <w:t>Your response is requested by the close of business on Friday, September 11, 2026.  Please submit comments to the NAESB office (</w:t>
      </w:r>
      <w:hyperlink r:id="rId8" w:history="1">
        <w:r>
          <w:rPr>
            <w:rStyle w:val="Hyperlink"/>
            <w:rFonts w:eastAsia="Times New Roman"/>
            <w:sz w:val="22"/>
            <w:szCs w:val="22"/>
          </w:rPr>
          <w:t>naesb@naesb.org</w:t>
        </w:r>
      </w:hyperlink>
      <w:r>
        <w:rPr>
          <w:rFonts w:eastAsia="Times New Roman"/>
          <w:sz w:val="22"/>
          <w:szCs w:val="22"/>
        </w:rPr>
        <w:t>). All interested parties, regardless of membership status within NAESB, are eligible to submit informal comments for consideration.</w:t>
      </w:r>
      <w:r>
        <w:rPr>
          <w:rFonts w:eastAsia="Times New Roman"/>
          <w:sz w:val="22"/>
          <w:szCs w:val="22"/>
        </w:rPr>
        <w:br/>
      </w:r>
      <w:r>
        <w:rPr>
          <w:rFonts w:eastAsia="Times New Roman"/>
          <w:sz w:val="22"/>
          <w:szCs w:val="22"/>
        </w:rPr>
        <w:br/>
        <w:t>All comments will be reviewed by the WGQ BPS during its next meeting scheduled in mid-September. An agenda for this meeting will be posted once available. If you have any questions or need further assistance, feel free to contact the NAESB Office at 713-356-0060.</w:t>
      </w:r>
      <w:r>
        <w:rPr>
          <w:rFonts w:eastAsia="Times New Roman"/>
          <w:sz w:val="22"/>
          <w:szCs w:val="22"/>
        </w:rPr>
        <w:br/>
      </w:r>
      <w:r>
        <w:rPr>
          <w:rFonts w:eastAsia="Times New Roman"/>
          <w:sz w:val="22"/>
          <w:szCs w:val="22"/>
        </w:rPr>
        <w:br/>
        <w:t>Best regards,</w:t>
      </w:r>
      <w:r>
        <w:rPr>
          <w:rFonts w:eastAsia="Times New Roman"/>
          <w:sz w:val="22"/>
          <w:szCs w:val="22"/>
        </w:rPr>
        <w:br/>
        <w:t>NAESB office</w:t>
      </w:r>
      <w:r>
        <w:rPr>
          <w:rFonts w:eastAsia="Times New Roman"/>
          <w:sz w:val="22"/>
          <w:szCs w:val="22"/>
        </w:rPr>
        <w:br/>
        <w:t>North American Energy Standards Board</w:t>
      </w:r>
      <w:r>
        <w:rPr>
          <w:rFonts w:eastAsia="Times New Roman"/>
          <w:sz w:val="22"/>
          <w:szCs w:val="22"/>
        </w:rPr>
        <w:br/>
        <w:t>1415 Louisiana, Suite 3460, Houston, Texas 77002</w:t>
      </w:r>
      <w:r>
        <w:rPr>
          <w:rFonts w:eastAsia="Times New Roman"/>
          <w:sz w:val="22"/>
          <w:szCs w:val="22"/>
        </w:rPr>
        <w:br/>
        <w:t xml:space="preserve">713-356-0060 (phone), 713-356-0067 (fax) </w:t>
      </w:r>
      <w:hyperlink r:id="rId9" w:history="1">
        <w:r>
          <w:rPr>
            <w:rStyle w:val="Hyperlink"/>
            <w:rFonts w:eastAsia="Times New Roman"/>
            <w:sz w:val="22"/>
            <w:szCs w:val="22"/>
          </w:rPr>
          <w:t>naesb@naesb.org</w:t>
        </w:r>
      </w:hyperlink>
      <w:r>
        <w:rPr>
          <w:rFonts w:eastAsia="Times New Roman"/>
          <w:sz w:val="22"/>
          <w:szCs w:val="22"/>
        </w:rPr>
        <w:br/>
      </w:r>
      <w:r>
        <w:rPr>
          <w:rFonts w:eastAsia="Times New Roman"/>
          <w:sz w:val="22"/>
          <w:szCs w:val="22"/>
        </w:rPr>
        <w:br/>
      </w:r>
      <w:r>
        <w:rPr>
          <w:rFonts w:eastAsia="Times New Roman"/>
          <w:sz w:val="22"/>
          <w:szCs w:val="22"/>
        </w:rPr>
        <w:br/>
      </w:r>
      <w:bookmarkEnd w:id="0"/>
    </w:p>
    <w:p w14:paraId="357CECF7" w14:textId="77777777" w:rsidR="000A68CE" w:rsidRDefault="000A68CE"/>
    <w:sectPr w:rsidR="000A6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C0D"/>
    <w:rsid w:val="000A68CE"/>
    <w:rsid w:val="00550F83"/>
    <w:rsid w:val="00EA5781"/>
    <w:rsid w:val="00FF6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D1FB0"/>
  <w15:chartTrackingRefBased/>
  <w15:docId w15:val="{4E586059-B04C-4C40-97A7-24383555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0D"/>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FF6C0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F6C0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F6C0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F6C0D"/>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F6C0D"/>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F6C0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F6C0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F6C0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F6C0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C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6C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6C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6C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6C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6C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C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C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C0D"/>
    <w:rPr>
      <w:rFonts w:eastAsiaTheme="majorEastAsia" w:cstheme="majorBidi"/>
      <w:color w:val="272727" w:themeColor="text1" w:themeTint="D8"/>
    </w:rPr>
  </w:style>
  <w:style w:type="paragraph" w:styleId="Title">
    <w:name w:val="Title"/>
    <w:basedOn w:val="Normal"/>
    <w:next w:val="Normal"/>
    <w:link w:val="TitleChar"/>
    <w:uiPriority w:val="10"/>
    <w:qFormat/>
    <w:rsid w:val="00FF6C0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F6C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C0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F6C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C0D"/>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F6C0D"/>
    <w:rPr>
      <w:i/>
      <w:iCs/>
      <w:color w:val="404040" w:themeColor="text1" w:themeTint="BF"/>
    </w:rPr>
  </w:style>
  <w:style w:type="paragraph" w:styleId="ListParagraph">
    <w:name w:val="List Paragraph"/>
    <w:basedOn w:val="Normal"/>
    <w:uiPriority w:val="34"/>
    <w:qFormat/>
    <w:rsid w:val="00FF6C0D"/>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FF6C0D"/>
    <w:rPr>
      <w:i/>
      <w:iCs/>
      <w:color w:val="2F5496" w:themeColor="accent1" w:themeShade="BF"/>
    </w:rPr>
  </w:style>
  <w:style w:type="paragraph" w:styleId="IntenseQuote">
    <w:name w:val="Intense Quote"/>
    <w:basedOn w:val="Normal"/>
    <w:next w:val="Normal"/>
    <w:link w:val="IntenseQuoteChar"/>
    <w:uiPriority w:val="30"/>
    <w:qFormat/>
    <w:rsid w:val="00FF6C0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F6C0D"/>
    <w:rPr>
      <w:i/>
      <w:iCs/>
      <w:color w:val="2F5496" w:themeColor="accent1" w:themeShade="BF"/>
    </w:rPr>
  </w:style>
  <w:style w:type="character" w:styleId="IntenseReference">
    <w:name w:val="Intense Reference"/>
    <w:basedOn w:val="DefaultParagraphFont"/>
    <w:uiPriority w:val="32"/>
    <w:qFormat/>
    <w:rsid w:val="00FF6C0D"/>
    <w:rPr>
      <w:b/>
      <w:bCs/>
      <w:smallCaps/>
      <w:color w:val="2F5496" w:themeColor="accent1" w:themeShade="BF"/>
      <w:spacing w:val="5"/>
    </w:rPr>
  </w:style>
  <w:style w:type="character" w:styleId="Hyperlink">
    <w:name w:val="Hyperlink"/>
    <w:basedOn w:val="DefaultParagraphFont"/>
    <w:uiPriority w:val="99"/>
    <w:semiHidden/>
    <w:unhideWhenUsed/>
    <w:rsid w:val="00FF6C0D"/>
    <w:rPr>
      <w:color w:val="0000FF"/>
      <w:u w:val="single"/>
    </w:rPr>
  </w:style>
  <w:style w:type="paragraph" w:styleId="NormalWeb">
    <w:name w:val="Normal (Web)"/>
    <w:basedOn w:val="Normal"/>
    <w:uiPriority w:val="99"/>
    <w:semiHidden/>
    <w:unhideWhenUsed/>
    <w:rsid w:val="00FF6C0D"/>
  </w:style>
  <w:style w:type="paragraph" w:customStyle="1" w:styleId="elementtoproof">
    <w:name w:val="elementtoproof"/>
    <w:basedOn w:val="Normal"/>
    <w:uiPriority w:val="99"/>
    <w:semiHidden/>
    <w:rsid w:val="00FF6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esb@naesb.org" TargetMode="External"/><Relationship Id="rId3" Type="http://schemas.openxmlformats.org/officeDocument/2006/relationships/webSettings" Target="webSettings.xml"/><Relationship Id="rId7" Type="http://schemas.openxmlformats.org/officeDocument/2006/relationships/hyperlink" Target="https://naesb.org/member_login_check.asp?doc=wgq_bps073126reqcom_a1.xls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esbmail@naesb.org" TargetMode="External"/><Relationship Id="rId11" Type="http://schemas.openxmlformats.org/officeDocument/2006/relationships/theme" Target="theme/theme1.xml"/><Relationship Id="rId5" Type="http://schemas.openxmlformats.org/officeDocument/2006/relationships/hyperlink" Target="mailto:naesbmail@naesb.org"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naesb@naes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602</Words>
  <Characters>3432</Characters>
  <Application>Microsoft Office Word</Application>
  <DocSecurity>0</DocSecurity>
  <Lines>28</Lines>
  <Paragraphs>8</Paragraphs>
  <ScaleCrop>false</ScaleCrop>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Gonzales</dc:creator>
  <cp:keywords/>
  <dc:description/>
  <cp:lastModifiedBy>Chris Gonzales</cp:lastModifiedBy>
  <cp:revision>1</cp:revision>
  <dcterms:created xsi:type="dcterms:W3CDTF">2026-08-19T16:22:00Z</dcterms:created>
  <dcterms:modified xsi:type="dcterms:W3CDTF">2026-08-19T16:24:00Z</dcterms:modified>
</cp:coreProperties>
</file>