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CC0E2" w14:textId="77777777" w:rsidR="00DB3043" w:rsidRPr="009E07F2" w:rsidRDefault="00DB3043">
      <w:pPr>
        <w:pStyle w:val="DefaultText"/>
        <w:rPr>
          <w:rFonts w:ascii="Arial" w:hAnsi="Arial" w:cs="Arial"/>
          <w:b/>
          <w:sz w:val="20"/>
        </w:rPr>
      </w:pPr>
    </w:p>
    <w:p w14:paraId="3B604A63" w14:textId="77777777" w:rsidR="00193F4D" w:rsidRPr="009E07F2" w:rsidRDefault="00193F4D" w:rsidP="00193F4D">
      <w:pPr>
        <w:pStyle w:val="DefaultText"/>
        <w:spacing w:before="360" w:after="120"/>
        <w:ind w:left="5040" w:hanging="504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1.  RECOMMENDED ACTION:</w:t>
      </w:r>
      <w:r w:rsidRPr="009E07F2">
        <w:rPr>
          <w:rFonts w:ascii="Arial" w:hAnsi="Arial" w:cs="Arial"/>
          <w:b/>
          <w:sz w:val="22"/>
          <w:szCs w:val="22"/>
        </w:rPr>
        <w:tab/>
        <w:t>EFFECT OF EC VOTE TO ACCEPT RECOMMENDED ACTION: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6636221F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81278D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77B33F9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requested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9AD85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7969AD9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Change to Existing Practice</w:t>
            </w:r>
          </w:p>
        </w:tc>
      </w:tr>
      <w:tr w:rsidR="00193F4D" w:rsidRPr="009E07F2" w14:paraId="6CF0DEC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5C7E13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016FE2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Accept as modified below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D20E07B" w14:textId="77777777" w:rsidR="00193F4D" w:rsidRPr="009E07F2" w:rsidRDefault="00923E56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690" w:type="dxa"/>
          </w:tcPr>
          <w:p w14:paraId="61509F0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Status Quo</w:t>
            </w:r>
          </w:p>
        </w:tc>
      </w:tr>
      <w:tr w:rsidR="00193F4D" w:rsidRPr="009E07F2" w14:paraId="70D21402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F9F43F8" w14:textId="77777777" w:rsidR="00193F4D" w:rsidRPr="009E07F2" w:rsidRDefault="00CC54A8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</w:t>
            </w:r>
          </w:p>
        </w:tc>
        <w:tc>
          <w:tcPr>
            <w:tcW w:w="3960" w:type="dxa"/>
          </w:tcPr>
          <w:p w14:paraId="4BFF6C9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Decline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20F6B60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33B2E39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</w:tbl>
    <w:p w14:paraId="4656901B" w14:textId="77777777" w:rsidR="00193F4D" w:rsidRPr="009E07F2" w:rsidRDefault="00193F4D" w:rsidP="00193F4D">
      <w:pPr>
        <w:pStyle w:val="DefaultText"/>
        <w:spacing w:before="480" w:after="120"/>
        <w:rPr>
          <w:rFonts w:ascii="Arial" w:hAnsi="Arial" w:cs="Arial"/>
          <w:b/>
          <w:sz w:val="22"/>
          <w:szCs w:val="22"/>
        </w:rPr>
      </w:pPr>
      <w:r w:rsidRPr="009E07F2">
        <w:rPr>
          <w:rFonts w:ascii="Arial" w:hAnsi="Arial" w:cs="Arial"/>
          <w:b/>
          <w:sz w:val="22"/>
          <w:szCs w:val="22"/>
        </w:rPr>
        <w:t>2.  TYPE OF DEVELOPMENT/MAINTENANCE</w:t>
      </w:r>
    </w:p>
    <w:tbl>
      <w:tblPr>
        <w:tblW w:w="9270" w:type="dxa"/>
        <w:tblInd w:w="378" w:type="dxa"/>
        <w:tblLook w:val="01E0" w:firstRow="1" w:lastRow="1" w:firstColumn="1" w:lastColumn="1" w:noHBand="0" w:noVBand="0"/>
      </w:tblPr>
      <w:tblGrid>
        <w:gridCol w:w="810"/>
        <w:gridCol w:w="3960"/>
        <w:gridCol w:w="810"/>
        <w:gridCol w:w="3690"/>
      </w:tblGrid>
      <w:tr w:rsidR="00193F4D" w:rsidRPr="009E07F2" w14:paraId="4EFA8E05" w14:textId="77777777" w:rsidTr="006B3298">
        <w:tc>
          <w:tcPr>
            <w:tcW w:w="4770" w:type="dxa"/>
            <w:gridSpan w:val="2"/>
          </w:tcPr>
          <w:p w14:paraId="01E32D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Request:</w:t>
            </w:r>
          </w:p>
        </w:tc>
        <w:tc>
          <w:tcPr>
            <w:tcW w:w="4500" w:type="dxa"/>
            <w:gridSpan w:val="2"/>
          </w:tcPr>
          <w:p w14:paraId="035780F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b/>
                <w:sz w:val="20"/>
              </w:rPr>
            </w:pPr>
            <w:r w:rsidRPr="009E07F2">
              <w:rPr>
                <w:rFonts w:ascii="Arial" w:hAnsi="Arial" w:cs="Arial"/>
                <w:b/>
                <w:sz w:val="20"/>
              </w:rPr>
              <w:t>Per Recommendation:</w:t>
            </w:r>
          </w:p>
        </w:tc>
      </w:tr>
      <w:tr w:rsidR="00193F4D" w:rsidRPr="009E07F2" w14:paraId="5AE33B64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7D2738E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4C025A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A71692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DD110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Initiation</w:t>
            </w:r>
          </w:p>
        </w:tc>
      </w:tr>
      <w:tr w:rsidR="00193F4D" w:rsidRPr="009E07F2" w14:paraId="57BC6ED8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A6A633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E6D006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6B678C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144CEC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Modification</w:t>
            </w:r>
          </w:p>
        </w:tc>
      </w:tr>
      <w:tr w:rsidR="00193F4D" w:rsidRPr="009E07F2" w14:paraId="3B249A1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2F53F2A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585214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F5A4D6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65738A2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Interpretation</w:t>
            </w:r>
          </w:p>
        </w:tc>
      </w:tr>
      <w:tr w:rsidR="00193F4D" w:rsidRPr="009E07F2" w14:paraId="02383D2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638F64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524D7815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0104997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88144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Withdrawal</w:t>
            </w:r>
          </w:p>
        </w:tc>
      </w:tr>
      <w:tr w:rsidR="00193F4D" w:rsidRPr="009E07F2" w14:paraId="3977A9AD" w14:textId="77777777" w:rsidTr="006B3298">
        <w:tc>
          <w:tcPr>
            <w:tcW w:w="810" w:type="dxa"/>
            <w:tcBorders>
              <w:top w:val="single" w:sz="4" w:space="0" w:color="auto"/>
            </w:tcBorders>
          </w:tcPr>
          <w:p w14:paraId="428E71E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DB532C7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B69F2C1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0A92B6B3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</w:p>
        </w:tc>
      </w:tr>
      <w:tr w:rsidR="00193F4D" w:rsidRPr="009E07F2" w14:paraId="022C04FB" w14:textId="77777777" w:rsidTr="006B3298">
        <w:tc>
          <w:tcPr>
            <w:tcW w:w="810" w:type="dxa"/>
            <w:tcBorders>
              <w:bottom w:val="single" w:sz="4" w:space="0" w:color="auto"/>
            </w:tcBorders>
          </w:tcPr>
          <w:p w14:paraId="3EB5119D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43717D9D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3ECD81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602B8F7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Principle</w:t>
            </w:r>
          </w:p>
        </w:tc>
      </w:tr>
      <w:tr w:rsidR="00193F4D" w:rsidRPr="009E07F2" w14:paraId="32BC309B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DC7B38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13E16B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65F9189B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031D4C4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Definition</w:t>
            </w:r>
          </w:p>
        </w:tc>
      </w:tr>
      <w:tr w:rsidR="00193F4D" w:rsidRPr="009E07F2" w14:paraId="56E5939C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8A1762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653DEFA9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420033C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2B28CA4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Practice Standard</w:t>
            </w:r>
          </w:p>
        </w:tc>
      </w:tr>
      <w:tr w:rsidR="00193F4D" w:rsidRPr="009E07F2" w14:paraId="5515BB4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405CA4E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D2E4A71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3EAB0CF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4D8DD448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Document</w:t>
            </w:r>
          </w:p>
        </w:tc>
      </w:tr>
      <w:tr w:rsidR="00193F4D" w:rsidRPr="009E07F2" w14:paraId="26C2EB09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DBD721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27CE04FE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25A23FB2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5C7244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Data Element</w:t>
            </w:r>
          </w:p>
        </w:tc>
      </w:tr>
      <w:tr w:rsidR="00193F4D" w:rsidRPr="009E07F2" w14:paraId="33F09A15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EBF87D9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34CB3F90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745245D6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34E0A5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Code Value</w:t>
            </w:r>
          </w:p>
        </w:tc>
      </w:tr>
      <w:tr w:rsidR="00193F4D" w:rsidRPr="009E07F2" w14:paraId="20632220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053DA9E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1BF6A1B6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FA69370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473251A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X12 Implementation Guide</w:t>
            </w:r>
          </w:p>
        </w:tc>
      </w:tr>
      <w:tr w:rsidR="00193F4D" w:rsidRPr="009E07F2" w14:paraId="17C3DF46" w14:textId="77777777" w:rsidTr="006B3298"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1620EAA3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960" w:type="dxa"/>
          </w:tcPr>
          <w:p w14:paraId="07D62DDC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3EA9FEB4" w14:textId="77777777" w:rsidR="00193F4D" w:rsidRPr="009E07F2" w:rsidRDefault="00193F4D" w:rsidP="00C849B1">
            <w:pPr>
              <w:pStyle w:val="DefaultText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90" w:type="dxa"/>
          </w:tcPr>
          <w:p w14:paraId="1A9D188F" w14:textId="77777777" w:rsidR="00193F4D" w:rsidRPr="009E07F2" w:rsidRDefault="00193F4D" w:rsidP="006B3298">
            <w:pPr>
              <w:pStyle w:val="DefaultText"/>
              <w:rPr>
                <w:rFonts w:ascii="Arial" w:hAnsi="Arial" w:cs="Arial"/>
                <w:sz w:val="20"/>
              </w:rPr>
            </w:pPr>
            <w:r w:rsidRPr="009E07F2">
              <w:rPr>
                <w:rFonts w:ascii="Arial" w:hAnsi="Arial" w:cs="Arial"/>
                <w:sz w:val="20"/>
              </w:rPr>
              <w:t>Business Process Documentation</w:t>
            </w:r>
          </w:p>
        </w:tc>
      </w:tr>
    </w:tbl>
    <w:p w14:paraId="20F5128C" w14:textId="6727E764" w:rsidR="00DB3043" w:rsidRPr="00EC3E08" w:rsidRDefault="00DB3043" w:rsidP="00A506CF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3.  RECOMMENDATION</w:t>
      </w:r>
    </w:p>
    <w:p w14:paraId="2D817F54" w14:textId="5BFE75AF" w:rsidR="00652CA5" w:rsidRPr="00652CA5" w:rsidRDefault="00DB3043" w:rsidP="00652CA5">
      <w:pPr>
        <w:pStyle w:val="DefaultText"/>
        <w:spacing w:before="120"/>
        <w:ind w:left="2160" w:hanging="144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sz w:val="22"/>
        </w:rPr>
        <w:t>SUMMARY:</w:t>
      </w:r>
    </w:p>
    <w:p w14:paraId="062E984B" w14:textId="3F36A597" w:rsidR="00787B67" w:rsidRDefault="00787B67" w:rsidP="00652CA5">
      <w:pPr>
        <w:pStyle w:val="DefaultText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</w:t>
      </w:r>
      <w:r w:rsidR="00652CA5">
        <w:rPr>
          <w:rFonts w:ascii="Arial" w:hAnsi="Arial" w:cs="Arial"/>
          <w:sz w:val="20"/>
        </w:rPr>
        <w:t>n</w:t>
      </w:r>
      <w:r w:rsidR="00A16423">
        <w:rPr>
          <w:rFonts w:ascii="Arial" w:hAnsi="Arial" w:cs="Arial"/>
          <w:sz w:val="20"/>
        </w:rPr>
        <w:t xml:space="preserve">o </w:t>
      </w:r>
      <w:r w:rsidR="00652CA5">
        <w:rPr>
          <w:rFonts w:ascii="Arial" w:hAnsi="Arial" w:cs="Arial"/>
          <w:sz w:val="20"/>
        </w:rPr>
        <w:t>a</w:t>
      </w:r>
      <w:r w:rsidR="00A16423">
        <w:rPr>
          <w:rFonts w:ascii="Arial" w:hAnsi="Arial" w:cs="Arial"/>
          <w:sz w:val="20"/>
        </w:rPr>
        <w:t xml:space="preserve">ction </w:t>
      </w:r>
      <w:r w:rsidR="00652CA5">
        <w:rPr>
          <w:rFonts w:ascii="Arial" w:hAnsi="Arial" w:cs="Arial"/>
          <w:sz w:val="20"/>
        </w:rPr>
        <w:t>r</w:t>
      </w:r>
      <w:r w:rsidR="00A16423">
        <w:rPr>
          <w:rFonts w:ascii="Arial" w:hAnsi="Arial" w:cs="Arial"/>
          <w:sz w:val="20"/>
        </w:rPr>
        <w:t xml:space="preserve">ecommendation </w:t>
      </w:r>
      <w:r w:rsidR="00652CA5">
        <w:rPr>
          <w:rFonts w:ascii="Arial" w:hAnsi="Arial" w:cs="Arial"/>
          <w:sz w:val="20"/>
        </w:rPr>
        <w:t>was developed by the WGQ Contracts Subcommittee</w:t>
      </w:r>
      <w:r>
        <w:rPr>
          <w:rFonts w:ascii="Arial" w:hAnsi="Arial" w:cs="Arial"/>
          <w:sz w:val="20"/>
        </w:rPr>
        <w:t xml:space="preserve"> </w:t>
      </w:r>
      <w:r w:rsidR="00A16423">
        <w:rPr>
          <w:rFonts w:ascii="Arial" w:hAnsi="Arial" w:cs="Arial"/>
          <w:sz w:val="20"/>
        </w:rPr>
        <w:t xml:space="preserve">in response to </w:t>
      </w:r>
      <w:hyperlink r:id="rId7" w:history="1">
        <w:r w:rsidR="00652CA5" w:rsidRPr="00652CA5">
          <w:rPr>
            <w:rStyle w:val="Hyperlink"/>
            <w:rFonts w:ascii="Arial" w:hAnsi="Arial" w:cs="Arial"/>
            <w:sz w:val="20"/>
          </w:rPr>
          <w:t xml:space="preserve">Standards Request </w:t>
        </w:r>
        <w:r w:rsidR="00A16423" w:rsidRPr="00652CA5">
          <w:rPr>
            <w:rStyle w:val="Hyperlink"/>
            <w:rFonts w:ascii="Arial" w:hAnsi="Arial" w:cs="Arial"/>
            <w:sz w:val="20"/>
          </w:rPr>
          <w:t>R23001</w:t>
        </w:r>
      </w:hyperlink>
      <w:r w:rsidR="00B66717" w:rsidRPr="00B66717">
        <w:rPr>
          <w:rStyle w:val="Hyperlink"/>
          <w:rFonts w:ascii="Arial" w:hAnsi="Arial" w:cs="Arial"/>
          <w:sz w:val="20"/>
          <w:u w:val="none"/>
        </w:rPr>
        <w:t>,</w:t>
      </w:r>
      <w:r w:rsidR="00A16423" w:rsidRPr="00B66717">
        <w:rPr>
          <w:rFonts w:ascii="Arial" w:hAnsi="Arial" w:cs="Arial"/>
          <w:sz w:val="20"/>
        </w:rPr>
        <w:t xml:space="preserve"> </w:t>
      </w:r>
      <w:r w:rsidR="00652CA5">
        <w:rPr>
          <w:rFonts w:ascii="Arial" w:hAnsi="Arial" w:cs="Arial"/>
          <w:sz w:val="20"/>
        </w:rPr>
        <w:t>jointly submitted</w:t>
      </w:r>
      <w:r w:rsidR="00A16423">
        <w:rPr>
          <w:rFonts w:ascii="Arial" w:hAnsi="Arial" w:cs="Arial"/>
          <w:sz w:val="20"/>
        </w:rPr>
        <w:t xml:space="preserve"> by </w:t>
      </w:r>
      <w:r w:rsidR="00652CA5" w:rsidRPr="00652CA5">
        <w:rPr>
          <w:rFonts w:ascii="Arial" w:hAnsi="Arial" w:cs="Arial"/>
          <w:sz w:val="20"/>
        </w:rPr>
        <w:t>Southwest Power Pool, PJM Interconnection, MISO Energy, Texas Competitive Power Association, UGI Utilities and CenterPoint Energy</w:t>
      </w:r>
      <w:r w:rsidR="00652CA5">
        <w:rPr>
          <w:rFonts w:ascii="Arial" w:hAnsi="Arial" w:cs="Arial"/>
          <w:sz w:val="20"/>
        </w:rPr>
        <w:t>.   R23001 requests</w:t>
      </w:r>
      <w:r w:rsidR="00A00E28">
        <w:rPr>
          <w:rFonts w:ascii="Arial" w:hAnsi="Arial" w:cs="Arial"/>
          <w:sz w:val="20"/>
        </w:rPr>
        <w:t xml:space="preserve"> to </w:t>
      </w:r>
      <w:r w:rsidR="00652CA5">
        <w:rPr>
          <w:rFonts w:ascii="Arial" w:hAnsi="Arial" w:cs="Arial"/>
          <w:sz w:val="20"/>
        </w:rPr>
        <w:t xml:space="preserve">modify the Section 11 Force Majeure provisions in the </w:t>
      </w:r>
      <w:r w:rsidR="00A00E28">
        <w:rPr>
          <w:rFonts w:ascii="Arial" w:hAnsi="Arial" w:cs="Arial"/>
          <w:sz w:val="20"/>
        </w:rPr>
        <w:t xml:space="preserve">NAESB Base </w:t>
      </w:r>
      <w:r w:rsidR="00652CA5">
        <w:rPr>
          <w:rFonts w:ascii="Arial" w:hAnsi="Arial" w:cs="Arial"/>
          <w:sz w:val="20"/>
        </w:rPr>
        <w:t xml:space="preserve">Contract for Sale and Purchase of Natural Gas </w:t>
      </w:r>
      <w:r w:rsidR="00A00E28">
        <w:rPr>
          <w:rFonts w:ascii="Arial" w:hAnsi="Arial" w:cs="Arial"/>
          <w:sz w:val="20"/>
        </w:rPr>
        <w:t xml:space="preserve">to </w:t>
      </w:r>
      <w:r w:rsidR="00652CA5">
        <w:rPr>
          <w:rFonts w:ascii="Arial" w:hAnsi="Arial" w:cs="Arial"/>
          <w:sz w:val="20"/>
        </w:rPr>
        <w:t xml:space="preserve">clarify </w:t>
      </w:r>
      <w:r w:rsidR="00B66717">
        <w:rPr>
          <w:rFonts w:ascii="Arial" w:hAnsi="Arial" w:cs="Arial"/>
          <w:sz w:val="20"/>
        </w:rPr>
        <w:t>the language surrounding force majeure</w:t>
      </w:r>
      <w:r w:rsidR="00652CA5">
        <w:rPr>
          <w:rFonts w:ascii="Arial" w:hAnsi="Arial" w:cs="Arial"/>
          <w:sz w:val="20"/>
        </w:rPr>
        <w:t xml:space="preserve"> and communications </w:t>
      </w:r>
      <w:r w:rsidR="008040C1">
        <w:rPr>
          <w:rFonts w:ascii="Arial" w:hAnsi="Arial" w:cs="Arial"/>
          <w:sz w:val="20"/>
        </w:rPr>
        <w:t>concerning</w:t>
      </w:r>
      <w:r w:rsidR="00652CA5">
        <w:rPr>
          <w:rFonts w:ascii="Arial" w:hAnsi="Arial" w:cs="Arial"/>
          <w:sz w:val="20"/>
        </w:rPr>
        <w:t xml:space="preserve"> </w:t>
      </w:r>
      <w:r w:rsidR="00B66717">
        <w:rPr>
          <w:rFonts w:ascii="Arial" w:hAnsi="Arial" w:cs="Arial"/>
          <w:sz w:val="20"/>
        </w:rPr>
        <w:t xml:space="preserve">force majeure </w:t>
      </w:r>
      <w:r w:rsidR="00652CA5">
        <w:rPr>
          <w:rFonts w:ascii="Arial" w:hAnsi="Arial" w:cs="Arial"/>
          <w:sz w:val="20"/>
        </w:rPr>
        <w:t>events</w:t>
      </w:r>
      <w:r w:rsidR="00A00E28" w:rsidRPr="00A00E28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 </w:t>
      </w:r>
      <w:r w:rsidR="00652CA5">
        <w:rPr>
          <w:rFonts w:ascii="Arial" w:hAnsi="Arial" w:cs="Arial"/>
          <w:sz w:val="20"/>
        </w:rPr>
        <w:t>Following its initial review of R23001 on July 25, 2023 and a review of informal comments,</w:t>
      </w:r>
      <w:r>
        <w:rPr>
          <w:rFonts w:ascii="Arial" w:hAnsi="Arial" w:cs="Arial"/>
          <w:sz w:val="20"/>
        </w:rPr>
        <w:t xml:space="preserve"> </w:t>
      </w:r>
      <w:r w:rsidR="00652CA5">
        <w:rPr>
          <w:rFonts w:ascii="Arial" w:hAnsi="Arial" w:cs="Arial"/>
          <w:sz w:val="20"/>
        </w:rPr>
        <w:t xml:space="preserve">the WGQ Contracts Subcommittee </w:t>
      </w:r>
      <w:r>
        <w:rPr>
          <w:rFonts w:ascii="Arial" w:hAnsi="Arial" w:cs="Arial"/>
          <w:sz w:val="20"/>
        </w:rPr>
        <w:t xml:space="preserve">voted to support the </w:t>
      </w:r>
      <w:r w:rsidR="00652CA5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o </w:t>
      </w:r>
      <w:r w:rsidR="00652CA5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ction </w:t>
      </w:r>
      <w:r w:rsidR="00652CA5">
        <w:rPr>
          <w:rFonts w:ascii="Arial" w:hAnsi="Arial" w:cs="Arial"/>
          <w:sz w:val="20"/>
        </w:rPr>
        <w:t>r</w:t>
      </w:r>
      <w:r>
        <w:rPr>
          <w:rFonts w:ascii="Arial" w:hAnsi="Arial" w:cs="Arial"/>
          <w:sz w:val="20"/>
        </w:rPr>
        <w:t>ecommendation</w:t>
      </w:r>
      <w:r w:rsidR="00652CA5">
        <w:rPr>
          <w:rFonts w:ascii="Arial" w:hAnsi="Arial" w:cs="Arial"/>
          <w:sz w:val="20"/>
        </w:rPr>
        <w:t xml:space="preserve"> on September 14, 2023. </w:t>
      </w:r>
      <w:r>
        <w:rPr>
          <w:rFonts w:ascii="Arial" w:hAnsi="Arial" w:cs="Arial"/>
          <w:sz w:val="20"/>
        </w:rPr>
        <w:t xml:space="preserve">  </w:t>
      </w:r>
    </w:p>
    <w:p w14:paraId="5543E1CE" w14:textId="77777777" w:rsidR="002B7DD9" w:rsidRDefault="002B7DD9" w:rsidP="00652CA5">
      <w:pPr>
        <w:pStyle w:val="DefaultText"/>
        <w:spacing w:before="120"/>
        <w:rPr>
          <w:rFonts w:ascii="Arial" w:hAnsi="Arial" w:cs="Arial"/>
          <w:b/>
          <w:sz w:val="22"/>
        </w:rPr>
      </w:pPr>
      <w:r w:rsidRPr="009E07F2">
        <w:rPr>
          <w:rFonts w:ascii="Arial" w:hAnsi="Arial" w:cs="Arial"/>
          <w:b/>
          <w:caps/>
          <w:sz w:val="22"/>
        </w:rPr>
        <w:t>Recommended Standards</w:t>
      </w:r>
      <w:r w:rsidRPr="009E07F2">
        <w:rPr>
          <w:rFonts w:ascii="Arial" w:hAnsi="Arial" w:cs="Arial"/>
          <w:b/>
          <w:sz w:val="22"/>
        </w:rPr>
        <w:t>:</w:t>
      </w:r>
    </w:p>
    <w:p w14:paraId="4D1DCC93" w14:textId="3ED14732" w:rsidR="00EA2535" w:rsidRDefault="002B7DD9" w:rsidP="00652CA5">
      <w:pPr>
        <w:pStyle w:val="DefaultText"/>
        <w:spacing w:before="120"/>
        <w:rPr>
          <w:rFonts w:ascii="Arial" w:hAnsi="Arial" w:cs="Arial"/>
          <w:b/>
          <w:sz w:val="22"/>
        </w:rPr>
      </w:pPr>
      <w:r w:rsidRPr="00174F96">
        <w:rPr>
          <w:rFonts w:ascii="Arial" w:hAnsi="Arial" w:cs="Arial"/>
          <w:sz w:val="20"/>
        </w:rPr>
        <w:t>None</w:t>
      </w:r>
    </w:p>
    <w:p w14:paraId="1E54ABE8" w14:textId="648FAA62" w:rsidR="00DB3043" w:rsidRPr="009E07F2" w:rsidRDefault="00DB3043" w:rsidP="00652CA5">
      <w:pPr>
        <w:pStyle w:val="DefaultText"/>
        <w:spacing w:before="120"/>
        <w:rPr>
          <w:rFonts w:ascii="Arial" w:hAnsi="Arial" w:cs="Arial"/>
          <w:sz w:val="20"/>
        </w:rPr>
      </w:pPr>
      <w:r w:rsidRPr="009E07F2">
        <w:rPr>
          <w:rFonts w:ascii="Arial" w:hAnsi="Arial" w:cs="Arial"/>
          <w:b/>
          <w:sz w:val="22"/>
        </w:rPr>
        <w:t>4.  SUPPORTING DOCUMENTATION</w:t>
      </w:r>
    </w:p>
    <w:p w14:paraId="3153B268" w14:textId="77777777" w:rsidR="00DB3043" w:rsidRPr="00CC54A8" w:rsidRDefault="00DB3043" w:rsidP="00652CA5">
      <w:pPr>
        <w:pStyle w:val="ListParagraph"/>
        <w:numPr>
          <w:ilvl w:val="0"/>
          <w:numId w:val="7"/>
        </w:numPr>
        <w:tabs>
          <w:tab w:val="left" w:pos="1080"/>
        </w:tabs>
        <w:spacing w:before="120"/>
        <w:contextualSpacing w:val="0"/>
        <w:rPr>
          <w:rFonts w:ascii="Arial" w:hAnsi="Arial" w:cs="Arial"/>
          <w:b/>
        </w:rPr>
      </w:pPr>
      <w:r w:rsidRPr="00CC54A8">
        <w:rPr>
          <w:rFonts w:ascii="Arial" w:hAnsi="Arial" w:cs="Arial"/>
          <w:b/>
        </w:rPr>
        <w:t>Description of Request:</w:t>
      </w:r>
    </w:p>
    <w:p w14:paraId="6D2E87CB" w14:textId="735B1E54" w:rsidR="00A00E28" w:rsidRPr="00A00E28" w:rsidRDefault="00652CA5" w:rsidP="00652CA5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Standards </w:t>
      </w:r>
      <w:r w:rsidR="00A00E28" w:rsidRPr="00A00E28">
        <w:rPr>
          <w:rFonts w:ascii="Arial" w:hAnsi="Arial" w:cs="Arial"/>
        </w:rPr>
        <w:t xml:space="preserve">Request </w:t>
      </w:r>
      <w:r w:rsidR="00A00E28" w:rsidRPr="00652CA5">
        <w:rPr>
          <w:rFonts w:ascii="Arial" w:hAnsi="Arial" w:cs="Arial"/>
        </w:rPr>
        <w:t>R23001</w:t>
      </w:r>
      <w:hyperlink r:id="rId8" w:history="1"/>
      <w:r w:rsidR="00A00E28" w:rsidRPr="00A00E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was </w:t>
      </w:r>
      <w:r w:rsidR="00A00E28" w:rsidRPr="00A00E28">
        <w:rPr>
          <w:rFonts w:ascii="Arial" w:hAnsi="Arial" w:cs="Arial"/>
        </w:rPr>
        <w:t xml:space="preserve">submitted </w:t>
      </w:r>
      <w:r>
        <w:rPr>
          <w:rFonts w:ascii="Arial" w:hAnsi="Arial" w:cs="Arial"/>
        </w:rPr>
        <w:t>from</w:t>
      </w:r>
      <w:r w:rsidR="00A00E28" w:rsidRPr="00A00E28">
        <w:rPr>
          <w:rFonts w:ascii="Arial" w:hAnsi="Arial" w:cs="Arial"/>
        </w:rPr>
        <w:t xml:space="preserve"> Southwest Power Pool, PJM Interconnection, MISO Energy, Texas Competitive Power Association, UGI Utilities, and CenterPoint Energy</w:t>
      </w:r>
      <w:r w:rsidR="00A00E2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may be accessed at the following link: </w:t>
      </w:r>
      <w:hyperlink r:id="rId9" w:history="1">
        <w:r w:rsidRPr="00012B13">
          <w:rPr>
            <w:rStyle w:val="Hyperlink"/>
            <w:rFonts w:ascii="Arial" w:hAnsi="Arial" w:cs="Arial"/>
          </w:rPr>
          <w:t>https://www.naesb.org/pdf4/r23001.docx</w:t>
        </w:r>
      </w:hyperlink>
      <w:r>
        <w:rPr>
          <w:rFonts w:ascii="Arial" w:hAnsi="Arial" w:cs="Arial"/>
        </w:rPr>
        <w:t>.</w:t>
      </w:r>
    </w:p>
    <w:p w14:paraId="06C595DD" w14:textId="121251B9" w:rsidR="007145D0" w:rsidRPr="007145D0" w:rsidRDefault="007145D0" w:rsidP="007145D0">
      <w:pPr>
        <w:tabs>
          <w:tab w:val="left" w:pos="1080"/>
        </w:tabs>
        <w:spacing w:before="120"/>
        <w:ind w:left="720" w:hanging="720"/>
        <w:rPr>
          <w:rFonts w:ascii="Arial" w:hAnsi="Arial" w:cs="Arial"/>
        </w:rPr>
      </w:pPr>
    </w:p>
    <w:p w14:paraId="75E19E4E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b.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Description of Recommendation:</w:t>
      </w:r>
    </w:p>
    <w:p w14:paraId="221C4BB0" w14:textId="5A81D0ED" w:rsidR="000B1BE6" w:rsidRDefault="001054D5" w:rsidP="00652CA5">
      <w:pPr>
        <w:pStyle w:val="DefaultText"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The WGQ Contracts Subcommittee recommends n</w:t>
      </w:r>
      <w:r w:rsidR="00BC080D">
        <w:rPr>
          <w:rFonts w:ascii="Arial" w:hAnsi="Arial" w:cs="Arial"/>
          <w:sz w:val="20"/>
        </w:rPr>
        <w:t>o action</w:t>
      </w:r>
      <w:r w:rsidR="00787B67">
        <w:rPr>
          <w:rFonts w:ascii="Arial" w:hAnsi="Arial" w:cs="Arial"/>
          <w:sz w:val="20"/>
        </w:rPr>
        <w:t xml:space="preserve"> on </w:t>
      </w:r>
      <w:r>
        <w:rPr>
          <w:rFonts w:ascii="Arial" w:hAnsi="Arial" w:cs="Arial"/>
          <w:sz w:val="20"/>
        </w:rPr>
        <w:t xml:space="preserve">Standards </w:t>
      </w:r>
      <w:r w:rsidR="00787B67">
        <w:rPr>
          <w:rFonts w:ascii="Arial" w:hAnsi="Arial" w:cs="Arial"/>
          <w:sz w:val="20"/>
        </w:rPr>
        <w:t>Request R23001</w:t>
      </w:r>
      <w:r>
        <w:rPr>
          <w:rFonts w:ascii="Arial" w:hAnsi="Arial" w:cs="Arial"/>
          <w:sz w:val="20"/>
        </w:rPr>
        <w:t>.</w:t>
      </w:r>
      <w:r w:rsidR="00BC080D">
        <w:rPr>
          <w:rFonts w:ascii="Arial" w:hAnsi="Arial" w:cs="Arial"/>
          <w:sz w:val="20"/>
        </w:rPr>
        <w:t xml:space="preserve"> </w:t>
      </w:r>
      <w:r w:rsidR="00F17886">
        <w:rPr>
          <w:rFonts w:ascii="Arial" w:hAnsi="Arial" w:cs="Arial"/>
          <w:sz w:val="20"/>
        </w:rPr>
        <w:t>The W</w:t>
      </w:r>
      <w:r w:rsidR="00A00E28">
        <w:rPr>
          <w:rFonts w:ascii="Arial" w:hAnsi="Arial" w:cs="Arial"/>
          <w:sz w:val="20"/>
        </w:rPr>
        <w:t>G</w:t>
      </w:r>
      <w:r w:rsidR="00F17886">
        <w:rPr>
          <w:rFonts w:ascii="Arial" w:hAnsi="Arial" w:cs="Arial"/>
          <w:sz w:val="20"/>
        </w:rPr>
        <w:t xml:space="preserve">Q </w:t>
      </w:r>
      <w:r>
        <w:rPr>
          <w:rFonts w:ascii="Arial" w:hAnsi="Arial" w:cs="Arial"/>
          <w:sz w:val="20"/>
        </w:rPr>
        <w:t>s</w:t>
      </w:r>
      <w:r w:rsidR="00652CA5">
        <w:rPr>
          <w:rFonts w:ascii="Arial" w:hAnsi="Arial" w:cs="Arial"/>
          <w:sz w:val="20"/>
        </w:rPr>
        <w:t xml:space="preserve">ubcommittee </w:t>
      </w:r>
      <w:r w:rsidR="00A00E28">
        <w:rPr>
          <w:rFonts w:ascii="Arial" w:hAnsi="Arial" w:cs="Arial"/>
          <w:sz w:val="20"/>
        </w:rPr>
        <w:t>held two meetings</w:t>
      </w:r>
      <w:r w:rsidR="00652CA5">
        <w:rPr>
          <w:rFonts w:ascii="Arial" w:hAnsi="Arial" w:cs="Arial"/>
          <w:sz w:val="20"/>
        </w:rPr>
        <w:t xml:space="preserve"> on July 25, 2023 and September 14, 2023.  During the meetings the subcommittee discussed R23001, the </w:t>
      </w:r>
      <w:r w:rsidR="000845F4">
        <w:rPr>
          <w:rFonts w:ascii="Arial" w:hAnsi="Arial" w:cs="Arial"/>
          <w:sz w:val="20"/>
        </w:rPr>
        <w:t xml:space="preserve">comments </w:t>
      </w:r>
      <w:r>
        <w:rPr>
          <w:rFonts w:ascii="Arial" w:hAnsi="Arial" w:cs="Arial"/>
          <w:sz w:val="20"/>
        </w:rPr>
        <w:t>submitted by</w:t>
      </w:r>
      <w:r w:rsidR="000845F4">
        <w:rPr>
          <w:rFonts w:ascii="Arial" w:hAnsi="Arial" w:cs="Arial"/>
          <w:sz w:val="20"/>
        </w:rPr>
        <w:t xml:space="preserve"> </w:t>
      </w:r>
      <w:r w:rsidR="00652CA5">
        <w:rPr>
          <w:rFonts w:ascii="Arial" w:hAnsi="Arial" w:cs="Arial"/>
          <w:sz w:val="20"/>
        </w:rPr>
        <w:t xml:space="preserve">Cheniere Energy </w:t>
      </w:r>
      <w:r w:rsidR="000845F4">
        <w:rPr>
          <w:rFonts w:ascii="Arial" w:hAnsi="Arial" w:cs="Arial"/>
          <w:sz w:val="20"/>
        </w:rPr>
        <w:t>proposing no action</w:t>
      </w:r>
      <w:r w:rsidR="005A7FDD">
        <w:rPr>
          <w:rFonts w:ascii="Arial" w:hAnsi="Arial" w:cs="Arial"/>
          <w:sz w:val="20"/>
        </w:rPr>
        <w:t xml:space="preserve">, </w:t>
      </w:r>
      <w:r w:rsidR="00787B67">
        <w:rPr>
          <w:rFonts w:ascii="Arial" w:hAnsi="Arial" w:cs="Arial"/>
          <w:sz w:val="20"/>
        </w:rPr>
        <w:t xml:space="preserve">and </w:t>
      </w:r>
      <w:r w:rsidR="000845F4">
        <w:rPr>
          <w:rFonts w:ascii="Arial" w:hAnsi="Arial" w:cs="Arial"/>
          <w:sz w:val="20"/>
        </w:rPr>
        <w:t>nineteen informal</w:t>
      </w:r>
      <w:r w:rsidR="005A7FDD">
        <w:rPr>
          <w:rFonts w:ascii="Arial" w:hAnsi="Arial" w:cs="Arial"/>
          <w:sz w:val="20"/>
        </w:rPr>
        <w:t xml:space="preserve"> comments on </w:t>
      </w:r>
      <w:r w:rsidR="000845F4">
        <w:rPr>
          <w:rFonts w:ascii="Arial" w:hAnsi="Arial" w:cs="Arial"/>
          <w:sz w:val="20"/>
        </w:rPr>
        <w:t xml:space="preserve">both </w:t>
      </w:r>
      <w:r>
        <w:rPr>
          <w:rFonts w:ascii="Arial" w:hAnsi="Arial" w:cs="Arial"/>
          <w:sz w:val="20"/>
        </w:rPr>
        <w:t>R23001</w:t>
      </w:r>
      <w:r w:rsidR="00787B67">
        <w:rPr>
          <w:rFonts w:ascii="Arial" w:hAnsi="Arial" w:cs="Arial"/>
          <w:sz w:val="20"/>
        </w:rPr>
        <w:t xml:space="preserve"> and </w:t>
      </w:r>
      <w:r w:rsidR="005A7FDD">
        <w:rPr>
          <w:rFonts w:ascii="Arial" w:hAnsi="Arial" w:cs="Arial"/>
          <w:sz w:val="20"/>
        </w:rPr>
        <w:t xml:space="preserve">Cheniere Energy’s comments. </w:t>
      </w:r>
      <w:r>
        <w:rPr>
          <w:rFonts w:ascii="Arial" w:hAnsi="Arial" w:cs="Arial"/>
          <w:sz w:val="20"/>
        </w:rPr>
        <w:t xml:space="preserve"> </w:t>
      </w:r>
      <w:r w:rsidR="00787B67">
        <w:rPr>
          <w:rFonts w:ascii="Arial" w:hAnsi="Arial" w:cs="Arial"/>
          <w:sz w:val="20"/>
        </w:rPr>
        <w:t xml:space="preserve">At the September 14, 2023 meeting, a balanced vote was conducted resulting in approval of the </w:t>
      </w:r>
      <w:r w:rsidR="000845F4">
        <w:rPr>
          <w:rFonts w:ascii="Arial" w:hAnsi="Arial" w:cs="Arial"/>
          <w:sz w:val="20"/>
        </w:rPr>
        <w:t>n</w:t>
      </w:r>
      <w:r w:rsidR="00787B67">
        <w:rPr>
          <w:rFonts w:ascii="Arial" w:hAnsi="Arial" w:cs="Arial"/>
          <w:sz w:val="20"/>
        </w:rPr>
        <w:t xml:space="preserve">o </w:t>
      </w:r>
      <w:r w:rsidR="000845F4">
        <w:rPr>
          <w:rFonts w:ascii="Arial" w:hAnsi="Arial" w:cs="Arial"/>
          <w:sz w:val="20"/>
        </w:rPr>
        <w:t>a</w:t>
      </w:r>
      <w:r w:rsidR="00787B67">
        <w:rPr>
          <w:rFonts w:ascii="Arial" w:hAnsi="Arial" w:cs="Arial"/>
          <w:sz w:val="20"/>
        </w:rPr>
        <w:t xml:space="preserve">ction </w:t>
      </w:r>
      <w:r>
        <w:rPr>
          <w:rFonts w:ascii="Arial" w:hAnsi="Arial" w:cs="Arial"/>
          <w:sz w:val="20"/>
        </w:rPr>
        <w:t>r</w:t>
      </w:r>
      <w:r w:rsidR="00787B67">
        <w:rPr>
          <w:rFonts w:ascii="Arial" w:hAnsi="Arial" w:cs="Arial"/>
          <w:sz w:val="20"/>
        </w:rPr>
        <w:t xml:space="preserve">ecommendation.  </w:t>
      </w:r>
    </w:p>
    <w:p w14:paraId="0504AB79" w14:textId="77777777" w:rsidR="000B1BE6" w:rsidRDefault="000B1BE6" w:rsidP="00A506CF">
      <w:pPr>
        <w:pStyle w:val="DefaultText"/>
        <w:spacing w:before="120"/>
        <w:rPr>
          <w:rFonts w:ascii="Arial" w:hAnsi="Arial" w:cs="Arial"/>
          <w:sz w:val="20"/>
        </w:rPr>
      </w:pPr>
    </w:p>
    <w:tbl>
      <w:tblPr>
        <w:tblW w:w="7580" w:type="dxa"/>
        <w:jc w:val="center"/>
        <w:tblLook w:val="04A0" w:firstRow="1" w:lastRow="0" w:firstColumn="1" w:lastColumn="0" w:noHBand="0" w:noVBand="1"/>
      </w:tblPr>
      <w:tblGrid>
        <w:gridCol w:w="1820"/>
        <w:gridCol w:w="1087"/>
        <w:gridCol w:w="833"/>
        <w:gridCol w:w="960"/>
        <w:gridCol w:w="966"/>
        <w:gridCol w:w="966"/>
        <w:gridCol w:w="960"/>
      </w:tblGrid>
      <w:tr w:rsidR="000B1BE6" w:rsidRPr="002976C6" w14:paraId="000D3275" w14:textId="77777777" w:rsidTr="00BF4104">
        <w:trPr>
          <w:trHeight w:val="260"/>
          <w:jc w:val="center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A6E0" w14:textId="77777777" w:rsidR="000B1BE6" w:rsidRPr="002976C6" w:rsidRDefault="000B1BE6" w:rsidP="00BF4104">
            <w:r w:rsidRPr="002976C6">
              <w:t>Segment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39EFD" w14:textId="77777777" w:rsidR="000B1BE6" w:rsidRPr="002976C6" w:rsidRDefault="000B1BE6" w:rsidP="00BF4104">
            <w:pPr>
              <w:jc w:val="center"/>
            </w:pPr>
            <w:r w:rsidRPr="002976C6">
              <w:t>Votes Cast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E731EB" w14:textId="77777777" w:rsidR="000B1BE6" w:rsidRPr="002976C6" w:rsidRDefault="000B1BE6" w:rsidP="00BF4104">
            <w:pPr>
              <w:jc w:val="center"/>
            </w:pPr>
            <w:r w:rsidRPr="002976C6">
              <w:t> </w:t>
            </w:r>
          </w:p>
        </w:tc>
        <w:tc>
          <w:tcPr>
            <w:tcW w:w="19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2CE54" w14:textId="77777777" w:rsidR="000B1BE6" w:rsidRPr="002976C6" w:rsidRDefault="000B1BE6" w:rsidP="00BF4104">
            <w:pPr>
              <w:jc w:val="center"/>
            </w:pPr>
            <w:r w:rsidRPr="002976C6">
              <w:t>Balanced Vote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22AB4" w14:textId="77777777" w:rsidR="000B1BE6" w:rsidRPr="002976C6" w:rsidRDefault="000B1BE6" w:rsidP="00BF4104">
            <w:pPr>
              <w:jc w:val="center"/>
            </w:pPr>
            <w:r w:rsidRPr="002976C6">
              <w:t> </w:t>
            </w:r>
          </w:p>
        </w:tc>
      </w:tr>
      <w:tr w:rsidR="000B1BE6" w:rsidRPr="002976C6" w14:paraId="1941B642" w14:textId="77777777" w:rsidTr="00BF4104">
        <w:trPr>
          <w:trHeight w:val="260"/>
          <w:jc w:val="center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57BF" w14:textId="77777777" w:rsidR="000B1BE6" w:rsidRPr="002976C6" w:rsidRDefault="000B1BE6" w:rsidP="00BF4104">
            <w:r w:rsidRPr="002976C6"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3F86F" w14:textId="77777777" w:rsidR="000B1BE6" w:rsidRPr="002976C6" w:rsidRDefault="000B1BE6" w:rsidP="00BF4104">
            <w:pPr>
              <w:jc w:val="center"/>
            </w:pPr>
            <w:r w:rsidRPr="002976C6">
              <w:t>YES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6461" w14:textId="77777777" w:rsidR="000B1BE6" w:rsidRPr="002976C6" w:rsidRDefault="000B1BE6" w:rsidP="00BF4104">
            <w:pPr>
              <w:jc w:val="center"/>
            </w:pPr>
            <w:r w:rsidRPr="002976C6"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DAB68" w14:textId="77777777" w:rsidR="000B1BE6" w:rsidRPr="002976C6" w:rsidRDefault="000B1BE6" w:rsidP="00BF4104">
            <w:pPr>
              <w:jc w:val="center"/>
            </w:pPr>
            <w:r w:rsidRPr="002976C6"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59810" w14:textId="77777777" w:rsidR="000B1BE6" w:rsidRPr="002976C6" w:rsidRDefault="000B1BE6" w:rsidP="00BF4104">
            <w:pPr>
              <w:jc w:val="center"/>
            </w:pPr>
            <w:r w:rsidRPr="002976C6">
              <w:t>YES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76B24" w14:textId="77777777" w:rsidR="000B1BE6" w:rsidRPr="002976C6" w:rsidRDefault="000B1BE6" w:rsidP="00BF4104">
            <w:pPr>
              <w:jc w:val="center"/>
            </w:pPr>
            <w:r w:rsidRPr="002976C6">
              <w:t>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608F0" w14:textId="77777777" w:rsidR="000B1BE6" w:rsidRPr="002976C6" w:rsidRDefault="000B1BE6" w:rsidP="00BF4104">
            <w:pPr>
              <w:jc w:val="center"/>
            </w:pPr>
            <w:r w:rsidRPr="002976C6">
              <w:t>TOTAL</w:t>
            </w:r>
          </w:p>
        </w:tc>
      </w:tr>
      <w:tr w:rsidR="000B1BE6" w:rsidRPr="002976C6" w14:paraId="7220AAAC" w14:textId="77777777" w:rsidTr="00BF4104">
        <w:trPr>
          <w:trHeight w:val="260"/>
          <w:jc w:val="center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9B801" w14:textId="77777777" w:rsidR="000B1BE6" w:rsidRPr="002976C6" w:rsidRDefault="000B1BE6" w:rsidP="00BF4104">
            <w:r w:rsidRPr="002976C6">
              <w:t>End Users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B06A" w14:textId="77777777" w:rsidR="000B1BE6" w:rsidRPr="002976C6" w:rsidRDefault="000B1BE6" w:rsidP="00BF4104">
            <w:pPr>
              <w:jc w:val="right"/>
            </w:pPr>
            <w:r w:rsidRPr="002976C6">
              <w:t>4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B93D" w14:textId="77777777" w:rsidR="000B1BE6" w:rsidRPr="002976C6" w:rsidRDefault="000B1BE6" w:rsidP="00BF4104">
            <w:pPr>
              <w:jc w:val="right"/>
            </w:pPr>
            <w:r w:rsidRPr="002976C6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8F0DD7" w14:textId="77777777" w:rsidR="000B1BE6" w:rsidRPr="002976C6" w:rsidRDefault="000B1BE6" w:rsidP="00BF4104">
            <w:pPr>
              <w:jc w:val="right"/>
            </w:pPr>
            <w:r w:rsidRPr="002976C6"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61298D2" w14:textId="77777777" w:rsidR="000B1BE6" w:rsidRPr="002976C6" w:rsidRDefault="000B1BE6" w:rsidP="00BF4104">
            <w:pPr>
              <w:jc w:val="right"/>
            </w:pPr>
            <w:r w:rsidRPr="002976C6">
              <w:t>0.666667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7D6E1A" w14:textId="77777777" w:rsidR="000B1BE6" w:rsidRPr="002976C6" w:rsidRDefault="000B1BE6" w:rsidP="00BF4104">
            <w:pPr>
              <w:jc w:val="right"/>
            </w:pPr>
            <w:r w:rsidRPr="002976C6">
              <w:t>1.333333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0F5D608" w14:textId="77777777" w:rsidR="000B1BE6" w:rsidRPr="002976C6" w:rsidRDefault="000B1BE6" w:rsidP="00BF4104">
            <w:pPr>
              <w:jc w:val="right"/>
            </w:pPr>
            <w:r w:rsidRPr="002976C6">
              <w:t>2</w:t>
            </w:r>
          </w:p>
        </w:tc>
      </w:tr>
      <w:tr w:rsidR="000B1BE6" w:rsidRPr="002976C6" w14:paraId="4C4DD4DC" w14:textId="77777777" w:rsidTr="00BF4104">
        <w:trPr>
          <w:trHeight w:val="260"/>
          <w:jc w:val="center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8A69" w14:textId="77777777" w:rsidR="000B1BE6" w:rsidRPr="002976C6" w:rsidRDefault="000B1BE6" w:rsidP="00BF4104">
            <w:r w:rsidRPr="002976C6">
              <w:t>LDCs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AC22C" w14:textId="77777777" w:rsidR="000B1BE6" w:rsidRPr="002976C6" w:rsidRDefault="000B1BE6" w:rsidP="00BF4104">
            <w:pPr>
              <w:jc w:val="right"/>
            </w:pPr>
            <w:r w:rsidRPr="002976C6">
              <w:t>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FEA2" w14:textId="77777777" w:rsidR="000B1BE6" w:rsidRPr="002976C6" w:rsidRDefault="000B1BE6" w:rsidP="00BF4104">
            <w:pPr>
              <w:jc w:val="right"/>
            </w:pPr>
            <w:r w:rsidRPr="002976C6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804EDD" w14:textId="77777777" w:rsidR="000B1BE6" w:rsidRPr="002976C6" w:rsidRDefault="000B1BE6" w:rsidP="00BF4104">
            <w:pPr>
              <w:jc w:val="right"/>
            </w:pPr>
            <w:r w:rsidRPr="002976C6"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E4F19" w14:textId="77777777" w:rsidR="000B1BE6" w:rsidRPr="002976C6" w:rsidRDefault="000B1BE6" w:rsidP="00BF4104">
            <w:pPr>
              <w:jc w:val="right"/>
            </w:pPr>
            <w:r w:rsidRPr="002976C6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0D519E" w14:textId="77777777" w:rsidR="000B1BE6" w:rsidRPr="002976C6" w:rsidRDefault="000B1BE6" w:rsidP="00BF4104">
            <w:pPr>
              <w:jc w:val="right"/>
            </w:pPr>
            <w:r w:rsidRPr="002976C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B00E493" w14:textId="77777777" w:rsidR="000B1BE6" w:rsidRPr="002976C6" w:rsidRDefault="000B1BE6" w:rsidP="00BF4104">
            <w:pPr>
              <w:jc w:val="right"/>
            </w:pPr>
            <w:r w:rsidRPr="002976C6">
              <w:t>2</w:t>
            </w:r>
          </w:p>
        </w:tc>
      </w:tr>
      <w:tr w:rsidR="000B1BE6" w:rsidRPr="002976C6" w14:paraId="2986DF1A" w14:textId="77777777" w:rsidTr="00BF4104">
        <w:trPr>
          <w:trHeight w:val="260"/>
          <w:jc w:val="center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BE69E" w14:textId="77777777" w:rsidR="000B1BE6" w:rsidRPr="002976C6" w:rsidRDefault="000B1BE6" w:rsidP="00BF4104">
            <w:r w:rsidRPr="002976C6">
              <w:t>Pipeline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B2E6A" w14:textId="77777777" w:rsidR="000B1BE6" w:rsidRPr="002976C6" w:rsidRDefault="000B1BE6" w:rsidP="00BF4104">
            <w:pPr>
              <w:jc w:val="right"/>
            </w:pPr>
            <w:r w:rsidRPr="002976C6"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6B61" w14:textId="77777777" w:rsidR="000B1BE6" w:rsidRPr="002976C6" w:rsidRDefault="000B1BE6" w:rsidP="00BF4104">
            <w:pPr>
              <w:jc w:val="right"/>
            </w:pPr>
            <w:r w:rsidRPr="002976C6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943E08" w14:textId="77777777" w:rsidR="000B1BE6" w:rsidRPr="002976C6" w:rsidRDefault="000B1BE6" w:rsidP="00BF4104">
            <w:pPr>
              <w:jc w:val="right"/>
            </w:pPr>
            <w:r w:rsidRPr="002976C6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1C91EB" w14:textId="77777777" w:rsidR="000B1BE6" w:rsidRPr="002976C6" w:rsidRDefault="000B1BE6" w:rsidP="00BF4104">
            <w:pPr>
              <w:jc w:val="right"/>
            </w:pPr>
            <w:r w:rsidRPr="002976C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16DC7B" w14:textId="77777777" w:rsidR="000B1BE6" w:rsidRPr="002976C6" w:rsidRDefault="000B1BE6" w:rsidP="00BF4104">
            <w:pPr>
              <w:jc w:val="right"/>
            </w:pPr>
            <w:r w:rsidRPr="002976C6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0153B0A" w14:textId="77777777" w:rsidR="000B1BE6" w:rsidRPr="002976C6" w:rsidRDefault="000B1BE6" w:rsidP="00BF4104">
            <w:pPr>
              <w:jc w:val="right"/>
            </w:pPr>
            <w:r w:rsidRPr="002976C6">
              <w:t>2</w:t>
            </w:r>
          </w:p>
        </w:tc>
      </w:tr>
      <w:tr w:rsidR="000B1BE6" w:rsidRPr="002976C6" w14:paraId="68DEB634" w14:textId="77777777" w:rsidTr="00BF4104">
        <w:trPr>
          <w:trHeight w:val="260"/>
          <w:jc w:val="center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B493" w14:textId="77777777" w:rsidR="000B1BE6" w:rsidRPr="002976C6" w:rsidRDefault="000B1BE6" w:rsidP="00BF4104">
            <w:r w:rsidRPr="002976C6">
              <w:t>Producer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133DB" w14:textId="77777777" w:rsidR="000B1BE6" w:rsidRPr="002976C6" w:rsidRDefault="000B1BE6" w:rsidP="00BF4104">
            <w:pPr>
              <w:jc w:val="right"/>
            </w:pPr>
            <w:r w:rsidRPr="002976C6"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F4B33" w14:textId="77777777" w:rsidR="000B1BE6" w:rsidRPr="002976C6" w:rsidRDefault="000B1BE6" w:rsidP="00BF4104">
            <w:pPr>
              <w:jc w:val="right"/>
            </w:pPr>
            <w:r w:rsidRPr="002976C6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4BA12" w14:textId="77777777" w:rsidR="000B1BE6" w:rsidRPr="002976C6" w:rsidRDefault="000B1BE6" w:rsidP="00BF4104">
            <w:pPr>
              <w:jc w:val="right"/>
            </w:pPr>
            <w:r w:rsidRPr="002976C6"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E431683" w14:textId="77777777" w:rsidR="000B1BE6" w:rsidRPr="002976C6" w:rsidRDefault="000B1BE6" w:rsidP="00BF4104">
            <w:pPr>
              <w:jc w:val="right"/>
            </w:pPr>
            <w:r w:rsidRPr="002976C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C36E7D" w14:textId="77777777" w:rsidR="000B1BE6" w:rsidRPr="002976C6" w:rsidRDefault="000B1BE6" w:rsidP="00BF4104">
            <w:pPr>
              <w:jc w:val="right"/>
            </w:pPr>
            <w:r w:rsidRPr="002976C6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A729585" w14:textId="77777777" w:rsidR="000B1BE6" w:rsidRPr="002976C6" w:rsidRDefault="000B1BE6" w:rsidP="00BF4104">
            <w:pPr>
              <w:jc w:val="right"/>
            </w:pPr>
            <w:r w:rsidRPr="002976C6">
              <w:t>2</w:t>
            </w:r>
          </w:p>
        </w:tc>
      </w:tr>
      <w:tr w:rsidR="000B1BE6" w:rsidRPr="002976C6" w14:paraId="271D9FEE" w14:textId="77777777" w:rsidTr="00BF4104">
        <w:trPr>
          <w:trHeight w:val="260"/>
          <w:jc w:val="center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0CD25" w14:textId="77777777" w:rsidR="000B1BE6" w:rsidRPr="002976C6" w:rsidRDefault="000B1BE6" w:rsidP="00BF4104">
            <w:r w:rsidRPr="002976C6">
              <w:t>Services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DFA2" w14:textId="77777777" w:rsidR="000B1BE6" w:rsidRPr="002976C6" w:rsidRDefault="000B1BE6" w:rsidP="00BF4104">
            <w:pPr>
              <w:jc w:val="right"/>
            </w:pPr>
            <w:r w:rsidRPr="002976C6">
              <w:t>6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FF80" w14:textId="77777777" w:rsidR="000B1BE6" w:rsidRPr="002976C6" w:rsidRDefault="000B1BE6" w:rsidP="00BF4104">
            <w:pPr>
              <w:jc w:val="right"/>
            </w:pPr>
            <w:r w:rsidRPr="002976C6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3AD70" w14:textId="77777777" w:rsidR="000B1BE6" w:rsidRPr="002976C6" w:rsidRDefault="000B1BE6" w:rsidP="00BF4104">
            <w:pPr>
              <w:jc w:val="right"/>
            </w:pPr>
            <w:r w:rsidRPr="002976C6"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8176A7" w14:textId="77777777" w:rsidR="000B1BE6" w:rsidRPr="002976C6" w:rsidRDefault="000B1BE6" w:rsidP="00BF4104">
            <w:pPr>
              <w:jc w:val="right"/>
            </w:pPr>
            <w:r w:rsidRPr="002976C6"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9B1E420" w14:textId="77777777" w:rsidR="000B1BE6" w:rsidRPr="002976C6" w:rsidRDefault="000B1BE6" w:rsidP="00BF4104">
            <w:pPr>
              <w:jc w:val="right"/>
            </w:pPr>
            <w:r w:rsidRPr="002976C6"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889520D" w14:textId="77777777" w:rsidR="000B1BE6" w:rsidRPr="002976C6" w:rsidRDefault="000B1BE6" w:rsidP="00BF4104">
            <w:pPr>
              <w:jc w:val="right"/>
            </w:pPr>
            <w:r w:rsidRPr="002976C6">
              <w:t>2</w:t>
            </w:r>
          </w:p>
        </w:tc>
      </w:tr>
      <w:tr w:rsidR="000B1BE6" w:rsidRPr="002976C6" w14:paraId="2C1C29B8" w14:textId="77777777" w:rsidTr="00BF4104">
        <w:trPr>
          <w:trHeight w:val="275"/>
          <w:jc w:val="center"/>
        </w:trPr>
        <w:tc>
          <w:tcPr>
            <w:tcW w:w="1820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D33D2" w14:textId="77777777" w:rsidR="000B1BE6" w:rsidRPr="002976C6" w:rsidRDefault="000B1BE6" w:rsidP="00BF4104">
            <w:r w:rsidRPr="002976C6">
              <w:t>Total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9C844" w14:textId="77777777" w:rsidR="000B1BE6" w:rsidRPr="002976C6" w:rsidRDefault="000B1BE6" w:rsidP="00BF4104">
            <w:pPr>
              <w:jc w:val="right"/>
            </w:pPr>
            <w:r w:rsidRPr="002976C6">
              <w:t>30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4D5C3" w14:textId="77777777" w:rsidR="000B1BE6" w:rsidRPr="002976C6" w:rsidRDefault="000B1BE6" w:rsidP="00BF4104">
            <w:pPr>
              <w:jc w:val="right"/>
            </w:pPr>
            <w:r w:rsidRPr="002976C6">
              <w:t>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995362" w14:textId="77777777" w:rsidR="000B1BE6" w:rsidRPr="002976C6" w:rsidRDefault="000B1BE6" w:rsidP="00BF4104">
            <w:pPr>
              <w:jc w:val="right"/>
            </w:pPr>
            <w:r w:rsidRPr="002976C6">
              <w:t>46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0E20C3A0" w14:textId="77777777" w:rsidR="000B1BE6" w:rsidRPr="002976C6" w:rsidRDefault="000B1BE6" w:rsidP="00BF4104">
            <w:pPr>
              <w:jc w:val="right"/>
            </w:pPr>
            <w:r w:rsidRPr="002976C6">
              <w:t>6.666667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19FD8F9E" w14:textId="77777777" w:rsidR="000B1BE6" w:rsidRPr="002976C6" w:rsidRDefault="000B1BE6" w:rsidP="00BF4104">
            <w:pPr>
              <w:jc w:val="right"/>
            </w:pPr>
            <w:r w:rsidRPr="002976C6">
              <w:t>3.333333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2F7B669C" w14:textId="77777777" w:rsidR="000B1BE6" w:rsidRPr="002976C6" w:rsidRDefault="000B1BE6" w:rsidP="00BF4104">
            <w:pPr>
              <w:jc w:val="right"/>
            </w:pPr>
            <w:r w:rsidRPr="002976C6">
              <w:t>10</w:t>
            </w:r>
          </w:p>
        </w:tc>
      </w:tr>
    </w:tbl>
    <w:p w14:paraId="204E4D57" w14:textId="77777777" w:rsidR="000B1BE6" w:rsidRPr="009E07F2" w:rsidRDefault="000B1BE6" w:rsidP="00A506CF">
      <w:pPr>
        <w:pStyle w:val="DefaultText"/>
        <w:spacing w:before="120"/>
        <w:rPr>
          <w:rFonts w:ascii="Arial" w:hAnsi="Arial" w:cs="Arial"/>
          <w:sz w:val="20"/>
        </w:rPr>
      </w:pPr>
    </w:p>
    <w:p w14:paraId="24AEF043" w14:textId="77777777" w:rsidR="00DB3043" w:rsidRPr="009E07F2" w:rsidRDefault="00C849B1" w:rsidP="00C849B1">
      <w:pPr>
        <w:pStyle w:val="DefaultText"/>
        <w:tabs>
          <w:tab w:val="left" w:pos="1080"/>
        </w:tabs>
        <w:spacing w:before="120"/>
        <w:ind w:firstLine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c.</w:t>
      </w:r>
      <w:r>
        <w:rPr>
          <w:rFonts w:ascii="Arial" w:hAnsi="Arial" w:cs="Arial"/>
          <w:b/>
          <w:sz w:val="20"/>
        </w:rPr>
        <w:tab/>
      </w:r>
      <w:r w:rsidR="00DB3043" w:rsidRPr="009E07F2">
        <w:rPr>
          <w:rFonts w:ascii="Arial" w:hAnsi="Arial" w:cs="Arial"/>
          <w:b/>
          <w:sz w:val="20"/>
        </w:rPr>
        <w:t>Business Purpose:</w:t>
      </w:r>
    </w:p>
    <w:p w14:paraId="5CAD1B8C" w14:textId="52589DC4" w:rsidR="00641492" w:rsidRPr="009E07F2" w:rsidRDefault="00CC54A8" w:rsidP="00A506CF">
      <w:pPr>
        <w:spacing w:before="120"/>
        <w:rPr>
          <w:rFonts w:ascii="Arial" w:hAnsi="Arial" w:cs="Arial"/>
        </w:rPr>
      </w:pPr>
      <w:r w:rsidRPr="00CC54A8">
        <w:rPr>
          <w:rFonts w:ascii="Arial" w:hAnsi="Arial" w:cs="Arial"/>
        </w:rPr>
        <w:t xml:space="preserve">There is </w:t>
      </w:r>
      <w:r w:rsidR="00652CA5">
        <w:rPr>
          <w:rFonts w:ascii="Arial" w:hAnsi="Arial" w:cs="Arial"/>
        </w:rPr>
        <w:t>insufficient</w:t>
      </w:r>
      <w:r w:rsidR="00787B67">
        <w:rPr>
          <w:rFonts w:ascii="Arial" w:hAnsi="Arial" w:cs="Arial"/>
        </w:rPr>
        <w:t xml:space="preserve"> support </w:t>
      </w:r>
      <w:r w:rsidRPr="00CC54A8">
        <w:rPr>
          <w:rFonts w:ascii="Arial" w:hAnsi="Arial" w:cs="Arial"/>
        </w:rPr>
        <w:t>to modify the NAESB W</w:t>
      </w:r>
      <w:r w:rsidR="00787B67">
        <w:rPr>
          <w:rFonts w:ascii="Arial" w:hAnsi="Arial" w:cs="Arial"/>
        </w:rPr>
        <w:t>G</w:t>
      </w:r>
      <w:r w:rsidRPr="00CC54A8">
        <w:rPr>
          <w:rFonts w:ascii="Arial" w:hAnsi="Arial" w:cs="Arial"/>
        </w:rPr>
        <w:t xml:space="preserve">Q </w:t>
      </w:r>
      <w:r w:rsidR="00787B67">
        <w:rPr>
          <w:rFonts w:ascii="Arial" w:hAnsi="Arial" w:cs="Arial"/>
        </w:rPr>
        <w:t>Contract Standards</w:t>
      </w:r>
      <w:r w:rsidRPr="00CC54A8">
        <w:rPr>
          <w:rFonts w:ascii="Arial" w:hAnsi="Arial" w:cs="Arial"/>
        </w:rPr>
        <w:t>.</w:t>
      </w:r>
    </w:p>
    <w:p w14:paraId="7806A1F9" w14:textId="77777777" w:rsidR="00DB3043" w:rsidRDefault="00C849B1" w:rsidP="00C849B1">
      <w:pPr>
        <w:tabs>
          <w:tab w:val="left" w:pos="1080"/>
        </w:tabs>
        <w:spacing w:before="120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d.</w:t>
      </w:r>
      <w:r>
        <w:rPr>
          <w:rFonts w:ascii="Arial" w:hAnsi="Arial" w:cs="Arial"/>
          <w:b/>
        </w:rPr>
        <w:tab/>
      </w:r>
      <w:r w:rsidR="00DB3043" w:rsidRPr="009E07F2">
        <w:rPr>
          <w:rFonts w:ascii="Arial" w:hAnsi="Arial" w:cs="Arial"/>
          <w:b/>
        </w:rPr>
        <w:t>Commentary/Rationale of Subcommittee(s)/Task Force(s)</w:t>
      </w:r>
      <w:r w:rsidR="00CC54A8">
        <w:rPr>
          <w:rFonts w:ascii="Arial" w:hAnsi="Arial" w:cs="Arial"/>
          <w:b/>
        </w:rPr>
        <w:t>:</w:t>
      </w:r>
    </w:p>
    <w:p w14:paraId="17DAD992" w14:textId="05915B3F" w:rsidR="00EC3E08" w:rsidRDefault="00CC54A8" w:rsidP="00CC54A8">
      <w:pPr>
        <w:tabs>
          <w:tab w:val="left" w:pos="1080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Please see the minutes from the following meetings:</w:t>
      </w:r>
    </w:p>
    <w:p w14:paraId="0069C6D4" w14:textId="37F8F7BA" w:rsidR="00F17886" w:rsidRDefault="00000000" w:rsidP="00FE1B3D">
      <w:pPr>
        <w:pStyle w:val="ListParagraph"/>
        <w:numPr>
          <w:ilvl w:val="0"/>
          <w:numId w:val="10"/>
        </w:numPr>
        <w:tabs>
          <w:tab w:val="left" w:pos="1080"/>
        </w:tabs>
        <w:rPr>
          <w:rFonts w:ascii="Arial" w:hAnsi="Arial" w:cs="Arial"/>
        </w:rPr>
      </w:pPr>
      <w:hyperlink r:id="rId10" w:history="1">
        <w:r w:rsidR="005A7FDD" w:rsidRPr="00552353">
          <w:rPr>
            <w:rStyle w:val="Hyperlink"/>
            <w:rFonts w:ascii="Arial" w:hAnsi="Arial" w:cs="Arial"/>
          </w:rPr>
          <w:t>July 25</w:t>
        </w:r>
        <w:r w:rsidR="00F17886" w:rsidRPr="00552353">
          <w:rPr>
            <w:rStyle w:val="Hyperlink"/>
            <w:rFonts w:ascii="Arial" w:hAnsi="Arial" w:cs="Arial"/>
          </w:rPr>
          <w:t>, 2023</w:t>
        </w:r>
      </w:hyperlink>
    </w:p>
    <w:p w14:paraId="63D3CF0E" w14:textId="7093E496" w:rsidR="00F17886" w:rsidRPr="00FE1B3D" w:rsidRDefault="008C3D0F" w:rsidP="00FE1B3D">
      <w:pPr>
        <w:pStyle w:val="ListParagraph"/>
        <w:numPr>
          <w:ilvl w:val="0"/>
          <w:numId w:val="10"/>
        </w:numPr>
        <w:tabs>
          <w:tab w:val="left" w:pos="1080"/>
        </w:tabs>
        <w:rPr>
          <w:rFonts w:ascii="Arial" w:hAnsi="Arial" w:cs="Arial"/>
        </w:rPr>
      </w:pPr>
      <w:hyperlink r:id="rId11" w:history="1">
        <w:r w:rsidR="00F17886" w:rsidRPr="008C3D0F">
          <w:rPr>
            <w:rStyle w:val="Hyperlink"/>
            <w:rFonts w:ascii="Arial" w:hAnsi="Arial" w:cs="Arial"/>
          </w:rPr>
          <w:t>September 1</w:t>
        </w:r>
        <w:r w:rsidR="005A7FDD" w:rsidRPr="008C3D0F">
          <w:rPr>
            <w:rStyle w:val="Hyperlink"/>
            <w:rFonts w:ascii="Arial" w:hAnsi="Arial" w:cs="Arial"/>
          </w:rPr>
          <w:t>4</w:t>
        </w:r>
        <w:r w:rsidR="00F17886" w:rsidRPr="008C3D0F">
          <w:rPr>
            <w:rStyle w:val="Hyperlink"/>
            <w:rFonts w:ascii="Arial" w:hAnsi="Arial" w:cs="Arial"/>
          </w:rPr>
          <w:t xml:space="preserve">, </w:t>
        </w:r>
        <w:r w:rsidR="00F17886" w:rsidRPr="008C3D0F">
          <w:rPr>
            <w:rStyle w:val="Hyperlink"/>
            <w:rFonts w:ascii="Arial" w:hAnsi="Arial" w:cs="Arial"/>
          </w:rPr>
          <w:t>2</w:t>
        </w:r>
        <w:r w:rsidR="00F17886" w:rsidRPr="008C3D0F">
          <w:rPr>
            <w:rStyle w:val="Hyperlink"/>
            <w:rFonts w:ascii="Arial" w:hAnsi="Arial" w:cs="Arial"/>
          </w:rPr>
          <w:t>023</w:t>
        </w:r>
      </w:hyperlink>
    </w:p>
    <w:sectPr w:rsidR="00F17886" w:rsidRPr="00FE1B3D">
      <w:headerReference w:type="default" r:id="rId12"/>
      <w:footerReference w:type="default" r:id="rId13"/>
      <w:pgSz w:w="12240" w:h="15840"/>
      <w:pgMar w:top="2088" w:right="1440" w:bottom="1440" w:left="1440" w:header="648" w:footer="6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02F14" w14:textId="77777777" w:rsidR="00B10F0B" w:rsidRDefault="00B10F0B">
      <w:r>
        <w:separator/>
      </w:r>
    </w:p>
  </w:endnote>
  <w:endnote w:type="continuationSeparator" w:id="0">
    <w:p w14:paraId="3BFA214C" w14:textId="77777777" w:rsidR="00B10F0B" w:rsidRDefault="00B1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5D71" w14:textId="0CDF8115" w:rsidR="005578DA" w:rsidRPr="001F55B3" w:rsidRDefault="007145D0" w:rsidP="001F55B3">
    <w:pPr>
      <w:pStyle w:val="DefaultText"/>
      <w:jc w:val="righ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September 1</w:t>
    </w:r>
    <w:r w:rsidR="00552353">
      <w:rPr>
        <w:rFonts w:ascii="Arial" w:hAnsi="Arial" w:cs="Arial"/>
        <w:sz w:val="20"/>
      </w:rPr>
      <w:t>4</w:t>
    </w:r>
    <w:r w:rsidR="002056E5">
      <w:rPr>
        <w:rFonts w:ascii="Arial" w:hAnsi="Arial" w:cs="Arial"/>
        <w:sz w:val="20"/>
      </w:rPr>
      <w:t>, 202</w:t>
    </w:r>
    <w:r w:rsidR="0097628E">
      <w:rPr>
        <w:rFonts w:ascii="Arial" w:hAnsi="Arial" w:cs="Arial"/>
        <w:sz w:val="20"/>
      </w:rPr>
      <w:t>3</w:t>
    </w:r>
  </w:p>
  <w:p w14:paraId="42257CFC" w14:textId="4E9C4869" w:rsidR="005578DA" w:rsidRPr="001F55B3" w:rsidRDefault="005578DA" w:rsidP="001F55B3">
    <w:pPr>
      <w:pStyle w:val="DefaultText"/>
      <w:jc w:val="right"/>
      <w:rPr>
        <w:rFonts w:ascii="Arial" w:hAnsi="Arial" w:cs="Arial"/>
      </w:rPr>
    </w:pPr>
    <w:r w:rsidRPr="001F55B3">
      <w:rPr>
        <w:rFonts w:ascii="Arial" w:hAnsi="Arial" w:cs="Arial"/>
        <w:sz w:val="20"/>
      </w:rPr>
      <w:t xml:space="preserve">Page </w:t>
    </w:r>
    <w:r w:rsidRPr="001F55B3">
      <w:rPr>
        <w:rStyle w:val="PageNumber"/>
        <w:rFonts w:ascii="Arial" w:hAnsi="Arial" w:cs="Arial"/>
        <w:sz w:val="20"/>
      </w:rPr>
      <w:fldChar w:fldCharType="begin"/>
    </w:r>
    <w:r w:rsidRPr="001F55B3">
      <w:rPr>
        <w:rStyle w:val="PageNumber"/>
        <w:rFonts w:ascii="Arial" w:hAnsi="Arial" w:cs="Arial"/>
        <w:sz w:val="20"/>
      </w:rPr>
      <w:instrText xml:space="preserve"> PAGE </w:instrText>
    </w:r>
    <w:r w:rsidRPr="001F55B3">
      <w:rPr>
        <w:rStyle w:val="PageNumber"/>
        <w:rFonts w:ascii="Arial" w:hAnsi="Arial" w:cs="Arial"/>
        <w:sz w:val="20"/>
      </w:rPr>
      <w:fldChar w:fldCharType="separate"/>
    </w:r>
    <w:r w:rsidR="00D830C1">
      <w:rPr>
        <w:rStyle w:val="PageNumber"/>
        <w:rFonts w:ascii="Arial" w:hAnsi="Arial" w:cs="Arial"/>
        <w:noProof/>
        <w:sz w:val="20"/>
      </w:rPr>
      <w:t>1</w:t>
    </w:r>
    <w:r w:rsidRPr="001F55B3"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D0BF" w14:textId="77777777" w:rsidR="00B10F0B" w:rsidRDefault="00B10F0B">
      <w:r>
        <w:separator/>
      </w:r>
    </w:p>
  </w:footnote>
  <w:footnote w:type="continuationSeparator" w:id="0">
    <w:p w14:paraId="7B44A599" w14:textId="77777777" w:rsidR="00B10F0B" w:rsidRDefault="00B10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6F9B0" w14:textId="77777777" w:rsidR="005578DA" w:rsidRDefault="00000000" w:rsidP="001F55B3">
    <w:pPr>
      <w:pStyle w:val="BodyText"/>
    </w:pPr>
    <w:r>
      <w:object w:dxaOrig="1440" w:dyaOrig="1440" w14:anchorId="51A3C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.95pt;margin-top:-110.2pt;width:271pt;height:224.4pt;z-index:-251658752;mso-wrap-edited:f" wrapcoords="-52 12307 -52 21537 9346 21537 9346 12307 -52 12307">
          <v:imagedata r:id="rId1" o:title=""/>
        </v:shape>
        <o:OLEObject Type="Embed" ProgID="Word.Picture.8" ShapeID="_x0000_s1025" DrawAspect="Content" ObjectID="_1756545228" r:id="rId2"/>
      </w:object>
    </w:r>
  </w:p>
  <w:p w14:paraId="4BE5BC7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RECOMMENDATION TO NAESB EXECUTIVE COMMITTEE</w:t>
    </w:r>
  </w:p>
  <w:p w14:paraId="477CE24C" w14:textId="25D3297C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For Quadrant: </w:t>
    </w:r>
    <w:r>
      <w:rPr>
        <w:rFonts w:ascii="Arial" w:hAnsi="Arial" w:cs="Arial"/>
        <w:b/>
        <w:sz w:val="22"/>
      </w:rPr>
      <w:tab/>
    </w:r>
    <w:r w:rsidRPr="007145D0">
      <w:rPr>
        <w:rFonts w:ascii="Arial" w:hAnsi="Arial" w:cs="Arial"/>
        <w:bCs/>
        <w:sz w:val="22"/>
      </w:rPr>
      <w:t>W</w:t>
    </w:r>
    <w:r w:rsidR="001C4D49">
      <w:rPr>
        <w:rFonts w:ascii="Arial" w:hAnsi="Arial" w:cs="Arial"/>
        <w:bCs/>
        <w:sz w:val="22"/>
      </w:rPr>
      <w:t>G</w:t>
    </w:r>
    <w:r w:rsidRPr="007145D0">
      <w:rPr>
        <w:rFonts w:ascii="Arial" w:hAnsi="Arial" w:cs="Arial"/>
        <w:bCs/>
        <w:sz w:val="22"/>
      </w:rPr>
      <w:t>Q</w:t>
    </w:r>
  </w:p>
  <w:p w14:paraId="1D02641D" w14:textId="77777777" w:rsidR="005578DA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         </w:t>
    </w:r>
  </w:p>
  <w:p w14:paraId="7FC77297" w14:textId="0DFA45D5" w:rsidR="005578DA" w:rsidRDefault="005578DA" w:rsidP="00CC54A8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Requesters:</w:t>
    </w:r>
    <w:r>
      <w:rPr>
        <w:rFonts w:ascii="Arial" w:hAnsi="Arial" w:cs="Arial"/>
        <w:b/>
        <w:sz w:val="22"/>
      </w:rPr>
      <w:tab/>
    </w:r>
    <w:r w:rsidRPr="007145D0">
      <w:rPr>
        <w:rFonts w:ascii="Arial" w:hAnsi="Arial" w:cs="Arial"/>
        <w:bCs/>
        <w:sz w:val="22"/>
      </w:rPr>
      <w:t>W</w:t>
    </w:r>
    <w:r w:rsidR="001C4D49">
      <w:rPr>
        <w:rFonts w:ascii="Arial" w:hAnsi="Arial" w:cs="Arial"/>
        <w:bCs/>
        <w:sz w:val="22"/>
      </w:rPr>
      <w:t>G</w:t>
    </w:r>
    <w:r w:rsidRPr="007145D0">
      <w:rPr>
        <w:rFonts w:ascii="Arial" w:hAnsi="Arial" w:cs="Arial"/>
        <w:bCs/>
        <w:sz w:val="22"/>
      </w:rPr>
      <w:t xml:space="preserve">Q </w:t>
    </w:r>
    <w:r w:rsidR="001C4D49">
      <w:rPr>
        <w:rFonts w:ascii="Arial" w:hAnsi="Arial" w:cs="Arial"/>
        <w:bCs/>
        <w:sz w:val="22"/>
      </w:rPr>
      <w:t>Contracts</w:t>
    </w:r>
    <w:r w:rsidRPr="007145D0">
      <w:rPr>
        <w:rFonts w:ascii="Arial" w:hAnsi="Arial" w:cs="Arial"/>
        <w:bCs/>
        <w:sz w:val="22"/>
      </w:rPr>
      <w:t xml:space="preserve"> Subcommittee</w:t>
    </w:r>
  </w:p>
  <w:p w14:paraId="218404B1" w14:textId="4DD6A759" w:rsidR="005578DA" w:rsidRPr="007145D0" w:rsidRDefault="005578DA" w:rsidP="001F55B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2880" w:hanging="2880"/>
      <w:rPr>
        <w:rFonts w:ascii="Arial" w:hAnsi="Arial" w:cs="Arial"/>
        <w:bCs/>
        <w:sz w:val="22"/>
      </w:rPr>
    </w:pPr>
    <w:r>
      <w:rPr>
        <w:rFonts w:ascii="Arial" w:hAnsi="Arial" w:cs="Arial"/>
        <w:b/>
        <w:sz w:val="22"/>
      </w:rPr>
      <w:t xml:space="preserve">                                       Request No.: </w:t>
    </w:r>
    <w:r>
      <w:rPr>
        <w:rFonts w:ascii="Arial" w:hAnsi="Arial" w:cs="Arial"/>
        <w:b/>
        <w:sz w:val="22"/>
      </w:rPr>
      <w:tab/>
    </w:r>
    <w:r w:rsidR="001C4D49">
      <w:rPr>
        <w:rFonts w:ascii="Arial" w:hAnsi="Arial" w:cs="Arial"/>
        <w:bCs/>
        <w:sz w:val="22"/>
      </w:rPr>
      <w:t>R23001</w:t>
    </w:r>
    <w:r w:rsidR="00E20A9E" w:rsidRPr="007145D0">
      <w:rPr>
        <w:rFonts w:ascii="Arial" w:hAnsi="Arial" w:cs="Arial"/>
        <w:bCs/>
        <w:sz w:val="22"/>
      </w:rPr>
      <w:t xml:space="preserve"> </w:t>
    </w:r>
  </w:p>
  <w:p w14:paraId="21B3A290" w14:textId="378FC580" w:rsidR="00A16423" w:rsidRPr="00A16423" w:rsidRDefault="005578DA" w:rsidP="00A16423">
    <w:pPr>
      <w:pStyle w:val="DefaultText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ind w:left="4320" w:hanging="4320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/>
        <w:sz w:val="22"/>
      </w:rPr>
      <w:t xml:space="preserve">                                       Request Title:</w:t>
    </w:r>
    <w:r w:rsidRPr="004600ED">
      <w:rPr>
        <w:rFonts w:ascii="Arial" w:hAnsi="Arial" w:cs="Arial"/>
        <w:b/>
        <w:sz w:val="22"/>
        <w:szCs w:val="22"/>
      </w:rPr>
      <w:tab/>
    </w:r>
    <w:r w:rsidR="00652CA5" w:rsidRPr="00652CA5">
      <w:rPr>
        <w:rFonts w:ascii="Arial" w:hAnsi="Arial" w:cs="Arial"/>
        <w:bCs/>
        <w:sz w:val="22"/>
        <w:szCs w:val="22"/>
      </w:rPr>
      <w:t>Proposed revisions to the NAESB Base Contract for Sale and Purchase of Natural Gas to improve the clarity associated with the force majeure provisions in the contract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150C"/>
    <w:multiLevelType w:val="hybridMultilevel"/>
    <w:tmpl w:val="428A1C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17940"/>
    <w:multiLevelType w:val="hybridMultilevel"/>
    <w:tmpl w:val="C540E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301D8"/>
    <w:multiLevelType w:val="hybridMultilevel"/>
    <w:tmpl w:val="B4CED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B7067"/>
    <w:multiLevelType w:val="hybridMultilevel"/>
    <w:tmpl w:val="E1724E4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 w15:restartNumberingAfterBreak="0">
    <w:nsid w:val="28EA6247"/>
    <w:multiLevelType w:val="hybridMultilevel"/>
    <w:tmpl w:val="297A8EE2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8F1A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2F2728CA"/>
    <w:multiLevelType w:val="hybridMultilevel"/>
    <w:tmpl w:val="12A216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C23DED"/>
    <w:multiLevelType w:val="hybridMultilevel"/>
    <w:tmpl w:val="FA948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FF13D6"/>
    <w:multiLevelType w:val="hybridMultilevel"/>
    <w:tmpl w:val="E5D4B454"/>
    <w:lvl w:ilvl="0" w:tplc="E3329C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4C2BF5"/>
    <w:multiLevelType w:val="hybridMultilevel"/>
    <w:tmpl w:val="20AA92A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47418311">
    <w:abstractNumId w:val="5"/>
  </w:num>
  <w:num w:numId="2" w16cid:durableId="2051301729">
    <w:abstractNumId w:val="2"/>
  </w:num>
  <w:num w:numId="3" w16cid:durableId="388385587">
    <w:abstractNumId w:val="9"/>
  </w:num>
  <w:num w:numId="4" w16cid:durableId="1648168409">
    <w:abstractNumId w:val="0"/>
  </w:num>
  <w:num w:numId="5" w16cid:durableId="1078987889">
    <w:abstractNumId w:val="6"/>
  </w:num>
  <w:num w:numId="6" w16cid:durableId="911039523">
    <w:abstractNumId w:val="4"/>
  </w:num>
  <w:num w:numId="7" w16cid:durableId="669067565">
    <w:abstractNumId w:val="8"/>
  </w:num>
  <w:num w:numId="8" w16cid:durableId="1840659912">
    <w:abstractNumId w:val="3"/>
  </w:num>
  <w:num w:numId="9" w16cid:durableId="235166892">
    <w:abstractNumId w:val="7"/>
  </w:num>
  <w:num w:numId="10" w16cid:durableId="549075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CF"/>
    <w:rsid w:val="000021EE"/>
    <w:rsid w:val="0007004F"/>
    <w:rsid w:val="000845F4"/>
    <w:rsid w:val="000904F5"/>
    <w:rsid w:val="00097DCB"/>
    <w:rsid w:val="000B001A"/>
    <w:rsid w:val="000B1BE6"/>
    <w:rsid w:val="000B5B4A"/>
    <w:rsid w:val="001054D5"/>
    <w:rsid w:val="001211A6"/>
    <w:rsid w:val="00174F96"/>
    <w:rsid w:val="00193F4D"/>
    <w:rsid w:val="001A01E8"/>
    <w:rsid w:val="001B5986"/>
    <w:rsid w:val="001C1B9B"/>
    <w:rsid w:val="001C4D49"/>
    <w:rsid w:val="001D39CC"/>
    <w:rsid w:val="001F55B3"/>
    <w:rsid w:val="002056E5"/>
    <w:rsid w:val="00214EE1"/>
    <w:rsid w:val="002270EE"/>
    <w:rsid w:val="002A3647"/>
    <w:rsid w:val="002B3F5E"/>
    <w:rsid w:val="002B5881"/>
    <w:rsid w:val="002B7DD9"/>
    <w:rsid w:val="002C4CFB"/>
    <w:rsid w:val="002D4148"/>
    <w:rsid w:val="002F592E"/>
    <w:rsid w:val="00335F44"/>
    <w:rsid w:val="00363DAD"/>
    <w:rsid w:val="00382C52"/>
    <w:rsid w:val="003B6739"/>
    <w:rsid w:val="003C679C"/>
    <w:rsid w:val="00440523"/>
    <w:rsid w:val="004579D8"/>
    <w:rsid w:val="004600ED"/>
    <w:rsid w:val="00481507"/>
    <w:rsid w:val="0048553A"/>
    <w:rsid w:val="004912CE"/>
    <w:rsid w:val="004A63D8"/>
    <w:rsid w:val="00517808"/>
    <w:rsid w:val="005262EA"/>
    <w:rsid w:val="0053019B"/>
    <w:rsid w:val="00534308"/>
    <w:rsid w:val="00552353"/>
    <w:rsid w:val="005578DA"/>
    <w:rsid w:val="00596440"/>
    <w:rsid w:val="005A7FDD"/>
    <w:rsid w:val="005D2CBF"/>
    <w:rsid w:val="005E7875"/>
    <w:rsid w:val="00602F43"/>
    <w:rsid w:val="00641492"/>
    <w:rsid w:val="00652CA5"/>
    <w:rsid w:val="0067080D"/>
    <w:rsid w:val="006824BB"/>
    <w:rsid w:val="006B3298"/>
    <w:rsid w:val="006D7EDB"/>
    <w:rsid w:val="007145D0"/>
    <w:rsid w:val="00730ABE"/>
    <w:rsid w:val="007404B6"/>
    <w:rsid w:val="00787B67"/>
    <w:rsid w:val="007938E5"/>
    <w:rsid w:val="007D0D88"/>
    <w:rsid w:val="008040C1"/>
    <w:rsid w:val="00831C80"/>
    <w:rsid w:val="00847E91"/>
    <w:rsid w:val="00894091"/>
    <w:rsid w:val="008B1436"/>
    <w:rsid w:val="008C0206"/>
    <w:rsid w:val="008C3D0F"/>
    <w:rsid w:val="0091654A"/>
    <w:rsid w:val="00920B9D"/>
    <w:rsid w:val="00923E56"/>
    <w:rsid w:val="00925489"/>
    <w:rsid w:val="00945792"/>
    <w:rsid w:val="00947273"/>
    <w:rsid w:val="0097628E"/>
    <w:rsid w:val="00976890"/>
    <w:rsid w:val="0099200A"/>
    <w:rsid w:val="00997585"/>
    <w:rsid w:val="009C3DCA"/>
    <w:rsid w:val="009C5811"/>
    <w:rsid w:val="009C6C39"/>
    <w:rsid w:val="009E07F2"/>
    <w:rsid w:val="00A00E28"/>
    <w:rsid w:val="00A16423"/>
    <w:rsid w:val="00A506CF"/>
    <w:rsid w:val="00AC2B71"/>
    <w:rsid w:val="00AD5B0E"/>
    <w:rsid w:val="00AE79AB"/>
    <w:rsid w:val="00B04F23"/>
    <w:rsid w:val="00B10F0B"/>
    <w:rsid w:val="00B166A8"/>
    <w:rsid w:val="00B244B9"/>
    <w:rsid w:val="00B35288"/>
    <w:rsid w:val="00B66717"/>
    <w:rsid w:val="00BB61DF"/>
    <w:rsid w:val="00BC080D"/>
    <w:rsid w:val="00BC1FD0"/>
    <w:rsid w:val="00BD13B3"/>
    <w:rsid w:val="00BE5205"/>
    <w:rsid w:val="00BF2528"/>
    <w:rsid w:val="00BF38FC"/>
    <w:rsid w:val="00C30C4D"/>
    <w:rsid w:val="00C67283"/>
    <w:rsid w:val="00C76ED0"/>
    <w:rsid w:val="00C849B1"/>
    <w:rsid w:val="00CC54A8"/>
    <w:rsid w:val="00CD6071"/>
    <w:rsid w:val="00CF5634"/>
    <w:rsid w:val="00D07C20"/>
    <w:rsid w:val="00D15293"/>
    <w:rsid w:val="00D412E9"/>
    <w:rsid w:val="00D830C1"/>
    <w:rsid w:val="00D90A35"/>
    <w:rsid w:val="00D91DB2"/>
    <w:rsid w:val="00DB2561"/>
    <w:rsid w:val="00DB3043"/>
    <w:rsid w:val="00DB6856"/>
    <w:rsid w:val="00DC502E"/>
    <w:rsid w:val="00DE2C8E"/>
    <w:rsid w:val="00E102EE"/>
    <w:rsid w:val="00E20A9E"/>
    <w:rsid w:val="00E26C4D"/>
    <w:rsid w:val="00E6087D"/>
    <w:rsid w:val="00EA2535"/>
    <w:rsid w:val="00EC3E08"/>
    <w:rsid w:val="00EF2126"/>
    <w:rsid w:val="00F17886"/>
    <w:rsid w:val="00F44CAA"/>
    <w:rsid w:val="00F53CDB"/>
    <w:rsid w:val="00F615D4"/>
    <w:rsid w:val="00F86155"/>
    <w:rsid w:val="00F91E79"/>
    <w:rsid w:val="00FB68ED"/>
    <w:rsid w:val="00FE1B3D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58F83D"/>
  <w15:docId w15:val="{4D09F353-2E42-460F-8412-9FB018D6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DefaultText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DefaultText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DefaultText"/>
    <w:qFormat/>
    <w:pPr>
      <w:spacing w:before="120" w:after="12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ind w:left="144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ind w:left="1440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80" w:after="40"/>
      <w:outlineLvl w:val="6"/>
    </w:pPr>
    <w:rPr>
      <w:rFonts w:ascii="Arial" w:hAnsi="Arial" w:cs="Arial"/>
      <w:sz w:val="18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 w:val="24"/>
    </w:rPr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right"/>
    </w:pPr>
    <w:rPr>
      <w:rFonts w:ascii="Arial" w:hAnsi="Arial" w:cs="Arial"/>
    </w:rPr>
  </w:style>
  <w:style w:type="paragraph" w:styleId="BodyTextIndent">
    <w:name w:val="Body Text Indent"/>
    <w:basedOn w:val="Normal"/>
    <w:pPr>
      <w:autoSpaceDE w:val="0"/>
      <w:autoSpaceDN w:val="0"/>
      <w:adjustRightInd w:val="0"/>
      <w:ind w:left="720"/>
    </w:pPr>
    <w:rPr>
      <w:rFonts w:ascii="Arial" w:hAnsi="Arial" w:cs="Arial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Indent2">
    <w:name w:val="Body Text Indent 2"/>
    <w:basedOn w:val="Normal"/>
    <w:pPr>
      <w:autoSpaceDE w:val="0"/>
      <w:autoSpaceDN w:val="0"/>
      <w:adjustRightInd w:val="0"/>
      <w:ind w:left="1440"/>
    </w:pPr>
    <w:rPr>
      <w:rFonts w:ascii="Arial" w:hAnsi="Arial" w:cs="Arial"/>
      <w:szCs w:val="22"/>
    </w:rPr>
  </w:style>
  <w:style w:type="character" w:customStyle="1" w:styleId="Header1">
    <w:name w:val="Header1"/>
  </w:style>
  <w:style w:type="character" w:styleId="Hyperlink">
    <w:name w:val="Hyperlink"/>
    <w:basedOn w:val="DefaultParagraphFont"/>
    <w:unhideWhenUsed/>
    <w:rsid w:val="00CC54A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54A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CC54A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CF563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96440"/>
  </w:style>
  <w:style w:type="character" w:styleId="UnresolvedMention">
    <w:name w:val="Unresolved Mention"/>
    <w:basedOn w:val="DefaultParagraphFont"/>
    <w:uiPriority w:val="99"/>
    <w:semiHidden/>
    <w:unhideWhenUsed/>
    <w:rsid w:val="00457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esb.org/pdf4/r20011.doc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aesb.org/pdf4/r23001.doc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esb.org/pdf4/wgq_contracts091423dm.doc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esb.org/pdf4/wgq_contracts072523fm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esb.org/pdf4/r23001.doc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Action:	___Accept as requested</vt:lpstr>
    </vt:vector>
  </TitlesOfParts>
  <Company>Enron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Action:	___Accept as requested</dc:title>
  <dc:creator>Mike Zoch</dc:creator>
  <cp:lastModifiedBy>Elizabeth M</cp:lastModifiedBy>
  <cp:revision>2</cp:revision>
  <cp:lastPrinted>2003-09-05T13:18:00Z</cp:lastPrinted>
  <dcterms:created xsi:type="dcterms:W3CDTF">2023-09-18T17:27:00Z</dcterms:created>
  <dcterms:modified xsi:type="dcterms:W3CDTF">2023-09-18T17:27:00Z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d3826ce-7c18-471d-9596-93de5bae332e_Enabled">
    <vt:lpwstr>true</vt:lpwstr>
  </property>
  <property fmtid="{D5CDD505-2E9C-101B-9397-08002B2CF9AE}" pid="4" name="MSIP_Label_ed3826ce-7c18-471d-9596-93de5bae332e_SetDate">
    <vt:lpwstr>2023-01-17T16:28:22Z</vt:lpwstr>
  </property>
  <property fmtid="{D5CDD505-2E9C-101B-9397-08002B2CF9AE}" pid="5" name="MSIP_Label_ed3826ce-7c18-471d-9596-93de5bae332e_Method">
    <vt:lpwstr>Standard</vt:lpwstr>
  </property>
  <property fmtid="{D5CDD505-2E9C-101B-9397-08002B2CF9AE}" pid="6" name="MSIP_Label_ed3826ce-7c18-471d-9596-93de5bae332e_Name">
    <vt:lpwstr>Internal</vt:lpwstr>
  </property>
  <property fmtid="{D5CDD505-2E9C-101B-9397-08002B2CF9AE}" pid="7" name="MSIP_Label_ed3826ce-7c18-471d-9596-93de5bae332e_SiteId">
    <vt:lpwstr>c0a02e2d-1186-410a-8895-0a4a252ebf17</vt:lpwstr>
  </property>
  <property fmtid="{D5CDD505-2E9C-101B-9397-08002B2CF9AE}" pid="8" name="MSIP_Label_ed3826ce-7c18-471d-9596-93de5bae332e_ActionId">
    <vt:lpwstr>84540940-a0ca-4198-b09d-76d8f94c3c32</vt:lpwstr>
  </property>
  <property fmtid="{D5CDD505-2E9C-101B-9397-08002B2CF9AE}" pid="9" name="MSIP_Label_ed3826ce-7c18-471d-9596-93de5bae332e_ContentBits">
    <vt:lpwstr>0</vt:lpwstr>
  </property>
</Properties>
</file>