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72BD5E49" w:rsidR="00C44C62" w:rsidRPr="000E5855" w:rsidRDefault="00C44C62" w:rsidP="00844ACF">
      <w:pPr>
        <w:spacing w:before="120" w:after="120"/>
        <w:ind w:left="1440" w:hanging="1440"/>
      </w:pPr>
      <w:r w:rsidRPr="000E5855">
        <w:rPr>
          <w:b/>
          <w:bCs/>
        </w:rPr>
        <w:t xml:space="preserve">FROM: </w:t>
      </w:r>
      <w:r w:rsidRPr="000E5855">
        <w:rPr>
          <w:b/>
          <w:bCs/>
        </w:rPr>
        <w:tab/>
      </w:r>
      <w:r w:rsidR="003B3C00">
        <w:t>Jonathan Booe, NAESB Executive Vice President &amp; COO</w:t>
      </w:r>
      <w:r w:rsidR="0001475B">
        <w:t xml:space="preserve"> </w:t>
      </w:r>
    </w:p>
    <w:p w14:paraId="2BD3EE26" w14:textId="1FF6DF9A"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591EF6">
        <w:t>Final</w:t>
      </w:r>
      <w:r w:rsidR="00797596">
        <w:t xml:space="preserve"> </w:t>
      </w:r>
      <w:r w:rsidR="009C6E0F">
        <w:t>Minutes</w:t>
      </w:r>
      <w:r w:rsidR="00AB2744">
        <w:t xml:space="preserve"> –</w:t>
      </w:r>
      <w:r w:rsidR="002C4F30">
        <w:t xml:space="preserve">June </w:t>
      </w:r>
      <w:r w:rsidR="003B3C00">
        <w:t>26</w:t>
      </w:r>
      <w:r w:rsidR="00C90EC6">
        <w:t>,</w:t>
      </w:r>
      <w:r w:rsidR="00EF785A">
        <w:t xml:space="preserve"> 202</w:t>
      </w:r>
      <w:r w:rsidR="00896657">
        <w:t>6</w:t>
      </w:r>
    </w:p>
    <w:p w14:paraId="7C63E7B7" w14:textId="51901992"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 xml:space="preserve">June </w:t>
      </w:r>
      <w:r w:rsidR="006C42F1">
        <w:t>29</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52FDA633" w:rsidR="00C44C62" w:rsidRPr="00AE3183" w:rsidRDefault="002C4F30" w:rsidP="00AE3183">
      <w:pPr>
        <w:jc w:val="center"/>
        <w:rPr>
          <w:b/>
        </w:rPr>
      </w:pPr>
      <w:r>
        <w:rPr>
          <w:b/>
        </w:rPr>
        <w:t xml:space="preserve">June </w:t>
      </w:r>
      <w:r w:rsidR="006C42F1">
        <w:rPr>
          <w:b/>
        </w:rPr>
        <w:t>26</w:t>
      </w:r>
      <w:r w:rsidR="00EF785A">
        <w:rPr>
          <w:b/>
        </w:rPr>
        <w:t>, 202</w:t>
      </w:r>
      <w:r w:rsidR="00FD7DDA">
        <w:rPr>
          <w:b/>
        </w:rPr>
        <w:t>6</w:t>
      </w:r>
      <w:r w:rsidR="00EF785A">
        <w:rPr>
          <w:b/>
        </w:rPr>
        <w:t xml:space="preserve"> from </w:t>
      </w:r>
      <w:r w:rsidR="006C42F1">
        <w:rPr>
          <w:b/>
        </w:rPr>
        <w:t>1</w:t>
      </w:r>
      <w:r w:rsidR="00A7506D">
        <w:rPr>
          <w:b/>
        </w:rPr>
        <w:t>:</w:t>
      </w:r>
      <w:r w:rsidR="006C42F1">
        <w:rPr>
          <w:b/>
        </w:rPr>
        <w:t>30</w:t>
      </w:r>
      <w:r w:rsidR="00A7506D">
        <w:rPr>
          <w:b/>
        </w:rPr>
        <w:t xml:space="preserve"> </w:t>
      </w:r>
      <w:r>
        <w:rPr>
          <w:b/>
        </w:rPr>
        <w:t>P</w:t>
      </w:r>
      <w:r w:rsidR="00EF27BF">
        <w:rPr>
          <w:b/>
        </w:rPr>
        <w:t>M</w:t>
      </w:r>
      <w:r w:rsidR="00AB2744">
        <w:rPr>
          <w:b/>
        </w:rPr>
        <w:t xml:space="preserve"> to</w:t>
      </w:r>
      <w:r w:rsidR="00EF27BF">
        <w:rPr>
          <w:b/>
        </w:rPr>
        <w:t xml:space="preserve"> </w:t>
      </w:r>
      <w:r w:rsidR="006C42F1">
        <w:rPr>
          <w:b/>
        </w:rPr>
        <w:t>2</w:t>
      </w:r>
      <w:r w:rsidR="00A7506D">
        <w:rPr>
          <w:b/>
        </w:rPr>
        <w:t>:</w:t>
      </w:r>
      <w:r w:rsidR="006C42F1">
        <w:rPr>
          <w:b/>
        </w:rPr>
        <w:t>3</w:t>
      </w:r>
      <w:r w:rsidR="00A7506D">
        <w:rPr>
          <w:b/>
        </w:rPr>
        <w:t xml:space="preserve">0 </w:t>
      </w:r>
      <w:r>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4D0D31BA" w:rsidR="00C44C62" w:rsidRPr="00EE257D" w:rsidRDefault="00591EF6" w:rsidP="00EA2474">
      <w:pPr>
        <w:widowControl w:val="0"/>
        <w:spacing w:after="120"/>
        <w:jc w:val="center"/>
      </w:pPr>
      <w:r>
        <w:rPr>
          <w:b/>
          <w:bCs/>
          <w:u w:val="single"/>
        </w:rPr>
        <w:t>FINAL</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41F494BC"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w:t>
      </w:r>
      <w:r w:rsidR="003B3C00">
        <w:t xml:space="preserve">r. Booe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2C4F30">
        <w:t xml:space="preserve">Sappenfield </w:t>
      </w:r>
      <w:r w:rsidR="00F727AA">
        <w:t>moved</w:t>
      </w:r>
      <w:r w:rsidR="004C45FE">
        <w:t xml:space="preserve">, seconded by </w:t>
      </w:r>
      <w:r w:rsidR="0001475B">
        <w:t xml:space="preserve">Mr. </w:t>
      </w:r>
      <w:proofErr w:type="spellStart"/>
      <w:r w:rsidR="003B3C00">
        <w:t>Ipakchi</w:t>
      </w:r>
      <w:proofErr w:type="spellEnd"/>
      <w:r>
        <w:t>,</w:t>
      </w:r>
      <w:r w:rsidR="004C45FE">
        <w:t xml:space="preserve"> to adopt the agenda as final. The motion passed a simple majority vote without opposition.</w:t>
      </w:r>
    </w:p>
    <w:p w14:paraId="0093E113" w14:textId="5927BC03"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3B3C00">
        <w:t>June 4</w:t>
      </w:r>
      <w:r w:rsidR="002C4F30">
        <w:t>,</w:t>
      </w:r>
      <w:r w:rsidR="005F3442">
        <w:t xml:space="preserve">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023ACB">
        <w:t>Norton</w:t>
      </w:r>
      <w:r w:rsidR="00D1056C">
        <w:t xml:space="preserve"> </w:t>
      </w:r>
      <w:r>
        <w:t xml:space="preserve">moved, seconded by </w:t>
      </w:r>
      <w:r w:rsidR="00F727AA">
        <w:t>M</w:t>
      </w:r>
      <w:r w:rsidR="00C6065E">
        <w:t>r</w:t>
      </w:r>
      <w:r w:rsidR="00F727AA">
        <w:t>.</w:t>
      </w:r>
      <w:r w:rsidR="00E3766B">
        <w:t xml:space="preserve"> </w:t>
      </w:r>
      <w:r w:rsidR="002C4F30">
        <w:t>Sappenfield</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2C4F30">
        <w:t xml:space="preserve"> </w:t>
      </w:r>
      <w:hyperlink r:id="rId8" w:history="1">
        <w:r w:rsidR="00487D20" w:rsidRPr="008E7028">
          <w:rPr>
            <w:rStyle w:val="Hyperlink"/>
          </w:rPr>
          <w:t>https://naesb.org/pdf4/weq_rmq_bps060426fm.docx</w:t>
        </w:r>
      </w:hyperlink>
      <w:r w:rsidR="00487D20">
        <w:t xml:space="preserve"> </w:t>
      </w:r>
      <w:r w:rsidR="00FF50E5">
        <w:t xml:space="preserve"> </w:t>
      </w:r>
    </w:p>
    <w:p w14:paraId="543D33C1" w14:textId="0172BAFA" w:rsidR="00E04E04"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32F354DE" w14:textId="77777777" w:rsidR="007B05E2" w:rsidRDefault="00842E6A" w:rsidP="00D1056C">
      <w:pPr>
        <w:widowControl w:val="0"/>
        <w:tabs>
          <w:tab w:val="left" w:pos="1440"/>
        </w:tabs>
        <w:spacing w:after="120"/>
        <w:jc w:val="both"/>
        <w:rPr>
          <w:bCs/>
        </w:rPr>
      </w:pPr>
      <w:r w:rsidRPr="00B3521C">
        <w:rPr>
          <w:bCs/>
        </w:rPr>
        <w:t xml:space="preserve">Mr. </w:t>
      </w:r>
      <w:r w:rsidR="00FF50E5">
        <w:rPr>
          <w:bCs/>
        </w:rPr>
        <w:t xml:space="preserve">Maples </w:t>
      </w:r>
      <w:r w:rsidR="008E5AB4">
        <w:rPr>
          <w:bCs/>
        </w:rPr>
        <w:t>stated that the</w:t>
      </w:r>
      <w:r w:rsidR="00837B10">
        <w:rPr>
          <w:bCs/>
        </w:rPr>
        <w:t xml:space="preserve"> WEQ Version 004.1 Business Practice Standards</w:t>
      </w:r>
      <w:r w:rsidR="008E5AB4">
        <w:rPr>
          <w:bCs/>
        </w:rPr>
        <w:t xml:space="preserve"> are scheduled to be published at the end of the year, and noted that any standards developed through this effort would need to adopted by the subcommittees in mid-September to be included in the upcoming publication.  He stated that he supports moving toward that goal and does not believe that the recent FERC action concerning </w:t>
      </w:r>
      <w:bookmarkStart w:id="0" w:name="_Hlk233381843"/>
      <w:r w:rsidR="008E5AB4">
        <w:rPr>
          <w:bCs/>
        </w:rPr>
        <w:t>the</w:t>
      </w:r>
      <w:r w:rsidR="008E5AB4" w:rsidRPr="008E5AB4">
        <w:t xml:space="preserve"> </w:t>
      </w:r>
      <w:r w:rsidR="008E5AB4" w:rsidRPr="008E5AB4">
        <w:rPr>
          <w:bCs/>
        </w:rPr>
        <w:t>Advance Notice of Proposed Rulemaking</w:t>
      </w:r>
      <w:r w:rsidR="008E5AB4">
        <w:rPr>
          <w:bCs/>
        </w:rPr>
        <w:t xml:space="preserve"> for the ISO/RTOs </w:t>
      </w:r>
      <w:bookmarkEnd w:id="0"/>
      <w:r w:rsidR="008E5AB4">
        <w:rPr>
          <w:bCs/>
        </w:rPr>
        <w:t>will significantly impact the subcommittee’s activities.  He asked if there w</w:t>
      </w:r>
      <w:r w:rsidR="000227D6">
        <w:rPr>
          <w:bCs/>
        </w:rPr>
        <w:t xml:space="preserve">ere any concerns with that direction.  None were offered. Also, Mr. Maples noted that he researched the EPRI documentation noted during the previous meeting, and that due to </w:t>
      </w:r>
      <w:r w:rsidR="00837B10">
        <w:rPr>
          <w:bCs/>
        </w:rPr>
        <w:t xml:space="preserve">access limitations, </w:t>
      </w:r>
      <w:r w:rsidR="000227D6">
        <w:rPr>
          <w:bCs/>
        </w:rPr>
        <w:t>it is no</w:t>
      </w:r>
      <w:r w:rsidR="00837B10">
        <w:rPr>
          <w:bCs/>
        </w:rPr>
        <w:t>t a</w:t>
      </w:r>
      <w:r w:rsidR="008E5AB4">
        <w:rPr>
          <w:bCs/>
        </w:rPr>
        <w:t xml:space="preserve"> practical </w:t>
      </w:r>
      <w:r w:rsidR="00837B10">
        <w:rPr>
          <w:bCs/>
        </w:rPr>
        <w:t xml:space="preserve">starting point for the </w:t>
      </w:r>
      <w:r w:rsidR="000227D6">
        <w:rPr>
          <w:bCs/>
        </w:rPr>
        <w:t xml:space="preserve">identification of </w:t>
      </w:r>
      <w:r w:rsidR="00837B10">
        <w:rPr>
          <w:bCs/>
        </w:rPr>
        <w:t>initial data field</w:t>
      </w:r>
      <w:r w:rsidR="000227D6">
        <w:rPr>
          <w:bCs/>
        </w:rPr>
        <w:t xml:space="preserve">s to be incorporated into the standard.  </w:t>
      </w:r>
      <w:r w:rsidR="00837B10">
        <w:rPr>
          <w:bCs/>
        </w:rPr>
        <w:t xml:space="preserve"> </w:t>
      </w:r>
      <w:r w:rsidR="000227D6">
        <w:rPr>
          <w:bCs/>
        </w:rPr>
        <w:t>He recommended that the</w:t>
      </w:r>
      <w:r w:rsidR="00837B10">
        <w:rPr>
          <w:bCs/>
        </w:rPr>
        <w:t xml:space="preserve"> participants utilize the </w:t>
      </w:r>
      <w:hyperlink r:id="rId9" w:history="1">
        <w:r w:rsidR="000227D6" w:rsidRPr="000227D6">
          <w:rPr>
            <w:rStyle w:val="Hyperlink"/>
            <w:bCs/>
          </w:rPr>
          <w:t>2023 WEQ BPS DER Aggregation Use Case Work Paper</w:t>
        </w:r>
      </w:hyperlink>
      <w:r w:rsidR="000227D6">
        <w:rPr>
          <w:bCs/>
        </w:rPr>
        <w:t xml:space="preserve">, also discussed during the last meeting, to develop a list and asked that the participants review the document and provide recommended updates prior to the next meeting.  </w:t>
      </w:r>
    </w:p>
    <w:p w14:paraId="32E742E5" w14:textId="79957960" w:rsidR="00837B10" w:rsidRDefault="000227D6" w:rsidP="00D1056C">
      <w:pPr>
        <w:widowControl w:val="0"/>
        <w:tabs>
          <w:tab w:val="left" w:pos="1440"/>
        </w:tabs>
        <w:spacing w:after="120"/>
        <w:jc w:val="both"/>
        <w:rPr>
          <w:bCs/>
        </w:rPr>
      </w:pPr>
      <w:r>
        <w:rPr>
          <w:bCs/>
        </w:rPr>
        <w:t>Mr. Sappenfield confirmed that the proposed process is to develop standards prior to considering the development of the originally envisioned entity registry.</w:t>
      </w:r>
      <w:r w:rsidR="007B05E2">
        <w:rPr>
          <w:bCs/>
        </w:rPr>
        <w:t xml:space="preserve">  Mr. </w:t>
      </w:r>
      <w:proofErr w:type="spellStart"/>
      <w:r w:rsidR="007B05E2">
        <w:rPr>
          <w:bCs/>
        </w:rPr>
        <w:t>Ipakchi</w:t>
      </w:r>
      <w:proofErr w:type="spellEnd"/>
      <w:r w:rsidR="007B05E2">
        <w:rPr>
          <w:bCs/>
        </w:rPr>
        <w:t xml:space="preserve"> </w:t>
      </w:r>
      <w:r w:rsidR="007B05E2" w:rsidRPr="007B05E2">
        <w:rPr>
          <w:bCs/>
        </w:rPr>
        <w:t xml:space="preserve">stated that the </w:t>
      </w:r>
      <w:r w:rsidR="007B05E2">
        <w:rPr>
          <w:bCs/>
        </w:rPr>
        <w:t>discussion during the previous meeting concerning</w:t>
      </w:r>
      <w:r w:rsidR="007B05E2" w:rsidRPr="007B05E2">
        <w:rPr>
          <w:bCs/>
        </w:rPr>
        <w:t xml:space="preserve"> </w:t>
      </w:r>
      <w:r w:rsidR="007B05E2">
        <w:rPr>
          <w:bCs/>
        </w:rPr>
        <w:t xml:space="preserve">the development of </w:t>
      </w:r>
      <w:r w:rsidR="007B05E2" w:rsidRPr="007B05E2">
        <w:rPr>
          <w:bCs/>
        </w:rPr>
        <w:t xml:space="preserve">data models versus interoperability standards </w:t>
      </w:r>
      <w:r w:rsidR="007B05E2">
        <w:rPr>
          <w:bCs/>
        </w:rPr>
        <w:t>was helpful and cautioned that only utilizing the CIM may present issues as the use and attributes</w:t>
      </w:r>
      <w:r w:rsidR="007B05E2" w:rsidRPr="007B05E2">
        <w:rPr>
          <w:bCs/>
        </w:rPr>
        <w:t xml:space="preserve"> of DER</w:t>
      </w:r>
      <w:r w:rsidR="007B05E2">
        <w:rPr>
          <w:bCs/>
        </w:rPr>
        <w:t>s will evolve time</w:t>
      </w:r>
      <w:r w:rsidR="00977EDD">
        <w:rPr>
          <w:bCs/>
        </w:rPr>
        <w:t xml:space="preserve"> and</w:t>
      </w:r>
      <w:r w:rsidR="007B05E2">
        <w:rPr>
          <w:bCs/>
        </w:rPr>
        <w:t xml:space="preserve"> will require flexibility.  </w:t>
      </w:r>
      <w:r w:rsidR="00977EDD" w:rsidRPr="00977EDD">
        <w:rPr>
          <w:bCs/>
        </w:rPr>
        <w:t xml:space="preserve">Mr. Maples agreed with </w:t>
      </w:r>
      <w:r w:rsidR="00977EDD">
        <w:rPr>
          <w:bCs/>
        </w:rPr>
        <w:t>the</w:t>
      </w:r>
      <w:r w:rsidR="00977EDD" w:rsidRPr="00977EDD">
        <w:rPr>
          <w:bCs/>
        </w:rPr>
        <w:t xml:space="preserve"> comment and </w:t>
      </w:r>
      <w:r w:rsidR="00977EDD">
        <w:rPr>
          <w:bCs/>
        </w:rPr>
        <w:t>stated that the</w:t>
      </w:r>
      <w:r w:rsidR="00977EDD" w:rsidRPr="00977EDD">
        <w:rPr>
          <w:bCs/>
        </w:rPr>
        <w:t xml:space="preserve"> intent of referencing CIM is not to require its use, but rather to identify the data fields believed to be critical for inclusion when DERs or aggregations register, with an optional mapping of those fields for entities that choose to use </w:t>
      </w:r>
      <w:r w:rsidR="00977EDD">
        <w:rPr>
          <w:bCs/>
        </w:rPr>
        <w:t>the CIM.  Mr. Kathan stated that there is a divergence on whether registries should serve as a</w:t>
      </w:r>
      <w:r w:rsidR="00977EDD" w:rsidRPr="00977EDD">
        <w:rPr>
          <w:bCs/>
        </w:rPr>
        <w:t xml:space="preserve"> database that could be queried directly or as a reporting requirement</w:t>
      </w:r>
      <w:r w:rsidR="00977EDD">
        <w:rPr>
          <w:bCs/>
        </w:rPr>
        <w:t xml:space="preserve"> and noted a recent filing by utilities with the Maryland Public Service Commission.  He also stated that the CIM is extendable. Mr. Sappenfield stated that he supports using the identified workpaper as the starting point of the data element list and noted the importance of developing a process for maintaining it that does not </w:t>
      </w:r>
      <w:r w:rsidR="00977EDD">
        <w:rPr>
          <w:bCs/>
        </w:rPr>
        <w:lastRenderedPageBreak/>
        <w:t>require the subcommittees to continually update it through meetings.  Mr. Maples agreed and stated that it is not intended to be a living document</w:t>
      </w:r>
      <w:r w:rsidR="0022563E">
        <w:rPr>
          <w:bCs/>
        </w:rPr>
        <w:t xml:space="preserve"> requiring extensive maintenance. </w:t>
      </w:r>
    </w:p>
    <w:p w14:paraId="765E63EA" w14:textId="5C3BD7E4" w:rsidR="0022563E" w:rsidRDefault="0022563E" w:rsidP="00D1056C">
      <w:pPr>
        <w:widowControl w:val="0"/>
        <w:tabs>
          <w:tab w:val="left" w:pos="1440"/>
        </w:tabs>
        <w:spacing w:after="120"/>
        <w:jc w:val="both"/>
        <w:rPr>
          <w:bCs/>
        </w:rPr>
      </w:pPr>
      <w:r>
        <w:rPr>
          <w:bCs/>
        </w:rPr>
        <w:t xml:space="preserve">Mr. Maples briefly reviewed the Category Identity column of the workpaper to give the participants a sense of the type of information currently included and encouraged the participants to think of other categories of information that would be helpful to include.  Mr. </w:t>
      </w:r>
      <w:proofErr w:type="spellStart"/>
      <w:r>
        <w:rPr>
          <w:bCs/>
        </w:rPr>
        <w:t>Ipakchi</w:t>
      </w:r>
      <w:proofErr w:type="spellEnd"/>
      <w:r>
        <w:rPr>
          <w:bCs/>
        </w:rPr>
        <w:t xml:space="preserve"> asked if the standards would specify who is responsible for </w:t>
      </w:r>
      <w:r w:rsidRPr="0022563E">
        <w:rPr>
          <w:bCs/>
        </w:rPr>
        <w:t>providing data, adding new assets, and removing or excluding assets, and the overall process governing those updates.</w:t>
      </w:r>
      <w:r>
        <w:rPr>
          <w:bCs/>
        </w:rPr>
        <w:t xml:space="preserve">  Mr. Maples responded that data privacy, security and integrity were originally raised as concerns during the development of the concept paper and that the focus should be to </w:t>
      </w:r>
      <w:r w:rsidRPr="0022563E">
        <w:rPr>
          <w:bCs/>
        </w:rPr>
        <w:t>establish data standards</w:t>
      </w:r>
      <w:r>
        <w:rPr>
          <w:bCs/>
        </w:rPr>
        <w:t>/fields</w:t>
      </w:r>
      <w:r w:rsidRPr="0022563E">
        <w:rPr>
          <w:bCs/>
        </w:rPr>
        <w:t xml:space="preserve"> </w:t>
      </w:r>
      <w:r>
        <w:rPr>
          <w:bCs/>
        </w:rPr>
        <w:t xml:space="preserve">that can be utilized by </w:t>
      </w:r>
      <w:r w:rsidRPr="0022563E">
        <w:rPr>
          <w:bCs/>
        </w:rPr>
        <w:t xml:space="preserve">individual utilities, states, or RTOs/ISOs </w:t>
      </w:r>
      <w:r>
        <w:rPr>
          <w:bCs/>
        </w:rPr>
        <w:t xml:space="preserve">in the </w:t>
      </w:r>
      <w:r w:rsidRPr="0022563E">
        <w:rPr>
          <w:bCs/>
        </w:rPr>
        <w:t>develop</w:t>
      </w:r>
      <w:r>
        <w:rPr>
          <w:bCs/>
        </w:rPr>
        <w:t>ment of</w:t>
      </w:r>
      <w:r w:rsidRPr="0022563E">
        <w:rPr>
          <w:bCs/>
        </w:rPr>
        <w:t xml:space="preserve"> their own registries</w:t>
      </w:r>
      <w:r>
        <w:rPr>
          <w:bCs/>
        </w:rPr>
        <w:t xml:space="preserve">. He stated that </w:t>
      </w:r>
      <w:r w:rsidRPr="0022563E">
        <w:rPr>
          <w:bCs/>
        </w:rPr>
        <w:t>this effort would</w:t>
      </w:r>
      <w:r>
        <w:rPr>
          <w:bCs/>
        </w:rPr>
        <w:t xml:space="preserve"> result in</w:t>
      </w:r>
      <w:r w:rsidRPr="0022563E">
        <w:rPr>
          <w:bCs/>
        </w:rPr>
        <w:t xml:space="preserve"> a useful starting framework that would support future interoperability</w:t>
      </w:r>
      <w:r>
        <w:rPr>
          <w:bCs/>
        </w:rPr>
        <w:t xml:space="preserve"> for those entities</w:t>
      </w:r>
      <w:r w:rsidRPr="0022563E">
        <w:rPr>
          <w:bCs/>
        </w:rPr>
        <w:t>,</w:t>
      </w:r>
      <w:r>
        <w:rPr>
          <w:bCs/>
        </w:rPr>
        <w:t xml:space="preserve"> and if the need for a centralized registry becomes apparent, NAESB can address that at a later time.  Mr. Kathan stated that identifying </w:t>
      </w:r>
      <w:r w:rsidR="004117CD">
        <w:rPr>
          <w:bCs/>
        </w:rPr>
        <w:t xml:space="preserve">information concerning the retail tariff the DER asset is working under would be helpful and could mitigate double counting issues.  Mr. Maples agreed and stated </w:t>
      </w:r>
      <w:r w:rsidR="004117CD" w:rsidRPr="004117CD">
        <w:rPr>
          <w:bCs/>
        </w:rPr>
        <w:t>that broader information about the connected utility, including the applicable retail program, connection type or tariff, may be a category that has not yet been fully explored in the list.</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542CD882" w14:textId="77777777" w:rsidR="00A70997" w:rsidRDefault="00F42051" w:rsidP="00444E36">
      <w:pPr>
        <w:widowControl w:val="0"/>
        <w:tabs>
          <w:tab w:val="left" w:pos="1440"/>
        </w:tabs>
        <w:spacing w:after="120"/>
        <w:jc w:val="both"/>
      </w:pPr>
      <w:r w:rsidRPr="00260568">
        <w:t xml:space="preserve">Mr. </w:t>
      </w:r>
      <w:r w:rsidR="004813C5">
        <w:t xml:space="preserve">Maples stated that </w:t>
      </w:r>
      <w:r w:rsidR="00444E36">
        <w:t xml:space="preserve">he would work with Mr. Booe to schedule a meeting in three or four weeks to review the updates to the workpaper provided by the participants.  He also stated that they would provide an existing standard that can serve as a template for the creation of this new standard set.  </w:t>
      </w:r>
    </w:p>
    <w:p w14:paraId="2EFFCD53" w14:textId="686E765E" w:rsidR="00C062B5" w:rsidRPr="00A70997" w:rsidRDefault="00C062B5" w:rsidP="00A70997">
      <w:pPr>
        <w:pStyle w:val="ListParagraph"/>
        <w:widowControl w:val="0"/>
        <w:numPr>
          <w:ilvl w:val="0"/>
          <w:numId w:val="11"/>
        </w:numPr>
        <w:tabs>
          <w:tab w:val="left" w:pos="1440"/>
        </w:tabs>
        <w:spacing w:after="120"/>
        <w:jc w:val="both"/>
        <w:rPr>
          <w:b/>
          <w:bCs/>
        </w:rPr>
      </w:pPr>
      <w:r w:rsidRPr="00A70997">
        <w:rPr>
          <w:b/>
          <w:bCs/>
        </w:rPr>
        <w:t>Adjourn</w:t>
      </w:r>
    </w:p>
    <w:p w14:paraId="43C710D2" w14:textId="430C8222" w:rsidR="00D52200" w:rsidRPr="005E16DD" w:rsidRDefault="001B0954" w:rsidP="00BF45A4">
      <w:pPr>
        <w:widowControl w:val="0"/>
        <w:tabs>
          <w:tab w:val="left" w:pos="1440"/>
        </w:tabs>
        <w:spacing w:after="120"/>
        <w:jc w:val="both"/>
        <w:rPr>
          <w:bCs/>
        </w:rPr>
      </w:pPr>
      <w:r>
        <w:rPr>
          <w:bCs/>
        </w:rPr>
        <w:t xml:space="preserve">The meeting adjourned at </w:t>
      </w:r>
      <w:r w:rsidR="00444E36">
        <w:rPr>
          <w:bCs/>
        </w:rPr>
        <w:t>2</w:t>
      </w:r>
      <w:r w:rsidR="001B2608">
        <w:rPr>
          <w:bCs/>
        </w:rPr>
        <w:t>:</w:t>
      </w:r>
      <w:r w:rsidR="00444E36">
        <w:rPr>
          <w:bCs/>
        </w:rPr>
        <w:t>02</w:t>
      </w:r>
      <w:r w:rsidR="001B2608">
        <w:rPr>
          <w:bCs/>
        </w:rPr>
        <w:t xml:space="preserve"> P</w:t>
      </w:r>
      <w:r w:rsidR="000116F2">
        <w:rPr>
          <w:bCs/>
        </w:rPr>
        <w:t>M</w:t>
      </w:r>
      <w:r>
        <w:rPr>
          <w:bCs/>
        </w:rPr>
        <w:t xml:space="preserve"> Central</w:t>
      </w:r>
      <w:r w:rsidR="009702B8">
        <w:rPr>
          <w:bCs/>
        </w:rPr>
        <w:t xml:space="preserve"> on a motion by </w:t>
      </w:r>
      <w:r w:rsidR="00444E36">
        <w:rPr>
          <w:bCs/>
        </w:rPr>
        <w:t>Mr. Kathan</w:t>
      </w:r>
      <w:r w:rsidR="001B2608">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1"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8A7671" w:rsidRPr="00286562" w14:paraId="7F80D5A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0FCA99" w14:textId="5D3480CA" w:rsidR="008A7671" w:rsidRPr="008A7671" w:rsidRDefault="00444E36" w:rsidP="00B541DC">
            <w:pPr>
              <w:widowControl w:val="0"/>
              <w:spacing w:before="120"/>
              <w:rPr>
                <w:color w:val="000000"/>
              </w:rPr>
            </w:pPr>
            <w:r>
              <w:rPr>
                <w:color w:val="000000"/>
              </w:rPr>
              <w:t>Rebecca</w:t>
            </w:r>
          </w:p>
        </w:tc>
        <w:tc>
          <w:tcPr>
            <w:tcW w:w="2412" w:type="dxa"/>
            <w:tcBorders>
              <w:top w:val="nil"/>
              <w:left w:val="nil"/>
              <w:bottom w:val="nil"/>
              <w:right w:val="nil"/>
            </w:tcBorders>
            <w:tcMar>
              <w:top w:w="0" w:type="dxa"/>
              <w:left w:w="108" w:type="dxa"/>
              <w:bottom w:w="0" w:type="dxa"/>
              <w:right w:w="108" w:type="dxa"/>
            </w:tcMar>
            <w:vAlign w:val="bottom"/>
          </w:tcPr>
          <w:p w14:paraId="2EDC2CDE" w14:textId="6B86669D" w:rsidR="008A7671" w:rsidRPr="008A7671" w:rsidRDefault="00444E36" w:rsidP="00B541DC">
            <w:pPr>
              <w:widowControl w:val="0"/>
              <w:spacing w:before="120"/>
              <w:rPr>
                <w:color w:val="000000"/>
              </w:rPr>
            </w:pPr>
            <w:r>
              <w:rPr>
                <w:color w:val="000000"/>
              </w:rPr>
              <w:t>Berdahl</w:t>
            </w:r>
          </w:p>
        </w:tc>
        <w:tc>
          <w:tcPr>
            <w:tcW w:w="4698" w:type="dxa"/>
            <w:tcMar>
              <w:top w:w="0" w:type="dxa"/>
              <w:left w:w="108" w:type="dxa"/>
              <w:bottom w:w="0" w:type="dxa"/>
              <w:right w:w="108" w:type="dxa"/>
            </w:tcMar>
          </w:tcPr>
          <w:p w14:paraId="4FB21FF5" w14:textId="41842767" w:rsidR="008A7671" w:rsidRPr="008A7671" w:rsidRDefault="00444E36" w:rsidP="00B541DC">
            <w:pPr>
              <w:widowControl w:val="0"/>
              <w:spacing w:before="120"/>
              <w:rPr>
                <w:bCs/>
              </w:rPr>
            </w:pPr>
            <w:r>
              <w:rPr>
                <w:bCs/>
              </w:rPr>
              <w:t>BPA</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8A7671" w:rsidRDefault="006B3F14" w:rsidP="00B541DC">
            <w:pPr>
              <w:widowControl w:val="0"/>
              <w:spacing w:before="120"/>
              <w:rPr>
                <w:color w:val="000000"/>
              </w:rPr>
            </w:pPr>
            <w:r w:rsidRPr="008A7671">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8A7671" w:rsidRDefault="006B3F14" w:rsidP="00B541DC">
            <w:pPr>
              <w:widowControl w:val="0"/>
              <w:spacing w:before="120"/>
              <w:rPr>
                <w:color w:val="000000"/>
              </w:rPr>
            </w:pPr>
            <w:r w:rsidRPr="008A7671">
              <w:rPr>
                <w:color w:val="000000"/>
              </w:rPr>
              <w:t>Booe</w:t>
            </w:r>
          </w:p>
        </w:tc>
        <w:tc>
          <w:tcPr>
            <w:tcW w:w="4698" w:type="dxa"/>
            <w:tcMar>
              <w:top w:w="0" w:type="dxa"/>
              <w:left w:w="108" w:type="dxa"/>
              <w:bottom w:w="0" w:type="dxa"/>
              <w:right w:w="108" w:type="dxa"/>
            </w:tcMar>
          </w:tcPr>
          <w:p w14:paraId="56FB8DA2" w14:textId="1AD61E79" w:rsidR="006B3F14" w:rsidRPr="008A7671" w:rsidRDefault="006B3F14" w:rsidP="00B541DC">
            <w:pPr>
              <w:widowControl w:val="0"/>
              <w:spacing w:before="120"/>
              <w:rPr>
                <w:bCs/>
              </w:rPr>
            </w:pPr>
            <w:r w:rsidRPr="008A7671">
              <w:rPr>
                <w:bCs/>
              </w:rPr>
              <w:t>NAESB</w:t>
            </w:r>
          </w:p>
        </w:tc>
      </w:tr>
      <w:tr w:rsidR="008A7671" w:rsidRPr="00286562" w14:paraId="5FE11F0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D5E99B" w14:textId="5E7BB381" w:rsidR="008A7671" w:rsidRPr="008A7671" w:rsidRDefault="008A7671" w:rsidP="00B541DC">
            <w:pPr>
              <w:widowControl w:val="0"/>
              <w:spacing w:before="120"/>
              <w:rPr>
                <w:color w:val="000000"/>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0F6FA512" w14:textId="388D7EB5" w:rsidR="008A7671" w:rsidRPr="008A7671" w:rsidRDefault="008A7671" w:rsidP="00B541DC">
            <w:pPr>
              <w:widowControl w:val="0"/>
              <w:spacing w:before="120"/>
              <w:rPr>
                <w:color w:val="000000"/>
              </w:rPr>
            </w:pPr>
            <w:r>
              <w:rPr>
                <w:color w:val="000000"/>
              </w:rPr>
              <w:t>Brier</w:t>
            </w:r>
          </w:p>
        </w:tc>
        <w:tc>
          <w:tcPr>
            <w:tcW w:w="4698" w:type="dxa"/>
            <w:tcMar>
              <w:top w:w="0" w:type="dxa"/>
              <w:left w:w="108" w:type="dxa"/>
              <w:bottom w:w="0" w:type="dxa"/>
              <w:right w:w="108" w:type="dxa"/>
            </w:tcMar>
          </w:tcPr>
          <w:p w14:paraId="491C5B23" w14:textId="6D2F20A5" w:rsidR="008A7671" w:rsidRPr="008A7671" w:rsidRDefault="008A7671" w:rsidP="00B541DC">
            <w:pPr>
              <w:widowControl w:val="0"/>
              <w:spacing w:before="120"/>
              <w:rPr>
                <w:bCs/>
              </w:rPr>
            </w:pPr>
            <w:r>
              <w:rPr>
                <w:bCs/>
              </w:rPr>
              <w:t>BPA</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5DD022C9" w:rsidR="00B541DC" w:rsidRPr="008A7671" w:rsidRDefault="00444E36" w:rsidP="00B541DC">
            <w:pPr>
              <w:widowControl w:val="0"/>
              <w:spacing w:before="120"/>
              <w:rPr>
                <w:bCs/>
              </w:rPr>
            </w:pPr>
            <w:r>
              <w:rPr>
                <w:bCs/>
              </w:rPr>
              <w:t xml:space="preserve">Tom </w:t>
            </w:r>
          </w:p>
        </w:tc>
        <w:tc>
          <w:tcPr>
            <w:tcW w:w="2412" w:type="dxa"/>
            <w:tcBorders>
              <w:top w:val="nil"/>
              <w:left w:val="nil"/>
              <w:bottom w:val="nil"/>
              <w:right w:val="nil"/>
            </w:tcBorders>
            <w:tcMar>
              <w:top w:w="0" w:type="dxa"/>
              <w:left w:w="108" w:type="dxa"/>
              <w:bottom w:w="0" w:type="dxa"/>
              <w:right w:w="108" w:type="dxa"/>
            </w:tcMar>
            <w:vAlign w:val="bottom"/>
          </w:tcPr>
          <w:p w14:paraId="12981F23" w14:textId="0CA8365F" w:rsidR="00B541DC" w:rsidRPr="008A7671" w:rsidRDefault="00444E36" w:rsidP="00B541DC">
            <w:pPr>
              <w:widowControl w:val="0"/>
              <w:spacing w:before="120"/>
              <w:rPr>
                <w:bCs/>
              </w:rPr>
            </w:pPr>
            <w:r>
              <w:rPr>
                <w:bCs/>
              </w:rPr>
              <w:t>Chamberlain</w:t>
            </w:r>
          </w:p>
        </w:tc>
        <w:tc>
          <w:tcPr>
            <w:tcW w:w="4698" w:type="dxa"/>
            <w:tcMar>
              <w:top w:w="0" w:type="dxa"/>
              <w:left w:w="108" w:type="dxa"/>
              <w:bottom w:w="0" w:type="dxa"/>
              <w:right w:w="108" w:type="dxa"/>
            </w:tcMar>
          </w:tcPr>
          <w:p w14:paraId="70EF2A19" w14:textId="408CA2A3" w:rsidR="00B541DC" w:rsidRPr="008A7671" w:rsidRDefault="00444E36" w:rsidP="00B541DC">
            <w:pPr>
              <w:widowControl w:val="0"/>
              <w:spacing w:before="120"/>
              <w:rPr>
                <w:bCs/>
              </w:rPr>
            </w:pPr>
            <w:r>
              <w:rPr>
                <w:bCs/>
              </w:rPr>
              <w:t>Entergy</w:t>
            </w:r>
          </w:p>
        </w:tc>
      </w:tr>
      <w:tr w:rsidR="008A7671" w:rsidRPr="00286562" w14:paraId="31D8735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ACF1BF1" w14:textId="6AAF99B3" w:rsidR="008A7671" w:rsidRPr="008A7671" w:rsidRDefault="00444E36" w:rsidP="00B541DC">
            <w:pPr>
              <w:widowControl w:val="0"/>
              <w:spacing w:before="120"/>
              <w:rPr>
                <w:color w:val="000000"/>
              </w:rPr>
            </w:pPr>
            <w:r>
              <w:rPr>
                <w:color w:val="000000"/>
              </w:rPr>
              <w:t>Ali</w:t>
            </w:r>
          </w:p>
        </w:tc>
        <w:tc>
          <w:tcPr>
            <w:tcW w:w="2412" w:type="dxa"/>
            <w:tcBorders>
              <w:top w:val="nil"/>
              <w:left w:val="nil"/>
              <w:bottom w:val="nil"/>
              <w:right w:val="nil"/>
            </w:tcBorders>
            <w:tcMar>
              <w:top w:w="0" w:type="dxa"/>
              <w:left w:w="108" w:type="dxa"/>
              <w:bottom w:w="0" w:type="dxa"/>
              <w:right w:w="108" w:type="dxa"/>
            </w:tcMar>
            <w:vAlign w:val="bottom"/>
          </w:tcPr>
          <w:p w14:paraId="666FC929" w14:textId="3DB971D7" w:rsidR="008A7671" w:rsidRPr="008A7671" w:rsidRDefault="00444E36" w:rsidP="00B541DC">
            <w:pPr>
              <w:widowControl w:val="0"/>
              <w:spacing w:before="120"/>
              <w:rPr>
                <w:color w:val="000000"/>
              </w:rPr>
            </w:pPr>
            <w:proofErr w:type="spellStart"/>
            <w:r>
              <w:rPr>
                <w:color w:val="000000"/>
              </w:rPr>
              <w:t>Ipakchi</w:t>
            </w:r>
            <w:proofErr w:type="spellEnd"/>
          </w:p>
        </w:tc>
        <w:tc>
          <w:tcPr>
            <w:tcW w:w="4698" w:type="dxa"/>
            <w:tcMar>
              <w:top w:w="0" w:type="dxa"/>
              <w:left w:w="108" w:type="dxa"/>
              <w:bottom w:w="0" w:type="dxa"/>
              <w:right w:w="108" w:type="dxa"/>
            </w:tcMar>
          </w:tcPr>
          <w:p w14:paraId="69851736" w14:textId="3C8E6576" w:rsidR="008A7671" w:rsidRPr="008A7671" w:rsidRDefault="00444E36" w:rsidP="00B541DC">
            <w:pPr>
              <w:widowControl w:val="0"/>
              <w:spacing w:before="120"/>
              <w:rPr>
                <w:bCs/>
              </w:rPr>
            </w:pPr>
            <w:r>
              <w:rPr>
                <w:bCs/>
              </w:rPr>
              <w:t>OATI</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8A7671" w:rsidRDefault="00B541DC" w:rsidP="00B541DC">
            <w:pPr>
              <w:widowControl w:val="0"/>
              <w:spacing w:before="120"/>
              <w:rPr>
                <w:bCs/>
              </w:rPr>
            </w:pPr>
            <w:r w:rsidRPr="008A7671">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8A7671" w:rsidRDefault="00B541DC" w:rsidP="00B541DC">
            <w:pPr>
              <w:widowControl w:val="0"/>
              <w:spacing w:before="120"/>
              <w:rPr>
                <w:bCs/>
              </w:rPr>
            </w:pPr>
            <w:r w:rsidRPr="008A7671">
              <w:rPr>
                <w:color w:val="000000"/>
              </w:rPr>
              <w:t>Kathan</w:t>
            </w:r>
          </w:p>
        </w:tc>
        <w:tc>
          <w:tcPr>
            <w:tcW w:w="4698" w:type="dxa"/>
            <w:tcMar>
              <w:top w:w="0" w:type="dxa"/>
              <w:left w:w="108" w:type="dxa"/>
              <w:bottom w:w="0" w:type="dxa"/>
              <w:right w:w="108" w:type="dxa"/>
            </w:tcMar>
          </w:tcPr>
          <w:p w14:paraId="4FDE2353" w14:textId="0DA07A3B" w:rsidR="00B541DC" w:rsidRPr="008A7671" w:rsidRDefault="00B541DC" w:rsidP="00B541DC">
            <w:pPr>
              <w:widowControl w:val="0"/>
              <w:spacing w:before="120"/>
              <w:rPr>
                <w:bCs/>
              </w:rPr>
            </w:pPr>
            <w:r w:rsidRPr="008A7671">
              <w:rPr>
                <w:bCs/>
              </w:rPr>
              <w:t>Collaborative Utility Solutions</w:t>
            </w:r>
          </w:p>
        </w:tc>
      </w:tr>
      <w:tr w:rsidR="008A7671" w:rsidRPr="00286562" w14:paraId="11C05C5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8F0CCD0" w14:textId="75220D32" w:rsidR="008A7671" w:rsidRPr="008A7671" w:rsidRDefault="008A7671" w:rsidP="00B541DC">
            <w:pPr>
              <w:widowControl w:val="0"/>
              <w:spacing w:before="120"/>
              <w:rPr>
                <w:color w:val="000000"/>
              </w:rPr>
            </w:pPr>
            <w:r>
              <w:rPr>
                <w:color w:val="000000"/>
              </w:rPr>
              <w:t>Annabelle</w:t>
            </w:r>
          </w:p>
        </w:tc>
        <w:tc>
          <w:tcPr>
            <w:tcW w:w="2412" w:type="dxa"/>
            <w:tcBorders>
              <w:top w:val="nil"/>
              <w:left w:val="nil"/>
              <w:bottom w:val="nil"/>
              <w:right w:val="nil"/>
            </w:tcBorders>
            <w:tcMar>
              <w:top w:w="0" w:type="dxa"/>
              <w:left w:w="108" w:type="dxa"/>
              <w:bottom w:w="0" w:type="dxa"/>
              <w:right w:w="108" w:type="dxa"/>
            </w:tcMar>
            <w:vAlign w:val="bottom"/>
          </w:tcPr>
          <w:p w14:paraId="18EDF51F" w14:textId="6B92BB4B" w:rsidR="008A7671" w:rsidRPr="008A7671" w:rsidRDefault="008A7671" w:rsidP="00B541DC">
            <w:pPr>
              <w:widowControl w:val="0"/>
              <w:spacing w:before="120"/>
              <w:rPr>
                <w:color w:val="000000"/>
              </w:rPr>
            </w:pPr>
            <w:r>
              <w:rPr>
                <w:color w:val="000000"/>
              </w:rPr>
              <w:t>Lee</w:t>
            </w:r>
          </w:p>
        </w:tc>
        <w:tc>
          <w:tcPr>
            <w:tcW w:w="4698" w:type="dxa"/>
            <w:tcMar>
              <w:top w:w="0" w:type="dxa"/>
              <w:left w:w="108" w:type="dxa"/>
              <w:bottom w:w="0" w:type="dxa"/>
              <w:right w:w="108" w:type="dxa"/>
            </w:tcMar>
          </w:tcPr>
          <w:p w14:paraId="7BE16A85" w14:textId="34BD7C28" w:rsidR="008A7671" w:rsidRPr="008A7671" w:rsidRDefault="008A7671" w:rsidP="00B541DC">
            <w:pPr>
              <w:widowControl w:val="0"/>
              <w:spacing w:before="120"/>
              <w:rPr>
                <w:bCs/>
              </w:rPr>
            </w:pPr>
            <w:r>
              <w:rPr>
                <w:bCs/>
              </w:rPr>
              <w:t>Nevermore Security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A7671" w:rsidRDefault="00B541DC" w:rsidP="00B541DC">
            <w:pPr>
              <w:widowControl w:val="0"/>
              <w:spacing w:before="120"/>
              <w:rPr>
                <w:color w:val="000000"/>
              </w:rPr>
            </w:pPr>
            <w:r w:rsidRPr="008A7671">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A7671" w:rsidRDefault="00B541DC" w:rsidP="00B541DC">
            <w:pPr>
              <w:widowControl w:val="0"/>
              <w:spacing w:before="120"/>
              <w:rPr>
                <w:color w:val="000000"/>
              </w:rPr>
            </w:pPr>
            <w:r w:rsidRPr="008A7671">
              <w:rPr>
                <w:color w:val="000000"/>
              </w:rPr>
              <w:t>Maples</w:t>
            </w:r>
          </w:p>
        </w:tc>
        <w:tc>
          <w:tcPr>
            <w:tcW w:w="4698" w:type="dxa"/>
            <w:tcMar>
              <w:top w:w="0" w:type="dxa"/>
              <w:left w:w="108" w:type="dxa"/>
              <w:bottom w:w="0" w:type="dxa"/>
              <w:right w:w="108" w:type="dxa"/>
            </w:tcMar>
          </w:tcPr>
          <w:p w14:paraId="6DE152B9" w14:textId="5C1690EA" w:rsidR="00B541DC" w:rsidRPr="008A7671" w:rsidRDefault="00B541DC" w:rsidP="00B541DC">
            <w:pPr>
              <w:widowControl w:val="0"/>
              <w:spacing w:before="120"/>
              <w:rPr>
                <w:bCs/>
              </w:rPr>
            </w:pPr>
            <w:proofErr w:type="spellStart"/>
            <w:r w:rsidRPr="008A7671">
              <w:rPr>
                <w:bCs/>
              </w:rPr>
              <w:t>Evergy</w:t>
            </w:r>
            <w:proofErr w:type="spellEnd"/>
          </w:p>
        </w:tc>
      </w:tr>
      <w:tr w:rsidR="008A7671" w:rsidRPr="00286562" w14:paraId="7440E66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A100500" w14:textId="09AD7B8F" w:rsidR="008A7671" w:rsidRPr="008A7671" w:rsidRDefault="008A7671"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39CC0DE" w14:textId="7DA3F474" w:rsidR="008A7671" w:rsidRPr="008A7671" w:rsidRDefault="008A7671"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3F9FE5D5" w14:textId="5D83E92B" w:rsidR="008A7671" w:rsidRPr="008A7671" w:rsidRDefault="008A7671" w:rsidP="00B541DC">
            <w:pPr>
              <w:widowControl w:val="0"/>
              <w:spacing w:before="120"/>
              <w:rPr>
                <w:bCs/>
              </w:rPr>
            </w:pPr>
            <w:r>
              <w:rPr>
                <w:bCs/>
              </w:rPr>
              <w:t>American Municipal Power</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8A7671" w:rsidRDefault="006B3F14" w:rsidP="00B541DC">
            <w:pPr>
              <w:widowControl w:val="0"/>
              <w:spacing w:before="120"/>
              <w:rPr>
                <w:color w:val="000000"/>
              </w:rPr>
            </w:pPr>
            <w:r w:rsidRPr="008A7671">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8A7671" w:rsidRDefault="006B3F14" w:rsidP="00B541DC">
            <w:pPr>
              <w:widowControl w:val="0"/>
              <w:spacing w:before="120"/>
              <w:rPr>
                <w:color w:val="000000"/>
              </w:rPr>
            </w:pPr>
            <w:r w:rsidRPr="008A7671">
              <w:rPr>
                <w:color w:val="000000"/>
              </w:rPr>
              <w:t>Porter</w:t>
            </w:r>
          </w:p>
        </w:tc>
        <w:tc>
          <w:tcPr>
            <w:tcW w:w="4698" w:type="dxa"/>
            <w:tcMar>
              <w:top w:w="0" w:type="dxa"/>
              <w:left w:w="108" w:type="dxa"/>
              <w:bottom w:w="0" w:type="dxa"/>
              <w:right w:w="108" w:type="dxa"/>
            </w:tcMar>
          </w:tcPr>
          <w:p w14:paraId="3C0CAD44" w14:textId="5A363C02" w:rsidR="006B3F14" w:rsidRPr="008A7671" w:rsidRDefault="006B3F14" w:rsidP="00B541DC">
            <w:pPr>
              <w:widowControl w:val="0"/>
              <w:spacing w:before="120"/>
              <w:rPr>
                <w:bCs/>
              </w:rPr>
            </w:pPr>
            <w:r w:rsidRPr="008A7671">
              <w:rPr>
                <w:bCs/>
              </w:rPr>
              <w:t>NYISO</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8A7671" w:rsidRDefault="00B541DC" w:rsidP="00B541DC">
            <w:pPr>
              <w:widowControl w:val="0"/>
              <w:spacing w:before="120"/>
              <w:rPr>
                <w:color w:val="000000"/>
              </w:rPr>
            </w:pPr>
            <w:r w:rsidRPr="008A7671">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8A7671" w:rsidRDefault="00B541DC" w:rsidP="00B541DC">
            <w:pPr>
              <w:widowControl w:val="0"/>
              <w:spacing w:before="120"/>
              <w:rPr>
                <w:color w:val="000000"/>
              </w:rPr>
            </w:pPr>
            <w:r w:rsidRPr="008A7671">
              <w:rPr>
                <w:color w:val="000000"/>
              </w:rPr>
              <w:t>Rahimi</w:t>
            </w:r>
          </w:p>
        </w:tc>
        <w:tc>
          <w:tcPr>
            <w:tcW w:w="4698" w:type="dxa"/>
            <w:tcMar>
              <w:top w:w="0" w:type="dxa"/>
              <w:left w:w="108" w:type="dxa"/>
              <w:bottom w:w="0" w:type="dxa"/>
              <w:right w:w="108" w:type="dxa"/>
            </w:tcMar>
          </w:tcPr>
          <w:p w14:paraId="5B925E7A" w14:textId="4B05A385" w:rsidR="00B541DC" w:rsidRPr="008A7671" w:rsidRDefault="00B541DC" w:rsidP="00B541DC">
            <w:pPr>
              <w:widowControl w:val="0"/>
              <w:spacing w:before="120"/>
              <w:rPr>
                <w:bCs/>
              </w:rPr>
            </w:pPr>
            <w:r w:rsidRPr="008A7671">
              <w:rPr>
                <w:bCs/>
              </w:rPr>
              <w:t>OATI</w:t>
            </w:r>
          </w:p>
        </w:tc>
      </w:tr>
      <w:tr w:rsidR="008A7671" w:rsidRPr="00286562" w14:paraId="1EC6C40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0D34B312" w14:textId="243EE55A" w:rsidR="008A7671" w:rsidRPr="008A7671" w:rsidRDefault="008A7671" w:rsidP="00B541DC">
            <w:pPr>
              <w:widowControl w:val="0"/>
              <w:spacing w:before="120"/>
              <w:rPr>
                <w:color w:val="000000"/>
              </w:rPr>
            </w:pPr>
            <w:r>
              <w:rPr>
                <w:color w:val="000000"/>
              </w:rPr>
              <w:t>Keith</w:t>
            </w:r>
          </w:p>
        </w:tc>
        <w:tc>
          <w:tcPr>
            <w:tcW w:w="2412" w:type="dxa"/>
            <w:tcBorders>
              <w:top w:val="nil"/>
              <w:left w:val="nil"/>
              <w:bottom w:val="nil"/>
              <w:right w:val="nil"/>
            </w:tcBorders>
            <w:tcMar>
              <w:top w:w="0" w:type="dxa"/>
              <w:left w:w="108" w:type="dxa"/>
              <w:bottom w:w="0" w:type="dxa"/>
              <w:right w:w="108" w:type="dxa"/>
            </w:tcMar>
            <w:vAlign w:val="bottom"/>
          </w:tcPr>
          <w:p w14:paraId="39C67748" w14:textId="42621E17" w:rsidR="008A7671" w:rsidRPr="008A7671" w:rsidRDefault="008A7671" w:rsidP="00B541DC">
            <w:pPr>
              <w:widowControl w:val="0"/>
              <w:spacing w:before="120"/>
              <w:rPr>
                <w:color w:val="000000"/>
              </w:rPr>
            </w:pPr>
            <w:r>
              <w:rPr>
                <w:color w:val="000000"/>
              </w:rPr>
              <w:t>Sappenfield</w:t>
            </w:r>
          </w:p>
        </w:tc>
        <w:tc>
          <w:tcPr>
            <w:tcW w:w="4698" w:type="dxa"/>
            <w:tcMar>
              <w:top w:w="0" w:type="dxa"/>
              <w:left w:w="108" w:type="dxa"/>
              <w:bottom w:w="0" w:type="dxa"/>
              <w:right w:w="108" w:type="dxa"/>
            </w:tcMar>
          </w:tcPr>
          <w:p w14:paraId="0DDAD269" w14:textId="02D8F9DF" w:rsidR="008A7671" w:rsidRPr="008A7671" w:rsidRDefault="008A7671" w:rsidP="00B541DC">
            <w:pPr>
              <w:widowControl w:val="0"/>
              <w:spacing w:before="120"/>
              <w:rPr>
                <w:bCs/>
              </w:rPr>
            </w:pPr>
            <w:r>
              <w:rPr>
                <w:bCs/>
              </w:rPr>
              <w:t>KS Energy Consultant</w:t>
            </w:r>
          </w:p>
        </w:tc>
      </w:tr>
      <w:bookmarkEnd w:id="1"/>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6577" w14:textId="77777777" w:rsidR="005636AA" w:rsidRDefault="005636AA">
      <w:r>
        <w:separator/>
      </w:r>
    </w:p>
  </w:endnote>
  <w:endnote w:type="continuationSeparator" w:id="0">
    <w:p w14:paraId="0DBB6B75" w14:textId="77777777" w:rsidR="005636AA" w:rsidRDefault="0056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2DA42C0B"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591EF6">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4E4866">
      <w:rPr>
        <w:sz w:val="18"/>
        <w:szCs w:val="18"/>
      </w:rPr>
      <w:t xml:space="preserve">June </w:t>
    </w:r>
    <w:r w:rsidR="006C42F1">
      <w:rPr>
        <w:sz w:val="18"/>
        <w:szCs w:val="18"/>
      </w:rPr>
      <w:t>26</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B579" w14:textId="77777777" w:rsidR="005636AA" w:rsidRDefault="005636AA">
      <w:r>
        <w:separator/>
      </w:r>
    </w:p>
  </w:footnote>
  <w:footnote w:type="continuationSeparator" w:id="0">
    <w:p w14:paraId="69F74818" w14:textId="77777777" w:rsidR="005636AA" w:rsidRDefault="0056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18"/>
  </w:num>
  <w:num w:numId="3">
    <w:abstractNumId w:val="34"/>
  </w:num>
  <w:num w:numId="4">
    <w:abstractNumId w:val="43"/>
  </w:num>
  <w:num w:numId="5">
    <w:abstractNumId w:val="10"/>
  </w:num>
  <w:num w:numId="6">
    <w:abstractNumId w:val="37"/>
  </w:num>
  <w:num w:numId="7">
    <w:abstractNumId w:val="8"/>
  </w:num>
  <w:num w:numId="8">
    <w:abstractNumId w:val="12"/>
  </w:num>
  <w:num w:numId="9">
    <w:abstractNumId w:val="13"/>
  </w:num>
  <w:num w:numId="10">
    <w:abstractNumId w:val="3"/>
  </w:num>
  <w:num w:numId="11">
    <w:abstractNumId w:val="24"/>
  </w:num>
  <w:num w:numId="12">
    <w:abstractNumId w:val="5"/>
  </w:num>
  <w:num w:numId="13">
    <w:abstractNumId w:val="16"/>
  </w:num>
  <w:num w:numId="14">
    <w:abstractNumId w:val="19"/>
  </w:num>
  <w:num w:numId="15">
    <w:abstractNumId w:val="11"/>
  </w:num>
  <w:num w:numId="16">
    <w:abstractNumId w:val="1"/>
  </w:num>
  <w:num w:numId="17">
    <w:abstractNumId w:val="47"/>
  </w:num>
  <w:num w:numId="18">
    <w:abstractNumId w:val="22"/>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4"/>
  </w:num>
  <w:num w:numId="22">
    <w:abstractNumId w:val="26"/>
  </w:num>
  <w:num w:numId="23">
    <w:abstractNumId w:val="39"/>
  </w:num>
  <w:num w:numId="24">
    <w:abstractNumId w:val="40"/>
  </w:num>
  <w:num w:numId="25">
    <w:abstractNumId w:val="20"/>
  </w:num>
  <w:num w:numId="26">
    <w:abstractNumId w:val="38"/>
  </w:num>
  <w:num w:numId="27">
    <w:abstractNumId w:val="21"/>
  </w:num>
  <w:num w:numId="28">
    <w:abstractNumId w:val="4"/>
  </w:num>
  <w:num w:numId="29">
    <w:abstractNumId w:val="29"/>
  </w:num>
  <w:num w:numId="30">
    <w:abstractNumId w:val="36"/>
  </w:num>
  <w:num w:numId="31">
    <w:abstractNumId w:val="42"/>
  </w:num>
  <w:num w:numId="32">
    <w:abstractNumId w:val="28"/>
  </w:num>
  <w:num w:numId="33">
    <w:abstractNumId w:val="27"/>
  </w:num>
  <w:num w:numId="34">
    <w:abstractNumId w:val="25"/>
  </w:num>
  <w:num w:numId="35">
    <w:abstractNumId w:val="31"/>
  </w:num>
  <w:num w:numId="36">
    <w:abstractNumId w:val="14"/>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 w:numId="41">
    <w:abstractNumId w:val="2"/>
  </w:num>
  <w:num w:numId="42">
    <w:abstractNumId w:val="0"/>
  </w:num>
  <w:num w:numId="43">
    <w:abstractNumId w:val="6"/>
  </w:num>
  <w:num w:numId="44">
    <w:abstractNumId w:val="9"/>
  </w:num>
  <w:num w:numId="45">
    <w:abstractNumId w:val="41"/>
  </w:num>
  <w:num w:numId="46">
    <w:abstractNumId w:val="30"/>
  </w:num>
  <w:num w:numId="47">
    <w:abstractNumId w:val="15"/>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7D6"/>
    <w:rsid w:val="000228E1"/>
    <w:rsid w:val="00022D0D"/>
    <w:rsid w:val="00022F2D"/>
    <w:rsid w:val="00022F68"/>
    <w:rsid w:val="00022FC3"/>
    <w:rsid w:val="0002328A"/>
    <w:rsid w:val="0002359A"/>
    <w:rsid w:val="00023ACB"/>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08"/>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ECA"/>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71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0D3"/>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DE2"/>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A2"/>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DEB"/>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3D3"/>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364"/>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616"/>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75C"/>
    <w:rsid w:val="001B1AB9"/>
    <w:rsid w:val="001B1B6E"/>
    <w:rsid w:val="001B1DA4"/>
    <w:rsid w:val="001B1E24"/>
    <w:rsid w:val="001B2064"/>
    <w:rsid w:val="001B2067"/>
    <w:rsid w:val="001B22BA"/>
    <w:rsid w:val="001B237D"/>
    <w:rsid w:val="001B2608"/>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032"/>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63E"/>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8F"/>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CE5"/>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4F30"/>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BFD"/>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93A"/>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4C13"/>
    <w:rsid w:val="0033532C"/>
    <w:rsid w:val="0033533A"/>
    <w:rsid w:val="00335D0F"/>
    <w:rsid w:val="00335E4D"/>
    <w:rsid w:val="00335ED8"/>
    <w:rsid w:val="00335F59"/>
    <w:rsid w:val="00336773"/>
    <w:rsid w:val="003367DB"/>
    <w:rsid w:val="00336C8F"/>
    <w:rsid w:val="00336E5C"/>
    <w:rsid w:val="00337016"/>
    <w:rsid w:val="00337262"/>
    <w:rsid w:val="00337375"/>
    <w:rsid w:val="00337738"/>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5E6"/>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4A0"/>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3C0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94"/>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61D"/>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7CD"/>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8BB"/>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4E36"/>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87D20"/>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41C"/>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866"/>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571"/>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6A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EA0"/>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1EF6"/>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8"/>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D09"/>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2F1"/>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5E8"/>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4FC2"/>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659"/>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582"/>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B77"/>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5E2"/>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22"/>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CE0"/>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B10"/>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3D42"/>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671"/>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69"/>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AB4"/>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856"/>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EAB"/>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77EDD"/>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205"/>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5E20"/>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728"/>
    <w:rsid w:val="00A109C6"/>
    <w:rsid w:val="00A10DF6"/>
    <w:rsid w:val="00A10F8B"/>
    <w:rsid w:val="00A11310"/>
    <w:rsid w:val="00A116A5"/>
    <w:rsid w:val="00A117AD"/>
    <w:rsid w:val="00A117FE"/>
    <w:rsid w:val="00A11DA2"/>
    <w:rsid w:val="00A12043"/>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AD1"/>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997"/>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934"/>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0"/>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3C5"/>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A2D"/>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6DD6"/>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360"/>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AFF"/>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4EAF"/>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A2"/>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77B"/>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08F"/>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1E"/>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190"/>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6F8"/>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176"/>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6FBB"/>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2DB"/>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47AA1"/>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60426fm.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weq_rmq_bps062626w1.xls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6230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2</cp:revision>
  <cp:lastPrinted>2012-04-04T10:38:00Z</cp:lastPrinted>
  <dcterms:created xsi:type="dcterms:W3CDTF">2026-07-16T20:39:00Z</dcterms:created>
  <dcterms:modified xsi:type="dcterms:W3CDTF">2026-07-16T20:39:00Z</dcterms:modified>
</cp:coreProperties>
</file>