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490" w:rsidRDefault="00657B9D" w:rsidP="00657B9D">
      <w:pPr>
        <w:pBdr>
          <w:top w:val="single" w:sz="4" w:space="1" w:color="auto"/>
          <w:left w:val="single" w:sz="4" w:space="4" w:color="auto"/>
          <w:bottom w:val="single" w:sz="4" w:space="1" w:color="auto"/>
          <w:right w:val="single" w:sz="4" w:space="4" w:color="auto"/>
        </w:pBdr>
      </w:pPr>
      <w:r>
        <w:t>2018 API 2.a.i 1  Joint assignment to OASIS and Business Practices Subcommittees</w:t>
      </w:r>
    </w:p>
    <w:p w:rsidR="00B64DE5" w:rsidRPr="00B64DE5" w:rsidRDefault="00B64DE5" w:rsidP="00657B9D">
      <w:pPr>
        <w:pBdr>
          <w:top w:val="single" w:sz="4" w:space="1" w:color="auto"/>
          <w:left w:val="single" w:sz="4" w:space="4" w:color="auto"/>
          <w:bottom w:val="single" w:sz="4" w:space="1" w:color="auto"/>
          <w:right w:val="single" w:sz="4" w:space="4" w:color="auto"/>
        </w:pBdr>
      </w:pPr>
      <w:r w:rsidRPr="00B64DE5">
        <w:t>Paragraphs 1627 of Order 890 – Posting of additional information on OASIS regarding firm transmission curtailments</w:t>
      </w:r>
    </w:p>
    <w:p w:rsidR="00657B9D" w:rsidRDefault="00B64DE5" w:rsidP="00657B9D">
      <w:pPr>
        <w:pBdr>
          <w:top w:val="single" w:sz="4" w:space="1" w:color="auto"/>
          <w:left w:val="single" w:sz="4" w:space="4" w:color="auto"/>
          <w:bottom w:val="single" w:sz="4" w:space="1" w:color="auto"/>
          <w:right w:val="single" w:sz="4" w:space="4" w:color="auto"/>
        </w:pBdr>
      </w:pPr>
      <w:r>
        <w:t xml:space="preserve">Individual Assignment:  </w:t>
      </w:r>
      <w:r w:rsidR="00657B9D" w:rsidRPr="00657B9D">
        <w:t>Provide a review of the API 2ai1 Template Structure and report on the information that is available from the IDC and the ECC</w:t>
      </w:r>
    </w:p>
    <w:p w:rsidR="00A22420" w:rsidRDefault="006D0297" w:rsidP="00A22420">
      <w:pPr>
        <w:jc w:val="center"/>
        <w:rPr>
          <w:b/>
        </w:rPr>
      </w:pPr>
      <w:r>
        <w:rPr>
          <w:b/>
        </w:rPr>
        <w:t xml:space="preserve">This work paper reflects the above assignment as it relates to the </w:t>
      </w:r>
      <w:r w:rsidR="00A22420">
        <w:rPr>
          <w:b/>
        </w:rPr>
        <w:t xml:space="preserve">previously developed 2.a.i.1 Template and the </w:t>
      </w:r>
      <w:r>
        <w:rPr>
          <w:b/>
        </w:rPr>
        <w:t>Eastern Interconnect</w:t>
      </w:r>
    </w:p>
    <w:p w:rsidR="00A22420" w:rsidRPr="00344BAD" w:rsidRDefault="00A22420" w:rsidP="00A22420">
      <w:pPr>
        <w:jc w:val="center"/>
        <w:rPr>
          <w:sz w:val="32"/>
          <w:szCs w:val="32"/>
        </w:rPr>
      </w:pPr>
      <w:r>
        <w:rPr>
          <w:sz w:val="32"/>
          <w:szCs w:val="32"/>
        </w:rPr>
        <w:t xml:space="preserve">2018 </w:t>
      </w:r>
      <w:r w:rsidRPr="00344BAD">
        <w:rPr>
          <w:sz w:val="32"/>
          <w:szCs w:val="32"/>
        </w:rPr>
        <w:t>API 2ai1 Template Structure</w:t>
      </w:r>
    </w:p>
    <w:p w:rsidR="00A22420" w:rsidRPr="0015141F" w:rsidRDefault="00A22420" w:rsidP="00A22420">
      <w:r>
        <w:t>1627. “…</w:t>
      </w:r>
      <w:r w:rsidRPr="0015141F">
        <w:t>These postings must include all circumstances and events contributing to the need for a firm service curtailment, specific services and customers curtailed (including the transmission provider’s own retail loads), and the duration of the curtailment</w:t>
      </w:r>
      <w:r>
        <w:t>….” (Excerpt from FERC Order 890 para 1627)</w:t>
      </w:r>
    </w:p>
    <w:tbl>
      <w:tblPr>
        <w:tblStyle w:val="TableGrid"/>
        <w:tblW w:w="0" w:type="auto"/>
        <w:tblLook w:val="04A0" w:firstRow="1" w:lastRow="0" w:firstColumn="1" w:lastColumn="0" w:noHBand="0" w:noVBand="1"/>
      </w:tblPr>
      <w:tblGrid>
        <w:gridCol w:w="4664"/>
        <w:gridCol w:w="4686"/>
      </w:tblGrid>
      <w:tr w:rsidR="00A22420" w:rsidTr="00A77BD2">
        <w:tc>
          <w:tcPr>
            <w:tcW w:w="4664" w:type="dxa"/>
          </w:tcPr>
          <w:p w:rsidR="00A22420" w:rsidRDefault="00A22420" w:rsidP="00A77BD2">
            <w:r>
              <w:t>Required Item</w:t>
            </w:r>
          </w:p>
        </w:tc>
        <w:tc>
          <w:tcPr>
            <w:tcW w:w="4686" w:type="dxa"/>
          </w:tcPr>
          <w:p w:rsidR="00A22420" w:rsidRDefault="00A22420" w:rsidP="00A77BD2">
            <w:r>
              <w:t>Data Element</w:t>
            </w:r>
          </w:p>
        </w:tc>
      </w:tr>
      <w:tr w:rsidR="00A22420" w:rsidTr="00A77BD2">
        <w:tc>
          <w:tcPr>
            <w:tcW w:w="4664" w:type="dxa"/>
          </w:tcPr>
          <w:p w:rsidR="00A22420" w:rsidRDefault="00A22420" w:rsidP="00A77BD2">
            <w:r>
              <w:t>Identification of the event (Firm curtailment event)</w:t>
            </w:r>
          </w:p>
        </w:tc>
        <w:tc>
          <w:tcPr>
            <w:tcW w:w="4686" w:type="dxa"/>
          </w:tcPr>
          <w:p w:rsidR="00A22420" w:rsidRDefault="00A22420" w:rsidP="00A77BD2">
            <w:r>
              <w:t>EVENT_ID (Definition in WEQ-003 will need to be expanded to include local procedures)</w:t>
            </w:r>
          </w:p>
        </w:tc>
      </w:tr>
      <w:tr w:rsidR="00A22420" w:rsidTr="00A77BD2">
        <w:tc>
          <w:tcPr>
            <w:tcW w:w="4664" w:type="dxa"/>
          </w:tcPr>
          <w:p w:rsidR="00A22420" w:rsidRDefault="00A22420" w:rsidP="00A77BD2">
            <w:r>
              <w:t>Reason (Circumstances &amp; events contributing)</w:t>
            </w:r>
          </w:p>
        </w:tc>
        <w:tc>
          <w:tcPr>
            <w:tcW w:w="4686" w:type="dxa"/>
          </w:tcPr>
          <w:p w:rsidR="00A22420" w:rsidRDefault="00A22420" w:rsidP="00A77BD2">
            <w:r w:rsidRPr="0015141F">
              <w:t>FACILITY_CLASS</w:t>
            </w:r>
            <w:r>
              <w:t xml:space="preserve"> &amp; </w:t>
            </w:r>
            <w:r w:rsidRPr="0015141F">
              <w:t>FACILITY_LIMIT_TYPE</w:t>
            </w:r>
            <w:r>
              <w:t xml:space="preserve"> &amp; </w:t>
            </w:r>
            <w:r w:rsidRPr="00314C3E">
              <w:t>ANNOTATION</w:t>
            </w:r>
            <w:r>
              <w:t xml:space="preserve"> &amp; </w:t>
            </w:r>
            <w:r w:rsidRPr="00314C3E">
              <w:t>PROCEDURE_NAME</w:t>
            </w:r>
            <w:r>
              <w:t xml:space="preserve"> &amp; </w:t>
            </w:r>
            <w:r w:rsidRPr="00314C3E">
              <w:t>PROCEDURE_LEVEL</w:t>
            </w:r>
          </w:p>
        </w:tc>
      </w:tr>
      <w:tr w:rsidR="00A22420" w:rsidTr="00A77BD2">
        <w:tc>
          <w:tcPr>
            <w:tcW w:w="4664" w:type="dxa"/>
          </w:tcPr>
          <w:p w:rsidR="00A22420" w:rsidRDefault="00A22420" w:rsidP="00A77BD2">
            <w:r>
              <w:t>Services Curtailed (Transmission product &amp; capacity)</w:t>
            </w:r>
          </w:p>
        </w:tc>
        <w:tc>
          <w:tcPr>
            <w:tcW w:w="4686" w:type="dxa"/>
          </w:tcPr>
          <w:p w:rsidR="00A22420" w:rsidRDefault="00A22420" w:rsidP="00A77BD2"/>
        </w:tc>
      </w:tr>
      <w:tr w:rsidR="00A22420" w:rsidTr="00A77BD2">
        <w:tc>
          <w:tcPr>
            <w:tcW w:w="4664" w:type="dxa"/>
          </w:tcPr>
          <w:p w:rsidR="00A22420" w:rsidRDefault="00A22420" w:rsidP="00A77BD2">
            <w:r>
              <w:t>Customers Curtailed (Entity Code)</w:t>
            </w:r>
          </w:p>
        </w:tc>
        <w:tc>
          <w:tcPr>
            <w:tcW w:w="4686" w:type="dxa"/>
          </w:tcPr>
          <w:p w:rsidR="00A22420" w:rsidRDefault="00A22420" w:rsidP="00A77BD2"/>
        </w:tc>
      </w:tr>
      <w:tr w:rsidR="00A22420" w:rsidTr="00A77BD2">
        <w:tc>
          <w:tcPr>
            <w:tcW w:w="4664" w:type="dxa"/>
          </w:tcPr>
          <w:p w:rsidR="00A22420" w:rsidRDefault="00A22420" w:rsidP="00A77BD2">
            <w:r>
              <w:t>Duration of the event</w:t>
            </w:r>
          </w:p>
        </w:tc>
        <w:tc>
          <w:tcPr>
            <w:tcW w:w="4686" w:type="dxa"/>
          </w:tcPr>
          <w:p w:rsidR="00A22420" w:rsidRDefault="00A22420" w:rsidP="00A77BD2">
            <w:r>
              <w:t>START_TIME &amp; STOP_TIME (curtailment event level &amp; sub level events as appropriate )</w:t>
            </w:r>
          </w:p>
        </w:tc>
      </w:tr>
    </w:tbl>
    <w:p w:rsidR="00A22420" w:rsidRDefault="00A22420" w:rsidP="00A22420">
      <w:pPr>
        <w:tabs>
          <w:tab w:val="left" w:pos="1530"/>
        </w:tabs>
      </w:pPr>
    </w:p>
    <w:p w:rsidR="006D0297" w:rsidRDefault="006D0297" w:rsidP="006D0297">
      <w:pPr>
        <w:rPr>
          <w:b/>
        </w:rPr>
      </w:pPr>
    </w:p>
    <w:p w:rsidR="006D0297" w:rsidRPr="006D0297" w:rsidRDefault="006D0297" w:rsidP="006D0297">
      <w:pPr>
        <w:rPr>
          <w:b/>
        </w:rPr>
      </w:pPr>
      <w:r w:rsidRPr="006D0297">
        <w:rPr>
          <w:b/>
        </w:rPr>
        <w:t>Interchange Distribution Calculator  (IDC)</w:t>
      </w:r>
    </w:p>
    <w:p w:rsidR="006D0297" w:rsidRDefault="006D0297" w:rsidP="006D0297">
      <w:pPr>
        <w:ind w:left="720"/>
      </w:pPr>
      <w:r>
        <w:t>The Interchange Distribution Calculator (IDC) uses TLR levels to define the severity of the loading on the transmission system as well as actions that will be taken by the IDC to relieve the overloading. TLRs are issued in levels from 0-6. TLR levels 3 and 5 are also sub-divided as a or b. These subdivisions define the timing for the start of the TLR.</w:t>
      </w:r>
    </w:p>
    <w:p w:rsidR="006D0297" w:rsidRDefault="006D0297" w:rsidP="006D0297">
      <w:pPr>
        <w:spacing w:before="120"/>
        <w:ind w:left="720"/>
      </w:pPr>
      <w:r>
        <w:t>The NERC Transmission Loading Relief (TLR) procedure utilizes a Pro-Rata curtailment method for all of the TLR Levels that require MW curtailment. For the Curtailment/Reallocation calculations during TLR Level 3a and 5a, Non-Firm Priority transactions (1NS through 6NN) and Firm Priority transactions (7F and 7FN) are assigned sub-priorities within each individual priority bucket in order to make the curtailment of Non-Firm transactions more efficient. When the transactions have been assigned to their Service Priority Bucket each tag is then analyzed a second time to give them a Sub-Priority within their associated Service Priority bucket such that when it is time to curtail in this bucket the MWs are curtailed utilizing these priorities.</w:t>
      </w:r>
    </w:p>
    <w:p w:rsidR="006D0297" w:rsidRDefault="006D0297" w:rsidP="00657B9D">
      <w:pPr>
        <w:tabs>
          <w:tab w:val="left" w:pos="1530"/>
        </w:tabs>
      </w:pPr>
    </w:p>
    <w:p w:rsidR="00657B9D" w:rsidRDefault="009C4DB8" w:rsidP="00657B9D">
      <w:pPr>
        <w:tabs>
          <w:tab w:val="left" w:pos="1530"/>
        </w:tabs>
      </w:pPr>
      <w:bookmarkStart w:id="0" w:name="_GoBack"/>
      <w:r>
        <w:lastRenderedPageBreak/>
        <w:t xml:space="preserve">Information currently available from the Interchange Distribution Calculator (IDC), application used in </w:t>
      </w:r>
      <w:bookmarkEnd w:id="0"/>
      <w:r>
        <w:t>the Eastern Interconnect (EI) to implement interchange transaction curtailments, is p</w:t>
      </w:r>
      <w:r w:rsidR="006D0297">
        <w:t>rovided in a number of sections</w:t>
      </w:r>
      <w:r w:rsidR="00664999">
        <w:t>.  The following shows the primary sections with key data therein:</w:t>
      </w:r>
    </w:p>
    <w:p w:rsidR="006D0297" w:rsidRDefault="006D0297" w:rsidP="00D1302F">
      <w:pPr>
        <w:pStyle w:val="ListParagraph"/>
        <w:numPr>
          <w:ilvl w:val="0"/>
          <w:numId w:val="1"/>
        </w:numPr>
        <w:tabs>
          <w:tab w:val="left" w:pos="1530"/>
        </w:tabs>
        <w:spacing w:after="0" w:line="240" w:lineRule="auto"/>
      </w:pPr>
      <w:r>
        <w:t>Flowgate Data (key data)</w:t>
      </w:r>
    </w:p>
    <w:p w:rsidR="006D0297" w:rsidRDefault="006D0297" w:rsidP="00D1302F">
      <w:pPr>
        <w:pStyle w:val="ListParagraph"/>
        <w:numPr>
          <w:ilvl w:val="1"/>
          <w:numId w:val="1"/>
        </w:numPr>
        <w:tabs>
          <w:tab w:val="left" w:pos="1530"/>
        </w:tabs>
        <w:spacing w:after="0" w:line="240" w:lineRule="auto"/>
      </w:pPr>
      <w:r>
        <w:t xml:space="preserve">IDC assignment identifier for a specific </w:t>
      </w:r>
      <w:r w:rsidR="00A22420">
        <w:t>event</w:t>
      </w:r>
    </w:p>
    <w:p w:rsidR="006D0297" w:rsidRDefault="006D0297" w:rsidP="00D1302F">
      <w:pPr>
        <w:pStyle w:val="ListParagraph"/>
        <w:numPr>
          <w:ilvl w:val="1"/>
          <w:numId w:val="1"/>
        </w:numPr>
        <w:tabs>
          <w:tab w:val="left" w:pos="1530"/>
        </w:tabs>
        <w:spacing w:after="0" w:line="240" w:lineRule="auto"/>
      </w:pPr>
      <w:r>
        <w:t>Common Name/description</w:t>
      </w:r>
    </w:p>
    <w:p w:rsidR="006D0297" w:rsidRDefault="006D0297" w:rsidP="00D1302F">
      <w:pPr>
        <w:pStyle w:val="ListParagraph"/>
        <w:numPr>
          <w:ilvl w:val="1"/>
          <w:numId w:val="1"/>
        </w:numPr>
        <w:tabs>
          <w:tab w:val="left" w:pos="1530"/>
        </w:tabs>
        <w:spacing w:after="0" w:line="240" w:lineRule="auto"/>
      </w:pPr>
      <w:r>
        <w:t>RC and TP and Control Area for specified flowgate</w:t>
      </w:r>
    </w:p>
    <w:p w:rsidR="006D0297" w:rsidRDefault="006D0297" w:rsidP="00D1302F">
      <w:pPr>
        <w:pStyle w:val="ListParagraph"/>
        <w:numPr>
          <w:ilvl w:val="0"/>
          <w:numId w:val="1"/>
        </w:numPr>
        <w:tabs>
          <w:tab w:val="left" w:pos="1530"/>
        </w:tabs>
        <w:spacing w:after="0" w:line="240" w:lineRule="auto"/>
      </w:pPr>
      <w:r>
        <w:t>TLR Data</w:t>
      </w:r>
      <w:r w:rsidR="00D1302F">
        <w:t xml:space="preserve"> (key data)</w:t>
      </w:r>
    </w:p>
    <w:p w:rsidR="006D0297" w:rsidRDefault="006D0297" w:rsidP="00D1302F">
      <w:pPr>
        <w:pStyle w:val="ListParagraph"/>
        <w:numPr>
          <w:ilvl w:val="1"/>
          <w:numId w:val="1"/>
        </w:numPr>
        <w:tabs>
          <w:tab w:val="left" w:pos="1530"/>
        </w:tabs>
        <w:spacing w:after="0" w:line="240" w:lineRule="auto"/>
      </w:pPr>
      <w:r>
        <w:t>Issuing RC</w:t>
      </w:r>
    </w:p>
    <w:p w:rsidR="006D0297" w:rsidRDefault="00D1302F" w:rsidP="00D1302F">
      <w:pPr>
        <w:pStyle w:val="ListParagraph"/>
        <w:numPr>
          <w:ilvl w:val="1"/>
          <w:numId w:val="1"/>
        </w:numPr>
        <w:tabs>
          <w:tab w:val="left" w:pos="1530"/>
        </w:tabs>
        <w:spacing w:after="0" w:line="240" w:lineRule="auto"/>
      </w:pPr>
      <w:r>
        <w:t>NERC report participation (Y/N)</w:t>
      </w:r>
    </w:p>
    <w:p w:rsidR="00D1302F" w:rsidRDefault="00D1302F" w:rsidP="00D1302F">
      <w:pPr>
        <w:pStyle w:val="ListParagraph"/>
        <w:numPr>
          <w:ilvl w:val="1"/>
          <w:numId w:val="1"/>
        </w:numPr>
        <w:tabs>
          <w:tab w:val="left" w:pos="1530"/>
        </w:tabs>
        <w:spacing w:after="0" w:line="240" w:lineRule="auto"/>
      </w:pPr>
      <w:r>
        <w:t>NNL involved (Y/N)</w:t>
      </w:r>
    </w:p>
    <w:p w:rsidR="00D1302F" w:rsidRDefault="00D1302F" w:rsidP="00D1302F">
      <w:pPr>
        <w:pStyle w:val="ListParagraph"/>
        <w:numPr>
          <w:ilvl w:val="1"/>
          <w:numId w:val="1"/>
        </w:numPr>
        <w:tabs>
          <w:tab w:val="left" w:pos="1530"/>
        </w:tabs>
        <w:spacing w:after="0" w:line="240" w:lineRule="auto"/>
      </w:pPr>
      <w:r>
        <w:t>TLR Start time/Date</w:t>
      </w:r>
    </w:p>
    <w:p w:rsidR="00D1302F" w:rsidRDefault="00D1302F" w:rsidP="00D1302F">
      <w:pPr>
        <w:pStyle w:val="ListParagraph"/>
        <w:numPr>
          <w:ilvl w:val="1"/>
          <w:numId w:val="1"/>
        </w:numPr>
        <w:tabs>
          <w:tab w:val="left" w:pos="1530"/>
        </w:tabs>
        <w:spacing w:after="0" w:line="240" w:lineRule="auto"/>
      </w:pPr>
      <w:r>
        <w:t>TLR Stop Time/Date</w:t>
      </w:r>
    </w:p>
    <w:p w:rsidR="00D1302F" w:rsidRDefault="00D1302F" w:rsidP="00D1302F">
      <w:pPr>
        <w:pStyle w:val="ListParagraph"/>
        <w:numPr>
          <w:ilvl w:val="1"/>
          <w:numId w:val="1"/>
        </w:numPr>
        <w:tabs>
          <w:tab w:val="left" w:pos="1530"/>
        </w:tabs>
        <w:spacing w:after="0" w:line="240" w:lineRule="auto"/>
      </w:pPr>
      <w:r>
        <w:t>Initial and Highest TLR for the specific event</w:t>
      </w:r>
    </w:p>
    <w:p w:rsidR="00D1302F" w:rsidRDefault="00D1302F" w:rsidP="00D1302F">
      <w:pPr>
        <w:pStyle w:val="ListParagraph"/>
        <w:numPr>
          <w:ilvl w:val="0"/>
          <w:numId w:val="1"/>
        </w:numPr>
        <w:tabs>
          <w:tab w:val="left" w:pos="1530"/>
        </w:tabs>
        <w:spacing w:after="0" w:line="240" w:lineRule="auto"/>
      </w:pPr>
      <w:r>
        <w:t>TLR action data</w:t>
      </w:r>
    </w:p>
    <w:p w:rsidR="00D1302F" w:rsidRDefault="00D1302F" w:rsidP="00D1302F">
      <w:pPr>
        <w:pStyle w:val="ListParagraph"/>
        <w:numPr>
          <w:ilvl w:val="1"/>
          <w:numId w:val="1"/>
        </w:numPr>
        <w:tabs>
          <w:tab w:val="left" w:pos="1530"/>
        </w:tabs>
        <w:spacing w:after="0" w:line="240" w:lineRule="auto"/>
      </w:pPr>
      <w:r>
        <w:t>Confirmation time of each TLR issuance</w:t>
      </w:r>
    </w:p>
    <w:p w:rsidR="00D1302F" w:rsidRDefault="00D1302F" w:rsidP="00D1302F">
      <w:pPr>
        <w:pStyle w:val="ListParagraph"/>
        <w:numPr>
          <w:ilvl w:val="1"/>
          <w:numId w:val="1"/>
        </w:numPr>
        <w:tabs>
          <w:tab w:val="left" w:pos="1530"/>
        </w:tabs>
        <w:spacing w:after="0" w:line="240" w:lineRule="auto"/>
      </w:pPr>
      <w:r>
        <w:t>Current level</w:t>
      </w:r>
    </w:p>
    <w:p w:rsidR="00D1302F" w:rsidRDefault="00D1302F" w:rsidP="00D1302F">
      <w:pPr>
        <w:pStyle w:val="ListParagraph"/>
        <w:numPr>
          <w:ilvl w:val="1"/>
          <w:numId w:val="1"/>
        </w:numPr>
        <w:tabs>
          <w:tab w:val="left" w:pos="1530"/>
        </w:tabs>
        <w:spacing w:after="0" w:line="240" w:lineRule="auto"/>
      </w:pPr>
      <w:r>
        <w:t>Priorities involved</w:t>
      </w:r>
    </w:p>
    <w:p w:rsidR="00D1302F" w:rsidRDefault="00D1302F" w:rsidP="00D1302F">
      <w:pPr>
        <w:pStyle w:val="ListParagraph"/>
        <w:numPr>
          <w:ilvl w:val="1"/>
          <w:numId w:val="1"/>
        </w:numPr>
        <w:tabs>
          <w:tab w:val="left" w:pos="1530"/>
        </w:tabs>
        <w:spacing w:after="0" w:line="240" w:lineRule="auto"/>
      </w:pPr>
      <w:r>
        <w:t>Schedules cut or held with respective levels</w:t>
      </w:r>
    </w:p>
    <w:p w:rsidR="00D1302F" w:rsidRDefault="00D1302F" w:rsidP="00D1302F">
      <w:pPr>
        <w:pStyle w:val="ListParagraph"/>
        <w:numPr>
          <w:ilvl w:val="1"/>
          <w:numId w:val="1"/>
        </w:numPr>
        <w:tabs>
          <w:tab w:val="left" w:pos="1530"/>
        </w:tabs>
        <w:spacing w:after="0" w:line="240" w:lineRule="auto"/>
      </w:pPr>
      <w:r>
        <w:t>NNL relief with Control Areas and amounts</w:t>
      </w:r>
    </w:p>
    <w:p w:rsidR="00D1302F" w:rsidRDefault="00D1302F" w:rsidP="00D1302F">
      <w:pPr>
        <w:pStyle w:val="ListParagraph"/>
        <w:numPr>
          <w:ilvl w:val="1"/>
          <w:numId w:val="1"/>
        </w:numPr>
        <w:tabs>
          <w:tab w:val="left" w:pos="1530"/>
        </w:tabs>
        <w:spacing w:after="0" w:line="240" w:lineRule="auto"/>
      </w:pPr>
      <w:r>
        <w:t>Market relief involved in event</w:t>
      </w:r>
    </w:p>
    <w:p w:rsidR="00D1302F" w:rsidRDefault="00D1302F" w:rsidP="00D1302F">
      <w:pPr>
        <w:pStyle w:val="ListParagraph"/>
        <w:numPr>
          <w:ilvl w:val="0"/>
          <w:numId w:val="1"/>
        </w:numPr>
        <w:tabs>
          <w:tab w:val="left" w:pos="1530"/>
        </w:tabs>
        <w:spacing w:after="0" w:line="240" w:lineRule="auto"/>
      </w:pPr>
      <w:r>
        <w:t>TLR Schedule Totals</w:t>
      </w:r>
    </w:p>
    <w:p w:rsidR="00D1302F" w:rsidRDefault="00D1302F" w:rsidP="00D1302F">
      <w:pPr>
        <w:pStyle w:val="ListParagraph"/>
        <w:numPr>
          <w:ilvl w:val="1"/>
          <w:numId w:val="1"/>
        </w:numPr>
        <w:tabs>
          <w:tab w:val="left" w:pos="1530"/>
        </w:tabs>
        <w:spacing w:after="0" w:line="240" w:lineRule="auto"/>
      </w:pPr>
      <w:r>
        <w:t>Priority of involved schedules with # of tags cut or held and amounts for each</w:t>
      </w:r>
    </w:p>
    <w:p w:rsidR="00D1302F" w:rsidRDefault="00D1302F" w:rsidP="00D1302F">
      <w:pPr>
        <w:pStyle w:val="ListParagraph"/>
        <w:numPr>
          <w:ilvl w:val="0"/>
          <w:numId w:val="1"/>
        </w:numPr>
        <w:tabs>
          <w:tab w:val="left" w:pos="1530"/>
        </w:tabs>
        <w:spacing w:after="0" w:line="240" w:lineRule="auto"/>
      </w:pPr>
      <w:r>
        <w:t>TLR Tracking</w:t>
      </w:r>
    </w:p>
    <w:p w:rsidR="00D1302F" w:rsidRDefault="00D1302F" w:rsidP="00D1302F">
      <w:pPr>
        <w:pStyle w:val="ListParagraph"/>
        <w:numPr>
          <w:ilvl w:val="0"/>
          <w:numId w:val="1"/>
        </w:numPr>
        <w:tabs>
          <w:tab w:val="left" w:pos="1530"/>
        </w:tabs>
        <w:spacing w:after="0" w:line="240" w:lineRule="auto"/>
      </w:pPr>
      <w:r>
        <w:t>Type of transaction involved</w:t>
      </w:r>
    </w:p>
    <w:p w:rsidR="00D1302F" w:rsidRDefault="00D1302F" w:rsidP="00664999">
      <w:pPr>
        <w:pStyle w:val="ListParagraph"/>
        <w:numPr>
          <w:ilvl w:val="1"/>
          <w:numId w:val="1"/>
        </w:numPr>
        <w:tabs>
          <w:tab w:val="left" w:pos="1530"/>
        </w:tabs>
        <w:spacing w:after="0" w:line="240" w:lineRule="auto"/>
      </w:pPr>
      <w:r>
        <w:t>Tag</w:t>
      </w:r>
    </w:p>
    <w:p w:rsidR="00D1302F" w:rsidRDefault="00664999" w:rsidP="00664999">
      <w:pPr>
        <w:pStyle w:val="ListParagraph"/>
        <w:numPr>
          <w:ilvl w:val="1"/>
          <w:numId w:val="1"/>
        </w:numPr>
        <w:tabs>
          <w:tab w:val="left" w:pos="1530"/>
        </w:tabs>
        <w:spacing w:after="0" w:line="240" w:lineRule="auto"/>
      </w:pPr>
      <w:r>
        <w:t>Relief provided over time</w:t>
      </w:r>
    </w:p>
    <w:p w:rsidR="00664999" w:rsidRDefault="00664999" w:rsidP="00664999">
      <w:pPr>
        <w:pStyle w:val="ListParagraph"/>
        <w:numPr>
          <w:ilvl w:val="0"/>
          <w:numId w:val="1"/>
        </w:numPr>
        <w:tabs>
          <w:tab w:val="left" w:pos="1530"/>
        </w:tabs>
        <w:spacing w:after="0" w:line="240" w:lineRule="auto"/>
      </w:pPr>
      <w:r>
        <w:t>Next Hour Reallocation Priority Summary</w:t>
      </w:r>
    </w:p>
    <w:p w:rsidR="00664999" w:rsidRDefault="00664999" w:rsidP="00664999">
      <w:pPr>
        <w:pStyle w:val="ListParagraph"/>
        <w:numPr>
          <w:ilvl w:val="1"/>
          <w:numId w:val="1"/>
        </w:numPr>
        <w:tabs>
          <w:tab w:val="left" w:pos="1530"/>
        </w:tabs>
        <w:spacing w:after="0" w:line="240" w:lineRule="auto"/>
      </w:pPr>
      <w:r>
        <w:t>Schedule data for next hour by priority</w:t>
      </w:r>
    </w:p>
    <w:p w:rsidR="00664999" w:rsidRDefault="00664999" w:rsidP="00664999">
      <w:pPr>
        <w:pStyle w:val="ListParagraph"/>
        <w:numPr>
          <w:ilvl w:val="0"/>
          <w:numId w:val="1"/>
        </w:numPr>
        <w:tabs>
          <w:tab w:val="left" w:pos="1530"/>
        </w:tabs>
        <w:spacing w:after="0" w:line="240" w:lineRule="auto"/>
      </w:pPr>
      <w:r>
        <w:t>Next Hour Allocation (key data)</w:t>
      </w:r>
    </w:p>
    <w:p w:rsidR="00664999" w:rsidRDefault="00664999" w:rsidP="00664999">
      <w:pPr>
        <w:pStyle w:val="ListParagraph"/>
        <w:numPr>
          <w:ilvl w:val="1"/>
          <w:numId w:val="1"/>
        </w:numPr>
        <w:tabs>
          <w:tab w:val="left" w:pos="1530"/>
        </w:tabs>
        <w:spacing w:after="0" w:line="240" w:lineRule="auto"/>
      </w:pPr>
      <w:r>
        <w:t>Sink RC</w:t>
      </w:r>
    </w:p>
    <w:p w:rsidR="00664999" w:rsidRDefault="00664999" w:rsidP="00664999">
      <w:pPr>
        <w:pStyle w:val="ListParagraph"/>
        <w:numPr>
          <w:ilvl w:val="1"/>
          <w:numId w:val="1"/>
        </w:numPr>
        <w:tabs>
          <w:tab w:val="left" w:pos="1530"/>
        </w:tabs>
        <w:spacing w:after="0" w:line="240" w:lineRule="auto"/>
      </w:pPr>
      <w:r>
        <w:t>Tag Name</w:t>
      </w:r>
    </w:p>
    <w:p w:rsidR="00664999" w:rsidRDefault="00664999" w:rsidP="00664999">
      <w:pPr>
        <w:pStyle w:val="ListParagraph"/>
        <w:numPr>
          <w:ilvl w:val="1"/>
          <w:numId w:val="1"/>
        </w:numPr>
        <w:tabs>
          <w:tab w:val="left" w:pos="1530"/>
        </w:tabs>
        <w:spacing w:after="0" w:line="240" w:lineRule="auto"/>
      </w:pPr>
      <w:r>
        <w:t>Source and Sink</w:t>
      </w:r>
    </w:p>
    <w:p w:rsidR="00664999" w:rsidRDefault="00664999" w:rsidP="00664999">
      <w:pPr>
        <w:pStyle w:val="ListParagraph"/>
        <w:numPr>
          <w:ilvl w:val="1"/>
          <w:numId w:val="1"/>
        </w:numPr>
        <w:tabs>
          <w:tab w:val="left" w:pos="1530"/>
        </w:tabs>
        <w:spacing w:after="0" w:line="240" w:lineRule="auto"/>
      </w:pPr>
      <w:r>
        <w:t>Tag Priority</w:t>
      </w:r>
    </w:p>
    <w:p w:rsidR="00664999" w:rsidRDefault="00664999" w:rsidP="00664999">
      <w:pPr>
        <w:pStyle w:val="ListParagraph"/>
        <w:numPr>
          <w:ilvl w:val="1"/>
          <w:numId w:val="1"/>
        </w:numPr>
        <w:tabs>
          <w:tab w:val="left" w:pos="1530"/>
        </w:tabs>
        <w:spacing w:after="0" w:line="240" w:lineRule="auto"/>
      </w:pPr>
      <w:r>
        <w:t>Curtailed amount</w:t>
      </w:r>
    </w:p>
    <w:p w:rsidR="000B5310" w:rsidRDefault="000B5310" w:rsidP="000B5310">
      <w:pPr>
        <w:pStyle w:val="ListParagraph"/>
        <w:numPr>
          <w:ilvl w:val="0"/>
          <w:numId w:val="1"/>
        </w:numPr>
        <w:tabs>
          <w:tab w:val="left" w:pos="1530"/>
        </w:tabs>
        <w:spacing w:after="0" w:line="240" w:lineRule="auto"/>
      </w:pPr>
      <w:r>
        <w:t>Tag Composite Transmission Stack Detail (per involved tag)</w:t>
      </w:r>
    </w:p>
    <w:p w:rsidR="000B5310" w:rsidRDefault="000B5310" w:rsidP="000B5310">
      <w:pPr>
        <w:pStyle w:val="ListParagraph"/>
        <w:numPr>
          <w:ilvl w:val="1"/>
          <w:numId w:val="1"/>
        </w:numPr>
        <w:tabs>
          <w:tab w:val="left" w:pos="1530"/>
        </w:tabs>
        <w:spacing w:after="0" w:line="240" w:lineRule="auto"/>
      </w:pPr>
      <w:r>
        <w:t>Tag Name</w:t>
      </w:r>
    </w:p>
    <w:p w:rsidR="000B5310" w:rsidRDefault="000B5310" w:rsidP="000B5310">
      <w:pPr>
        <w:pStyle w:val="ListParagraph"/>
        <w:numPr>
          <w:ilvl w:val="1"/>
          <w:numId w:val="1"/>
        </w:numPr>
        <w:tabs>
          <w:tab w:val="left" w:pos="1530"/>
        </w:tabs>
        <w:spacing w:after="0" w:line="240" w:lineRule="auto"/>
      </w:pPr>
      <w:r>
        <w:t>Impact</w:t>
      </w:r>
    </w:p>
    <w:p w:rsidR="000B5310" w:rsidRDefault="000B5310" w:rsidP="000B5310">
      <w:pPr>
        <w:pStyle w:val="ListParagraph"/>
        <w:numPr>
          <w:ilvl w:val="1"/>
          <w:numId w:val="1"/>
        </w:numPr>
        <w:tabs>
          <w:tab w:val="left" w:pos="1530"/>
        </w:tabs>
        <w:spacing w:after="0" w:line="240" w:lineRule="auto"/>
      </w:pPr>
      <w:r>
        <w:t>Flowgate</w:t>
      </w:r>
    </w:p>
    <w:p w:rsidR="000B5310" w:rsidRDefault="000B5310" w:rsidP="000B5310">
      <w:pPr>
        <w:pStyle w:val="ListParagraph"/>
        <w:numPr>
          <w:ilvl w:val="1"/>
          <w:numId w:val="1"/>
        </w:numPr>
        <w:tabs>
          <w:tab w:val="left" w:pos="1530"/>
        </w:tabs>
        <w:spacing w:after="0" w:line="240" w:lineRule="auto"/>
      </w:pPr>
      <w:r>
        <w:t>TLE Level</w:t>
      </w:r>
    </w:p>
    <w:p w:rsidR="000B5310" w:rsidRDefault="000B5310" w:rsidP="000B5310">
      <w:pPr>
        <w:pStyle w:val="ListParagraph"/>
        <w:numPr>
          <w:ilvl w:val="1"/>
          <w:numId w:val="1"/>
        </w:numPr>
        <w:tabs>
          <w:tab w:val="left" w:pos="1530"/>
        </w:tabs>
        <w:spacing w:after="0" w:line="240" w:lineRule="auto"/>
      </w:pPr>
      <w:r>
        <w:t>Direction</w:t>
      </w:r>
    </w:p>
    <w:p w:rsidR="000B5310" w:rsidRDefault="000B5310" w:rsidP="000B5310">
      <w:pPr>
        <w:pStyle w:val="ListParagraph"/>
        <w:numPr>
          <w:ilvl w:val="1"/>
          <w:numId w:val="1"/>
        </w:numPr>
        <w:tabs>
          <w:tab w:val="left" w:pos="1530"/>
        </w:tabs>
        <w:spacing w:after="0" w:line="240" w:lineRule="auto"/>
      </w:pPr>
      <w:r>
        <w:t>Market Coordination (MO)</w:t>
      </w:r>
    </w:p>
    <w:p w:rsidR="000B5310" w:rsidRDefault="000B5310" w:rsidP="000B5310">
      <w:pPr>
        <w:pStyle w:val="ListParagraph"/>
        <w:numPr>
          <w:ilvl w:val="1"/>
          <w:numId w:val="1"/>
        </w:numPr>
        <w:tabs>
          <w:tab w:val="left" w:pos="1530"/>
        </w:tabs>
        <w:spacing w:after="0" w:line="240" w:lineRule="auto"/>
      </w:pPr>
      <w:r>
        <w:t>Dynamic Schedule (Y/N)</w:t>
      </w:r>
    </w:p>
    <w:p w:rsidR="00664999" w:rsidRDefault="00664999" w:rsidP="00664999">
      <w:pPr>
        <w:pStyle w:val="ListParagraph"/>
        <w:tabs>
          <w:tab w:val="left" w:pos="1530"/>
        </w:tabs>
        <w:spacing w:after="0" w:line="240" w:lineRule="auto"/>
        <w:ind w:left="1440"/>
      </w:pPr>
    </w:p>
    <w:p w:rsidR="00A22420" w:rsidRDefault="00A22420" w:rsidP="00657B9D">
      <w:pPr>
        <w:tabs>
          <w:tab w:val="left" w:pos="1530"/>
        </w:tabs>
        <w:rPr>
          <w:b/>
        </w:rPr>
      </w:pPr>
    </w:p>
    <w:p w:rsidR="00C8522E" w:rsidRDefault="00C8522E" w:rsidP="00657B9D">
      <w:pPr>
        <w:tabs>
          <w:tab w:val="left" w:pos="1530"/>
        </w:tabs>
        <w:rPr>
          <w:b/>
        </w:rPr>
      </w:pPr>
    </w:p>
    <w:p w:rsidR="00C8522E" w:rsidRDefault="00C8522E" w:rsidP="00657B9D">
      <w:pPr>
        <w:tabs>
          <w:tab w:val="left" w:pos="1530"/>
        </w:tabs>
        <w:rPr>
          <w:b/>
        </w:rPr>
      </w:pPr>
    </w:p>
    <w:p w:rsidR="00C8522E" w:rsidRDefault="00C8522E" w:rsidP="00657B9D">
      <w:pPr>
        <w:tabs>
          <w:tab w:val="left" w:pos="1530"/>
        </w:tabs>
        <w:rPr>
          <w:b/>
        </w:rPr>
      </w:pPr>
    </w:p>
    <w:p w:rsidR="00C8522E" w:rsidRDefault="00C8522E" w:rsidP="00657B9D">
      <w:pPr>
        <w:tabs>
          <w:tab w:val="left" w:pos="1530"/>
        </w:tabs>
        <w:rPr>
          <w:b/>
        </w:rPr>
      </w:pPr>
    </w:p>
    <w:p w:rsidR="00C8522E" w:rsidRDefault="00C8522E" w:rsidP="00657B9D">
      <w:pPr>
        <w:tabs>
          <w:tab w:val="left" w:pos="1530"/>
        </w:tabs>
        <w:rPr>
          <w:b/>
        </w:rPr>
      </w:pPr>
    </w:p>
    <w:p w:rsidR="00214FDF" w:rsidRDefault="00A22420" w:rsidP="00657B9D">
      <w:pPr>
        <w:tabs>
          <w:tab w:val="left" w:pos="1530"/>
        </w:tabs>
        <w:rPr>
          <w:b/>
        </w:rPr>
      </w:pPr>
      <w:r w:rsidRPr="00A22420">
        <w:rPr>
          <w:b/>
        </w:rPr>
        <w:t>IDC data Complementary to the proposed 2.a.i.1 Template</w:t>
      </w:r>
    </w:p>
    <w:tbl>
      <w:tblPr>
        <w:tblStyle w:val="TableGrid"/>
        <w:tblW w:w="0" w:type="auto"/>
        <w:tblLook w:val="04A0" w:firstRow="1" w:lastRow="0" w:firstColumn="1" w:lastColumn="0" w:noHBand="0" w:noVBand="1"/>
      </w:tblPr>
      <w:tblGrid>
        <w:gridCol w:w="2046"/>
        <w:gridCol w:w="1924"/>
        <w:gridCol w:w="2128"/>
        <w:gridCol w:w="2357"/>
        <w:gridCol w:w="895"/>
      </w:tblGrid>
      <w:tr w:rsidR="00A22420" w:rsidRPr="00C8522E" w:rsidTr="00C8522E">
        <w:tc>
          <w:tcPr>
            <w:tcW w:w="2046" w:type="dxa"/>
          </w:tcPr>
          <w:p w:rsidR="00A22420" w:rsidRPr="00C8522E" w:rsidRDefault="00A22420" w:rsidP="00657B9D">
            <w:pPr>
              <w:tabs>
                <w:tab w:val="left" w:pos="1530"/>
              </w:tabs>
              <w:rPr>
                <w:b/>
              </w:rPr>
            </w:pPr>
            <w:r w:rsidRPr="00C8522E">
              <w:rPr>
                <w:b/>
              </w:rPr>
              <w:t>Required Item</w:t>
            </w:r>
          </w:p>
        </w:tc>
        <w:tc>
          <w:tcPr>
            <w:tcW w:w="1924" w:type="dxa"/>
          </w:tcPr>
          <w:p w:rsidR="00A22420" w:rsidRPr="00C8522E" w:rsidRDefault="00A22420" w:rsidP="00657B9D">
            <w:pPr>
              <w:tabs>
                <w:tab w:val="left" w:pos="1530"/>
              </w:tabs>
              <w:rPr>
                <w:b/>
              </w:rPr>
            </w:pPr>
            <w:r w:rsidRPr="00C8522E">
              <w:rPr>
                <w:b/>
              </w:rPr>
              <w:t>Data Element Name</w:t>
            </w:r>
          </w:p>
        </w:tc>
        <w:tc>
          <w:tcPr>
            <w:tcW w:w="2128" w:type="dxa"/>
          </w:tcPr>
          <w:p w:rsidR="00A22420" w:rsidRPr="00C8522E" w:rsidRDefault="00A22420" w:rsidP="00657B9D">
            <w:pPr>
              <w:tabs>
                <w:tab w:val="left" w:pos="1530"/>
              </w:tabs>
              <w:rPr>
                <w:b/>
              </w:rPr>
            </w:pPr>
            <w:r w:rsidRPr="00C8522E">
              <w:rPr>
                <w:b/>
              </w:rPr>
              <w:t>Data Element Description</w:t>
            </w:r>
          </w:p>
        </w:tc>
        <w:tc>
          <w:tcPr>
            <w:tcW w:w="2357" w:type="dxa"/>
          </w:tcPr>
          <w:p w:rsidR="00A22420" w:rsidRPr="00C8522E" w:rsidRDefault="00A22420" w:rsidP="00657B9D">
            <w:pPr>
              <w:tabs>
                <w:tab w:val="left" w:pos="1530"/>
              </w:tabs>
              <w:rPr>
                <w:b/>
              </w:rPr>
            </w:pPr>
            <w:r w:rsidRPr="00C8522E">
              <w:rPr>
                <w:b/>
              </w:rPr>
              <w:t>IDC Data</w:t>
            </w:r>
          </w:p>
        </w:tc>
        <w:tc>
          <w:tcPr>
            <w:tcW w:w="895" w:type="dxa"/>
          </w:tcPr>
          <w:p w:rsidR="00A22420" w:rsidRPr="00C8522E" w:rsidRDefault="00A22420" w:rsidP="00657B9D">
            <w:pPr>
              <w:tabs>
                <w:tab w:val="left" w:pos="1530"/>
              </w:tabs>
              <w:rPr>
                <w:b/>
              </w:rPr>
            </w:pPr>
            <w:r w:rsidRPr="00C8522E">
              <w:rPr>
                <w:b/>
              </w:rPr>
              <w:t>IDC Report Section</w:t>
            </w:r>
          </w:p>
        </w:tc>
      </w:tr>
      <w:tr w:rsidR="00A22420" w:rsidRPr="00C8522E" w:rsidTr="00C8522E">
        <w:tc>
          <w:tcPr>
            <w:tcW w:w="2046" w:type="dxa"/>
          </w:tcPr>
          <w:p w:rsidR="00A22420" w:rsidRPr="00C8522E" w:rsidRDefault="00A22420" w:rsidP="00657B9D">
            <w:pPr>
              <w:tabs>
                <w:tab w:val="left" w:pos="1530"/>
              </w:tabs>
              <w:rPr>
                <w:b/>
              </w:rPr>
            </w:pPr>
            <w:r w:rsidRPr="00C8522E">
              <w:rPr>
                <w:b/>
              </w:rPr>
              <w:t>Identification of the event (Firm curtailment event)</w:t>
            </w:r>
          </w:p>
        </w:tc>
        <w:tc>
          <w:tcPr>
            <w:tcW w:w="1924" w:type="dxa"/>
          </w:tcPr>
          <w:p w:rsidR="00A22420" w:rsidRPr="00C8522E" w:rsidRDefault="00A22420" w:rsidP="00657B9D">
            <w:pPr>
              <w:tabs>
                <w:tab w:val="left" w:pos="1530"/>
              </w:tabs>
            </w:pPr>
            <w:r w:rsidRPr="00C8522E">
              <w:t>EVENT_ID</w:t>
            </w:r>
          </w:p>
        </w:tc>
        <w:tc>
          <w:tcPr>
            <w:tcW w:w="2128" w:type="dxa"/>
          </w:tcPr>
          <w:p w:rsidR="00A22420" w:rsidRPr="00C8522E" w:rsidRDefault="00A22420" w:rsidP="00A22420">
            <w:pPr>
              <w:autoSpaceDE w:val="0"/>
              <w:autoSpaceDN w:val="0"/>
              <w:adjustRightInd w:val="0"/>
              <w:rPr>
                <w:b/>
              </w:rPr>
            </w:pPr>
            <w:r w:rsidRPr="00C8522E">
              <w:rPr>
                <w:rFonts w:cs="Arial"/>
                <w:sz w:val="18"/>
                <w:szCs w:val="18"/>
              </w:rPr>
              <w:t>The EVENT_ID Data Element is any Regional or Interconnection-wide recognized security event identifier for events that are of greater scope than those administered locally by the Transmission Provider (e.g., a NERC Reliability Coordinator assigned identifier corresponding to a particular implementation of the NERC TLR procedure).</w:t>
            </w:r>
          </w:p>
          <w:p w:rsidR="00A22420" w:rsidRPr="00C8522E" w:rsidRDefault="00A22420" w:rsidP="00657B9D">
            <w:pPr>
              <w:tabs>
                <w:tab w:val="left" w:pos="1530"/>
              </w:tabs>
              <w:rPr>
                <w:b/>
              </w:rPr>
            </w:pPr>
          </w:p>
        </w:tc>
        <w:tc>
          <w:tcPr>
            <w:tcW w:w="2357" w:type="dxa"/>
          </w:tcPr>
          <w:p w:rsidR="00A22420" w:rsidRPr="00C8522E" w:rsidRDefault="00A22420" w:rsidP="00657B9D">
            <w:pPr>
              <w:tabs>
                <w:tab w:val="left" w:pos="1530"/>
              </w:tabs>
              <w:rPr>
                <w:b/>
              </w:rPr>
            </w:pPr>
            <w:r w:rsidRPr="00C8522E">
              <w:t>IDC assignment identifier for a specific event</w:t>
            </w:r>
          </w:p>
        </w:tc>
        <w:tc>
          <w:tcPr>
            <w:tcW w:w="895" w:type="dxa"/>
          </w:tcPr>
          <w:p w:rsidR="00A22420" w:rsidRPr="00C8522E" w:rsidRDefault="00A22420" w:rsidP="00657B9D">
            <w:pPr>
              <w:tabs>
                <w:tab w:val="left" w:pos="1530"/>
              </w:tabs>
            </w:pPr>
            <w:r w:rsidRPr="00C8522E">
              <w:t>1a</w:t>
            </w:r>
          </w:p>
        </w:tc>
      </w:tr>
      <w:tr w:rsidR="00A22420" w:rsidRPr="00C8522E" w:rsidTr="00C8522E">
        <w:tc>
          <w:tcPr>
            <w:tcW w:w="2046" w:type="dxa"/>
          </w:tcPr>
          <w:p w:rsidR="00A22420" w:rsidRPr="00C8522E" w:rsidRDefault="00A22420" w:rsidP="00657B9D">
            <w:pPr>
              <w:tabs>
                <w:tab w:val="left" w:pos="1530"/>
              </w:tabs>
              <w:rPr>
                <w:b/>
              </w:rPr>
            </w:pPr>
            <w:r w:rsidRPr="00C8522E">
              <w:rPr>
                <w:b/>
              </w:rPr>
              <w:t>Reason (Circumstances &amp; events contributing)</w:t>
            </w:r>
          </w:p>
        </w:tc>
        <w:tc>
          <w:tcPr>
            <w:tcW w:w="1924" w:type="dxa"/>
          </w:tcPr>
          <w:p w:rsidR="00A22420" w:rsidRPr="00C8522E" w:rsidRDefault="00A22420" w:rsidP="00657B9D">
            <w:pPr>
              <w:tabs>
                <w:tab w:val="left" w:pos="1530"/>
              </w:tabs>
              <w:rPr>
                <w:b/>
              </w:rPr>
            </w:pPr>
            <w:r w:rsidRPr="00C8522E">
              <w:t>FACILITY_CLASS</w:t>
            </w:r>
          </w:p>
        </w:tc>
        <w:tc>
          <w:tcPr>
            <w:tcW w:w="2128" w:type="dxa"/>
          </w:tcPr>
          <w:p w:rsidR="00A22420" w:rsidRPr="00C8522E" w:rsidRDefault="00A22420" w:rsidP="00A22420">
            <w:pPr>
              <w:autoSpaceDE w:val="0"/>
              <w:autoSpaceDN w:val="0"/>
              <w:adjustRightInd w:val="0"/>
              <w:rPr>
                <w:b/>
              </w:rPr>
            </w:pPr>
            <w:r w:rsidRPr="00C8522E">
              <w:rPr>
                <w:rFonts w:cs="Arial"/>
                <w:sz w:val="18"/>
                <w:szCs w:val="18"/>
              </w:rPr>
              <w:t>Type of limiting device such as ‘transformer’, ‘line’ or ‘Flowgate’</w:t>
            </w:r>
          </w:p>
        </w:tc>
        <w:tc>
          <w:tcPr>
            <w:tcW w:w="2357" w:type="dxa"/>
          </w:tcPr>
          <w:p w:rsidR="00A22420" w:rsidRPr="00C8522E" w:rsidRDefault="00D06376" w:rsidP="00657B9D">
            <w:pPr>
              <w:tabs>
                <w:tab w:val="left" w:pos="1530"/>
              </w:tabs>
            </w:pPr>
            <w:r w:rsidRPr="00C8522E">
              <w:t>Flowgate common name/description</w:t>
            </w:r>
          </w:p>
        </w:tc>
        <w:tc>
          <w:tcPr>
            <w:tcW w:w="895" w:type="dxa"/>
          </w:tcPr>
          <w:p w:rsidR="00A22420" w:rsidRPr="00C8522E" w:rsidRDefault="00A22420" w:rsidP="00657B9D">
            <w:pPr>
              <w:tabs>
                <w:tab w:val="left" w:pos="1530"/>
              </w:tabs>
            </w:pPr>
            <w:r w:rsidRPr="00C8522E">
              <w:t>1b</w:t>
            </w:r>
          </w:p>
        </w:tc>
      </w:tr>
      <w:tr w:rsidR="00A22420" w:rsidRPr="00C8522E" w:rsidTr="00C8522E">
        <w:tc>
          <w:tcPr>
            <w:tcW w:w="2046" w:type="dxa"/>
          </w:tcPr>
          <w:p w:rsidR="00A22420" w:rsidRPr="00C8522E" w:rsidRDefault="00A22420" w:rsidP="00657B9D">
            <w:pPr>
              <w:tabs>
                <w:tab w:val="left" w:pos="1530"/>
              </w:tabs>
            </w:pPr>
          </w:p>
        </w:tc>
        <w:tc>
          <w:tcPr>
            <w:tcW w:w="1924" w:type="dxa"/>
          </w:tcPr>
          <w:p w:rsidR="00A22420" w:rsidRPr="00C8522E" w:rsidRDefault="00D06376" w:rsidP="00657B9D">
            <w:pPr>
              <w:tabs>
                <w:tab w:val="left" w:pos="1530"/>
              </w:tabs>
            </w:pPr>
            <w:r w:rsidRPr="00C8522E">
              <w:t>FACILITY_LIMIT-TYPE</w:t>
            </w:r>
          </w:p>
        </w:tc>
        <w:tc>
          <w:tcPr>
            <w:tcW w:w="2128" w:type="dxa"/>
          </w:tcPr>
          <w:p w:rsidR="00A22420" w:rsidRPr="00C8522E" w:rsidRDefault="00D06376" w:rsidP="00657B9D">
            <w:pPr>
              <w:tabs>
                <w:tab w:val="left" w:pos="1530"/>
              </w:tabs>
              <w:rPr>
                <w:b/>
              </w:rPr>
            </w:pPr>
            <w:r w:rsidRPr="00C8522E">
              <w:rPr>
                <w:rFonts w:cs="Arial"/>
                <w:sz w:val="18"/>
                <w:szCs w:val="18"/>
              </w:rPr>
              <w:t>For example: thermal, stability, voltage</w:t>
            </w:r>
          </w:p>
        </w:tc>
        <w:tc>
          <w:tcPr>
            <w:tcW w:w="2357" w:type="dxa"/>
          </w:tcPr>
          <w:p w:rsidR="00A22420" w:rsidRPr="00C8522E" w:rsidRDefault="00D06376" w:rsidP="00657B9D">
            <w:pPr>
              <w:tabs>
                <w:tab w:val="left" w:pos="1530"/>
              </w:tabs>
            </w:pPr>
            <w:r w:rsidRPr="00C8522E">
              <w:t>Not present – inherent to flowgate definition</w:t>
            </w:r>
          </w:p>
        </w:tc>
        <w:tc>
          <w:tcPr>
            <w:tcW w:w="895" w:type="dxa"/>
          </w:tcPr>
          <w:p w:rsidR="00A22420" w:rsidRPr="00C8522E" w:rsidRDefault="00A22420" w:rsidP="00657B9D">
            <w:pPr>
              <w:tabs>
                <w:tab w:val="left" w:pos="1530"/>
              </w:tabs>
              <w:rPr>
                <w:b/>
              </w:rPr>
            </w:pPr>
          </w:p>
        </w:tc>
      </w:tr>
      <w:tr w:rsidR="00A22420" w:rsidRPr="00C8522E" w:rsidTr="00C8522E">
        <w:tc>
          <w:tcPr>
            <w:tcW w:w="2046" w:type="dxa"/>
          </w:tcPr>
          <w:p w:rsidR="00A22420" w:rsidRPr="00C8522E" w:rsidRDefault="00A22420" w:rsidP="00657B9D">
            <w:pPr>
              <w:tabs>
                <w:tab w:val="left" w:pos="1530"/>
              </w:tabs>
              <w:rPr>
                <w:b/>
              </w:rPr>
            </w:pPr>
          </w:p>
        </w:tc>
        <w:tc>
          <w:tcPr>
            <w:tcW w:w="1924" w:type="dxa"/>
          </w:tcPr>
          <w:p w:rsidR="00A22420" w:rsidRPr="00C8522E" w:rsidRDefault="00D06376" w:rsidP="00D06376">
            <w:pPr>
              <w:tabs>
                <w:tab w:val="left" w:pos="1530"/>
              </w:tabs>
            </w:pPr>
            <w:r w:rsidRPr="00C8522E">
              <w:t>Annotation</w:t>
            </w:r>
          </w:p>
        </w:tc>
        <w:tc>
          <w:tcPr>
            <w:tcW w:w="2128" w:type="dxa"/>
          </w:tcPr>
          <w:p w:rsidR="00D06376" w:rsidRPr="00C8522E" w:rsidRDefault="00D06376" w:rsidP="00D06376">
            <w:pPr>
              <w:autoSpaceDE w:val="0"/>
              <w:autoSpaceDN w:val="0"/>
              <w:adjustRightInd w:val="0"/>
              <w:rPr>
                <w:rFonts w:cs="Arial"/>
                <w:sz w:val="18"/>
                <w:szCs w:val="18"/>
              </w:rPr>
            </w:pPr>
            <w:r w:rsidRPr="00C8522E">
              <w:rPr>
                <w:rFonts w:cs="Arial"/>
                <w:sz w:val="18"/>
                <w:szCs w:val="18"/>
              </w:rPr>
              <w:t>Additional notes, comments or other descriptive</w:t>
            </w:r>
          </w:p>
          <w:p w:rsidR="00A22420" w:rsidRPr="00C8522E" w:rsidRDefault="00D06376" w:rsidP="00D06376">
            <w:pPr>
              <w:tabs>
                <w:tab w:val="left" w:pos="1530"/>
              </w:tabs>
            </w:pPr>
            <w:r w:rsidRPr="00C8522E">
              <w:rPr>
                <w:rFonts w:cs="Arial"/>
                <w:sz w:val="18"/>
                <w:szCs w:val="18"/>
              </w:rPr>
              <w:t>information with the posted event.</w:t>
            </w:r>
          </w:p>
        </w:tc>
        <w:tc>
          <w:tcPr>
            <w:tcW w:w="2357" w:type="dxa"/>
          </w:tcPr>
          <w:p w:rsidR="00A22420" w:rsidRPr="00C8522E" w:rsidRDefault="00D06376" w:rsidP="00657B9D">
            <w:pPr>
              <w:tabs>
                <w:tab w:val="left" w:pos="1530"/>
              </w:tabs>
            </w:pPr>
            <w:r w:rsidRPr="00C8522E">
              <w:t>No specific field</w:t>
            </w:r>
          </w:p>
        </w:tc>
        <w:tc>
          <w:tcPr>
            <w:tcW w:w="895" w:type="dxa"/>
          </w:tcPr>
          <w:p w:rsidR="00A22420" w:rsidRPr="00C8522E" w:rsidRDefault="00A22420" w:rsidP="00657B9D">
            <w:pPr>
              <w:tabs>
                <w:tab w:val="left" w:pos="1530"/>
              </w:tabs>
              <w:rPr>
                <w:b/>
              </w:rPr>
            </w:pPr>
          </w:p>
        </w:tc>
      </w:tr>
      <w:tr w:rsidR="00D06376" w:rsidRPr="00C8522E" w:rsidTr="00C8522E">
        <w:tc>
          <w:tcPr>
            <w:tcW w:w="2046" w:type="dxa"/>
          </w:tcPr>
          <w:p w:rsidR="00D06376" w:rsidRPr="00C8522E" w:rsidRDefault="00D06376" w:rsidP="00D06376">
            <w:pPr>
              <w:tabs>
                <w:tab w:val="left" w:pos="1530"/>
              </w:tabs>
              <w:rPr>
                <w:b/>
              </w:rPr>
            </w:pPr>
          </w:p>
        </w:tc>
        <w:tc>
          <w:tcPr>
            <w:tcW w:w="1924" w:type="dxa"/>
          </w:tcPr>
          <w:p w:rsidR="00D06376" w:rsidRPr="00C8522E" w:rsidRDefault="00D06376" w:rsidP="00D06376">
            <w:pPr>
              <w:tabs>
                <w:tab w:val="left" w:pos="1530"/>
              </w:tabs>
              <w:rPr>
                <w:b/>
              </w:rPr>
            </w:pPr>
            <w:r w:rsidRPr="00C8522E">
              <w:t>Procedure</w:t>
            </w:r>
            <w:r w:rsidRPr="00C8522E">
              <w:rPr>
                <w:b/>
              </w:rPr>
              <w:t xml:space="preserve"> </w:t>
            </w:r>
            <w:r w:rsidRPr="00C8522E">
              <w:t>Name</w:t>
            </w:r>
          </w:p>
        </w:tc>
        <w:tc>
          <w:tcPr>
            <w:tcW w:w="2128" w:type="dxa"/>
          </w:tcPr>
          <w:p w:rsidR="00D06376" w:rsidRPr="00C8522E" w:rsidRDefault="00D06376" w:rsidP="00D06376">
            <w:pPr>
              <w:autoSpaceDE w:val="0"/>
              <w:autoSpaceDN w:val="0"/>
              <w:adjustRightInd w:val="0"/>
              <w:rPr>
                <w:rFonts w:cs="Arial"/>
                <w:sz w:val="18"/>
                <w:szCs w:val="18"/>
              </w:rPr>
            </w:pPr>
            <w:r w:rsidRPr="00C8522E">
              <w:rPr>
                <w:rFonts w:cs="Arial"/>
                <w:sz w:val="18"/>
                <w:szCs w:val="18"/>
              </w:rPr>
              <w:t>Name of a transmission security procedure:</w:t>
            </w:r>
          </w:p>
          <w:p w:rsidR="00D06376" w:rsidRPr="00C8522E" w:rsidRDefault="00D06376" w:rsidP="00D06376">
            <w:pPr>
              <w:autoSpaceDE w:val="0"/>
              <w:autoSpaceDN w:val="0"/>
              <w:adjustRightInd w:val="0"/>
              <w:rPr>
                <w:rFonts w:cs="Arial"/>
                <w:sz w:val="18"/>
                <w:szCs w:val="18"/>
              </w:rPr>
            </w:pPr>
            <w:r w:rsidRPr="00C8522E">
              <w:rPr>
                <w:rFonts w:cs="Arial"/>
                <w:sz w:val="18"/>
                <w:szCs w:val="18"/>
              </w:rPr>
              <w:t>- NERC TLR as defined in NERC Standard IRO-006</w:t>
            </w:r>
          </w:p>
          <w:p w:rsidR="00D06376" w:rsidRPr="00C8522E" w:rsidRDefault="00D06376" w:rsidP="00D06376">
            <w:pPr>
              <w:autoSpaceDE w:val="0"/>
              <w:autoSpaceDN w:val="0"/>
              <w:adjustRightInd w:val="0"/>
              <w:rPr>
                <w:rFonts w:cs="Arial"/>
                <w:sz w:val="18"/>
                <w:szCs w:val="18"/>
              </w:rPr>
            </w:pPr>
            <w:r w:rsidRPr="00C8522E">
              <w:rPr>
                <w:rFonts w:cs="Arial"/>
                <w:sz w:val="18"/>
                <w:szCs w:val="18"/>
              </w:rPr>
              <w:t>- WECC USF as defined in WECC Policy</w:t>
            </w:r>
          </w:p>
          <w:p w:rsidR="00D06376" w:rsidRPr="00C8522E" w:rsidRDefault="00D06376" w:rsidP="00D06376">
            <w:pPr>
              <w:autoSpaceDE w:val="0"/>
              <w:autoSpaceDN w:val="0"/>
              <w:adjustRightInd w:val="0"/>
              <w:rPr>
                <w:rFonts w:cs="Arial"/>
                <w:sz w:val="18"/>
                <w:szCs w:val="18"/>
              </w:rPr>
            </w:pPr>
            <w:r w:rsidRPr="00C8522E">
              <w:rPr>
                <w:rFonts w:cs="Arial"/>
                <w:sz w:val="18"/>
                <w:szCs w:val="18"/>
              </w:rPr>
              <w:t>- Local procedure as registered by Transmission</w:t>
            </w:r>
          </w:p>
          <w:p w:rsidR="00D06376" w:rsidRPr="00C8522E" w:rsidRDefault="00D06376" w:rsidP="00D06376">
            <w:pPr>
              <w:tabs>
                <w:tab w:val="left" w:pos="1530"/>
              </w:tabs>
              <w:rPr>
                <w:b/>
              </w:rPr>
            </w:pPr>
            <w:r w:rsidRPr="00C8522E">
              <w:rPr>
                <w:rFonts w:cs="Arial"/>
                <w:sz w:val="18"/>
                <w:szCs w:val="18"/>
              </w:rPr>
              <w:t>Providers</w:t>
            </w:r>
          </w:p>
        </w:tc>
        <w:tc>
          <w:tcPr>
            <w:tcW w:w="2357" w:type="dxa"/>
          </w:tcPr>
          <w:p w:rsidR="00D06376" w:rsidRPr="00C8522E" w:rsidRDefault="00D06376" w:rsidP="00D06376">
            <w:pPr>
              <w:tabs>
                <w:tab w:val="left" w:pos="1530"/>
              </w:tabs>
            </w:pPr>
            <w:r w:rsidRPr="00C8522E">
              <w:t xml:space="preserve">IDC procedure specific to TLR </w:t>
            </w:r>
            <w:r w:rsidR="00336AFC" w:rsidRPr="00C8522E">
              <w:t>procedure</w:t>
            </w:r>
          </w:p>
        </w:tc>
        <w:tc>
          <w:tcPr>
            <w:tcW w:w="895" w:type="dxa"/>
          </w:tcPr>
          <w:p w:rsidR="00D06376" w:rsidRPr="00C8522E" w:rsidRDefault="00D06376" w:rsidP="00D06376">
            <w:pPr>
              <w:tabs>
                <w:tab w:val="left" w:pos="1530"/>
              </w:tabs>
            </w:pPr>
            <w:r w:rsidRPr="00C8522E">
              <w:t>IDC report</w:t>
            </w:r>
          </w:p>
        </w:tc>
      </w:tr>
      <w:tr w:rsidR="00D06376" w:rsidRPr="00C8522E" w:rsidTr="00C8522E">
        <w:trPr>
          <w:trHeight w:val="2807"/>
        </w:trPr>
        <w:tc>
          <w:tcPr>
            <w:tcW w:w="2046" w:type="dxa"/>
          </w:tcPr>
          <w:p w:rsidR="00D06376" w:rsidRPr="00C8522E" w:rsidRDefault="00D06376" w:rsidP="00D06376">
            <w:pPr>
              <w:tabs>
                <w:tab w:val="left" w:pos="1530"/>
              </w:tabs>
              <w:rPr>
                <w:b/>
              </w:rPr>
            </w:pPr>
          </w:p>
        </w:tc>
        <w:tc>
          <w:tcPr>
            <w:tcW w:w="1924" w:type="dxa"/>
          </w:tcPr>
          <w:p w:rsidR="00D06376" w:rsidRPr="00C8522E" w:rsidRDefault="00D06376" w:rsidP="00D06376">
            <w:pPr>
              <w:tabs>
                <w:tab w:val="left" w:pos="1530"/>
              </w:tabs>
            </w:pPr>
            <w:proofErr w:type="spellStart"/>
            <w:r w:rsidRPr="00C8522E">
              <w:t>Procedure_Level</w:t>
            </w:r>
            <w:proofErr w:type="spellEnd"/>
          </w:p>
        </w:tc>
        <w:tc>
          <w:tcPr>
            <w:tcW w:w="2128" w:type="dxa"/>
          </w:tcPr>
          <w:p w:rsidR="00D06376" w:rsidRPr="00C8522E" w:rsidRDefault="00D06376" w:rsidP="00D06376">
            <w:pPr>
              <w:autoSpaceDE w:val="0"/>
              <w:autoSpaceDN w:val="0"/>
              <w:adjustRightInd w:val="0"/>
              <w:rPr>
                <w:rFonts w:cs="Arial"/>
                <w:sz w:val="18"/>
                <w:szCs w:val="18"/>
              </w:rPr>
            </w:pPr>
            <w:r w:rsidRPr="00C8522E">
              <w:rPr>
                <w:rFonts w:cs="Arial"/>
                <w:sz w:val="18"/>
                <w:szCs w:val="18"/>
              </w:rPr>
              <w:t>Levels or stages associated with actions to be taken in</w:t>
            </w:r>
          </w:p>
          <w:p w:rsidR="00D06376" w:rsidRPr="00C8522E" w:rsidRDefault="00D06376" w:rsidP="00D06376">
            <w:pPr>
              <w:autoSpaceDE w:val="0"/>
              <w:autoSpaceDN w:val="0"/>
              <w:adjustRightInd w:val="0"/>
              <w:rPr>
                <w:rFonts w:cs="Arial"/>
                <w:sz w:val="18"/>
                <w:szCs w:val="18"/>
              </w:rPr>
            </w:pPr>
            <w:r w:rsidRPr="00C8522E">
              <w:rPr>
                <w:rFonts w:cs="Arial"/>
                <w:sz w:val="18"/>
                <w:szCs w:val="18"/>
              </w:rPr>
              <w:t>implementation of a transmission security procedure as</w:t>
            </w:r>
          </w:p>
          <w:p w:rsidR="00D06376" w:rsidRPr="00C8522E" w:rsidRDefault="00D06376" w:rsidP="00D06376">
            <w:pPr>
              <w:autoSpaceDE w:val="0"/>
              <w:autoSpaceDN w:val="0"/>
              <w:adjustRightInd w:val="0"/>
              <w:rPr>
                <w:rFonts w:cs="Arial"/>
                <w:sz w:val="18"/>
                <w:szCs w:val="18"/>
              </w:rPr>
            </w:pPr>
            <w:r w:rsidRPr="00C8522E">
              <w:rPr>
                <w:rFonts w:cs="Arial"/>
                <w:sz w:val="18"/>
                <w:szCs w:val="18"/>
              </w:rPr>
              <w:t>defined in:</w:t>
            </w:r>
          </w:p>
          <w:p w:rsidR="00D06376" w:rsidRPr="00C8522E" w:rsidRDefault="00D06376" w:rsidP="00D06376">
            <w:pPr>
              <w:autoSpaceDE w:val="0"/>
              <w:autoSpaceDN w:val="0"/>
              <w:adjustRightInd w:val="0"/>
              <w:rPr>
                <w:rFonts w:cs="Arial"/>
                <w:sz w:val="18"/>
                <w:szCs w:val="18"/>
              </w:rPr>
            </w:pPr>
            <w:r w:rsidRPr="00C8522E">
              <w:rPr>
                <w:rFonts w:cs="Arial"/>
                <w:sz w:val="18"/>
                <w:szCs w:val="18"/>
              </w:rPr>
              <w:t>- NERC Standard IRO-006 for the NERC TLR procedure</w:t>
            </w:r>
          </w:p>
          <w:p w:rsidR="00D06376" w:rsidRPr="00C8522E" w:rsidRDefault="00D06376" w:rsidP="00D06376">
            <w:pPr>
              <w:autoSpaceDE w:val="0"/>
              <w:autoSpaceDN w:val="0"/>
              <w:adjustRightInd w:val="0"/>
              <w:rPr>
                <w:rFonts w:cs="Arial"/>
                <w:sz w:val="18"/>
                <w:szCs w:val="18"/>
              </w:rPr>
            </w:pPr>
            <w:r w:rsidRPr="00C8522E">
              <w:rPr>
                <w:rFonts w:cs="Arial"/>
                <w:sz w:val="18"/>
                <w:szCs w:val="18"/>
              </w:rPr>
              <w:t>- WECC Policy for the WECC USF procedure</w:t>
            </w:r>
          </w:p>
          <w:p w:rsidR="00D06376" w:rsidRPr="00C8522E" w:rsidRDefault="00D06376" w:rsidP="00D06376">
            <w:pPr>
              <w:autoSpaceDE w:val="0"/>
              <w:autoSpaceDN w:val="0"/>
              <w:adjustRightInd w:val="0"/>
              <w:rPr>
                <w:rFonts w:cs="Arial"/>
                <w:sz w:val="18"/>
                <w:szCs w:val="18"/>
              </w:rPr>
            </w:pPr>
            <w:r w:rsidRPr="00C8522E">
              <w:rPr>
                <w:rFonts w:cs="Arial"/>
                <w:sz w:val="18"/>
                <w:szCs w:val="18"/>
              </w:rPr>
              <w:t>- Local procedures as registered by Transmission</w:t>
            </w:r>
          </w:p>
          <w:p w:rsidR="00D06376" w:rsidRPr="00C8522E" w:rsidRDefault="00D06376" w:rsidP="00D06376">
            <w:pPr>
              <w:autoSpaceDE w:val="0"/>
              <w:autoSpaceDN w:val="0"/>
              <w:adjustRightInd w:val="0"/>
              <w:rPr>
                <w:rFonts w:cs="Arial"/>
                <w:sz w:val="18"/>
                <w:szCs w:val="18"/>
              </w:rPr>
            </w:pPr>
            <w:r w:rsidRPr="00C8522E">
              <w:rPr>
                <w:rFonts w:cs="Arial"/>
                <w:sz w:val="18"/>
                <w:szCs w:val="18"/>
              </w:rPr>
              <w:t>Providers</w:t>
            </w:r>
          </w:p>
        </w:tc>
        <w:tc>
          <w:tcPr>
            <w:tcW w:w="2357" w:type="dxa"/>
          </w:tcPr>
          <w:p w:rsidR="00D06376" w:rsidRPr="00C8522E" w:rsidRDefault="00D06376" w:rsidP="00D06376">
            <w:pPr>
              <w:tabs>
                <w:tab w:val="left" w:pos="1530"/>
              </w:tabs>
            </w:pPr>
            <w:r w:rsidRPr="00C8522E">
              <w:t>Starting and Highest Level from TLR data section</w:t>
            </w:r>
          </w:p>
        </w:tc>
        <w:tc>
          <w:tcPr>
            <w:tcW w:w="895" w:type="dxa"/>
          </w:tcPr>
          <w:p w:rsidR="00D06376" w:rsidRPr="00C8522E" w:rsidRDefault="00D06376" w:rsidP="00D06376">
            <w:pPr>
              <w:tabs>
                <w:tab w:val="left" w:pos="1530"/>
              </w:tabs>
            </w:pPr>
            <w:r w:rsidRPr="00C8522E">
              <w:t>2f</w:t>
            </w:r>
          </w:p>
        </w:tc>
      </w:tr>
      <w:tr w:rsidR="00D06376" w:rsidRPr="00C8522E" w:rsidTr="00C8522E">
        <w:tc>
          <w:tcPr>
            <w:tcW w:w="2046" w:type="dxa"/>
          </w:tcPr>
          <w:p w:rsidR="00D06376" w:rsidRPr="00C8522E" w:rsidRDefault="00D06376" w:rsidP="00D06376">
            <w:pPr>
              <w:tabs>
                <w:tab w:val="left" w:pos="1530"/>
              </w:tabs>
              <w:rPr>
                <w:b/>
              </w:rPr>
            </w:pPr>
            <w:r w:rsidRPr="00C8522E">
              <w:rPr>
                <w:b/>
              </w:rPr>
              <w:t>Services Curtailed (Transmission product &amp; capacity)</w:t>
            </w:r>
          </w:p>
        </w:tc>
        <w:tc>
          <w:tcPr>
            <w:tcW w:w="1924" w:type="dxa"/>
          </w:tcPr>
          <w:p w:rsidR="00D06376" w:rsidRPr="00C8522E" w:rsidRDefault="00D06376" w:rsidP="00D06376">
            <w:pPr>
              <w:tabs>
                <w:tab w:val="left" w:pos="1530"/>
              </w:tabs>
            </w:pPr>
          </w:p>
        </w:tc>
        <w:tc>
          <w:tcPr>
            <w:tcW w:w="2128" w:type="dxa"/>
          </w:tcPr>
          <w:p w:rsidR="00D06376" w:rsidRPr="00C8522E" w:rsidRDefault="00D06376" w:rsidP="00D06376">
            <w:pPr>
              <w:autoSpaceDE w:val="0"/>
              <w:autoSpaceDN w:val="0"/>
              <w:adjustRightInd w:val="0"/>
              <w:rPr>
                <w:rFonts w:cs="Arial"/>
                <w:sz w:val="18"/>
                <w:szCs w:val="18"/>
              </w:rPr>
            </w:pPr>
          </w:p>
        </w:tc>
        <w:tc>
          <w:tcPr>
            <w:tcW w:w="2357" w:type="dxa"/>
          </w:tcPr>
          <w:p w:rsidR="00D06376" w:rsidRPr="00C8522E" w:rsidRDefault="00AB1D77" w:rsidP="00D06376">
            <w:pPr>
              <w:tabs>
                <w:tab w:val="left" w:pos="1530"/>
              </w:tabs>
            </w:pPr>
            <w:r w:rsidRPr="00C8522E">
              <w:t>Tag Marginal Priority and Amounts from Next Hour Schedule Reallocation</w:t>
            </w:r>
          </w:p>
        </w:tc>
        <w:tc>
          <w:tcPr>
            <w:tcW w:w="895" w:type="dxa"/>
          </w:tcPr>
          <w:p w:rsidR="00D06376" w:rsidRPr="00C8522E" w:rsidRDefault="00AB1D77" w:rsidP="00D06376">
            <w:pPr>
              <w:tabs>
                <w:tab w:val="left" w:pos="1530"/>
              </w:tabs>
            </w:pPr>
            <w:r w:rsidRPr="00C8522E">
              <w:t>8d and 8e</w:t>
            </w:r>
          </w:p>
        </w:tc>
      </w:tr>
      <w:tr w:rsidR="00AB1D77" w:rsidRPr="00C8522E" w:rsidTr="00C8522E">
        <w:tc>
          <w:tcPr>
            <w:tcW w:w="2046" w:type="dxa"/>
          </w:tcPr>
          <w:p w:rsidR="00AB1D77" w:rsidRPr="00C8522E" w:rsidRDefault="00AB1D77" w:rsidP="00D06376">
            <w:pPr>
              <w:tabs>
                <w:tab w:val="left" w:pos="1530"/>
              </w:tabs>
              <w:rPr>
                <w:b/>
              </w:rPr>
            </w:pPr>
            <w:r w:rsidRPr="00C8522E">
              <w:rPr>
                <w:b/>
              </w:rPr>
              <w:t>Customers Curtailed (Entity Code)</w:t>
            </w:r>
          </w:p>
        </w:tc>
        <w:tc>
          <w:tcPr>
            <w:tcW w:w="1924" w:type="dxa"/>
          </w:tcPr>
          <w:p w:rsidR="00AB1D77" w:rsidRPr="00C8522E" w:rsidRDefault="00AB1D77" w:rsidP="00D06376">
            <w:pPr>
              <w:tabs>
                <w:tab w:val="left" w:pos="1530"/>
              </w:tabs>
            </w:pPr>
          </w:p>
        </w:tc>
        <w:tc>
          <w:tcPr>
            <w:tcW w:w="2128" w:type="dxa"/>
          </w:tcPr>
          <w:p w:rsidR="00AB1D77" w:rsidRPr="00C8522E" w:rsidRDefault="00AB1D77" w:rsidP="00D06376">
            <w:pPr>
              <w:autoSpaceDE w:val="0"/>
              <w:autoSpaceDN w:val="0"/>
              <w:adjustRightInd w:val="0"/>
              <w:rPr>
                <w:rFonts w:cs="Arial"/>
                <w:sz w:val="18"/>
                <w:szCs w:val="18"/>
              </w:rPr>
            </w:pPr>
          </w:p>
        </w:tc>
        <w:tc>
          <w:tcPr>
            <w:tcW w:w="2357" w:type="dxa"/>
          </w:tcPr>
          <w:p w:rsidR="00AB1D77" w:rsidRPr="00C8522E" w:rsidRDefault="00AB1D77" w:rsidP="00D06376">
            <w:pPr>
              <w:tabs>
                <w:tab w:val="left" w:pos="1530"/>
              </w:tabs>
            </w:pPr>
            <w:r w:rsidRPr="00C8522E">
              <w:t>Contained within the e-tag name shown in the Next Hour Schedule Reallocation section</w:t>
            </w:r>
          </w:p>
        </w:tc>
        <w:tc>
          <w:tcPr>
            <w:tcW w:w="895" w:type="dxa"/>
          </w:tcPr>
          <w:p w:rsidR="00AB1D77" w:rsidRPr="00C8522E" w:rsidRDefault="00AB1D77" w:rsidP="00D06376">
            <w:pPr>
              <w:tabs>
                <w:tab w:val="left" w:pos="1530"/>
              </w:tabs>
            </w:pPr>
            <w:r w:rsidRPr="00C8522E">
              <w:t>9a</w:t>
            </w:r>
          </w:p>
        </w:tc>
      </w:tr>
      <w:tr w:rsidR="00AB1D77" w:rsidRPr="00C8522E" w:rsidTr="00C8522E">
        <w:tc>
          <w:tcPr>
            <w:tcW w:w="2046" w:type="dxa"/>
          </w:tcPr>
          <w:p w:rsidR="00AB1D77" w:rsidRPr="00C8522E" w:rsidRDefault="00AB1D77" w:rsidP="00D06376">
            <w:pPr>
              <w:tabs>
                <w:tab w:val="left" w:pos="1530"/>
              </w:tabs>
              <w:rPr>
                <w:b/>
              </w:rPr>
            </w:pPr>
            <w:r w:rsidRPr="00C8522E">
              <w:rPr>
                <w:b/>
              </w:rPr>
              <w:t>Duration of the event</w:t>
            </w:r>
          </w:p>
        </w:tc>
        <w:tc>
          <w:tcPr>
            <w:tcW w:w="1924" w:type="dxa"/>
          </w:tcPr>
          <w:p w:rsidR="00AB1D77" w:rsidRPr="00C8522E" w:rsidRDefault="00AB1D77" w:rsidP="00D06376">
            <w:pPr>
              <w:tabs>
                <w:tab w:val="left" w:pos="1530"/>
              </w:tabs>
            </w:pPr>
          </w:p>
        </w:tc>
        <w:tc>
          <w:tcPr>
            <w:tcW w:w="2128" w:type="dxa"/>
          </w:tcPr>
          <w:p w:rsidR="00AB1D77" w:rsidRPr="00C8522E" w:rsidRDefault="00AB1D77" w:rsidP="00D06376">
            <w:pPr>
              <w:autoSpaceDE w:val="0"/>
              <w:autoSpaceDN w:val="0"/>
              <w:adjustRightInd w:val="0"/>
              <w:rPr>
                <w:rFonts w:cs="Arial"/>
                <w:sz w:val="18"/>
                <w:szCs w:val="18"/>
              </w:rPr>
            </w:pPr>
            <w:r w:rsidRPr="00C8522E">
              <w:t>START_TIME &amp; STOP_TIME (curtailment event level &amp; sub level events as appropriate )</w:t>
            </w:r>
          </w:p>
        </w:tc>
        <w:tc>
          <w:tcPr>
            <w:tcW w:w="2357" w:type="dxa"/>
          </w:tcPr>
          <w:p w:rsidR="00AB1D77" w:rsidRPr="00C8522E" w:rsidRDefault="00AB1D77" w:rsidP="00D06376">
            <w:pPr>
              <w:tabs>
                <w:tab w:val="left" w:pos="1530"/>
              </w:tabs>
            </w:pPr>
            <w:r w:rsidRPr="00C8522E">
              <w:t>Start and End time from TLR data section</w:t>
            </w:r>
          </w:p>
        </w:tc>
        <w:tc>
          <w:tcPr>
            <w:tcW w:w="895" w:type="dxa"/>
          </w:tcPr>
          <w:p w:rsidR="00AB1D77" w:rsidRPr="00C8522E" w:rsidRDefault="00AB1D77" w:rsidP="00D06376">
            <w:pPr>
              <w:tabs>
                <w:tab w:val="left" w:pos="1530"/>
              </w:tabs>
            </w:pPr>
            <w:r w:rsidRPr="00C8522E">
              <w:t>2d and 2e</w:t>
            </w:r>
          </w:p>
        </w:tc>
      </w:tr>
    </w:tbl>
    <w:p w:rsidR="00A22420" w:rsidRDefault="00A22420" w:rsidP="00657B9D">
      <w:pPr>
        <w:tabs>
          <w:tab w:val="left" w:pos="1530"/>
        </w:tabs>
        <w:rPr>
          <w:b/>
        </w:rPr>
      </w:pPr>
    </w:p>
    <w:p w:rsidR="0054568C" w:rsidRDefault="0054568C" w:rsidP="00657B9D">
      <w:pPr>
        <w:tabs>
          <w:tab w:val="left" w:pos="1530"/>
        </w:tabs>
        <w:rPr>
          <w:b/>
        </w:rPr>
      </w:pPr>
      <w:r>
        <w:rPr>
          <w:b/>
        </w:rPr>
        <w:t xml:space="preserve">It appears that the IDC report contains sufficient information to meet FERC firm curtailment information posting directive.  </w:t>
      </w:r>
      <w:r w:rsidR="00735904">
        <w:rPr>
          <w:b/>
        </w:rPr>
        <w:t xml:space="preserve">The key data element that is not presented as a “stand-alone” element is the Customer involved.  However, given the defined structure of an e-tag name, the PSE [Customer] is the second element in the name.  This element is referred to as the “Transaction ID” in the </w:t>
      </w:r>
      <w:proofErr w:type="spellStart"/>
      <w:r w:rsidR="00735904" w:rsidRPr="00735904">
        <w:rPr>
          <w:b/>
          <w:i/>
        </w:rPr>
        <w:t>scheduledetail</w:t>
      </w:r>
      <w:proofErr w:type="spellEnd"/>
      <w:r w:rsidR="00735904">
        <w:rPr>
          <w:b/>
        </w:rPr>
        <w:t xml:space="preserve"> template.</w:t>
      </w:r>
    </w:p>
    <w:sectPr w:rsidR="0054568C" w:rsidSect="00C8522E">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3E7"/>
    <w:multiLevelType w:val="hybridMultilevel"/>
    <w:tmpl w:val="764CB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9D"/>
    <w:rsid w:val="000B5310"/>
    <w:rsid w:val="001F5B29"/>
    <w:rsid w:val="001F6C59"/>
    <w:rsid w:val="00214FDF"/>
    <w:rsid w:val="00336AFC"/>
    <w:rsid w:val="00342683"/>
    <w:rsid w:val="003613D5"/>
    <w:rsid w:val="0054568C"/>
    <w:rsid w:val="005916AA"/>
    <w:rsid w:val="00657B9D"/>
    <w:rsid w:val="00664999"/>
    <w:rsid w:val="006D0297"/>
    <w:rsid w:val="00735904"/>
    <w:rsid w:val="00950490"/>
    <w:rsid w:val="009C4DB8"/>
    <w:rsid w:val="00A22420"/>
    <w:rsid w:val="00AB1D77"/>
    <w:rsid w:val="00B64DE5"/>
    <w:rsid w:val="00C15AF5"/>
    <w:rsid w:val="00C8522E"/>
    <w:rsid w:val="00D06376"/>
    <w:rsid w:val="00D1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38242-3829-4028-B206-B2407D45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02F"/>
    <w:pPr>
      <w:ind w:left="720"/>
      <w:contextualSpacing/>
    </w:pPr>
  </w:style>
  <w:style w:type="table" w:styleId="TableGrid">
    <w:name w:val="Table Grid"/>
    <w:basedOn w:val="TableNormal"/>
    <w:uiPriority w:val="59"/>
    <w:rsid w:val="0021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Quimby</dc:creator>
  <cp:lastModifiedBy>Wood, James T.</cp:lastModifiedBy>
  <cp:revision>2</cp:revision>
  <dcterms:created xsi:type="dcterms:W3CDTF">2018-03-29T17:06:00Z</dcterms:created>
  <dcterms:modified xsi:type="dcterms:W3CDTF">2018-03-29T17:06:00Z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-567173775</vt:i4>
  </property>
  <property fmtid="{D5CDD505-2E9C-101B-9397-08002B2CF9AE}" pid="3" name="_NewReviewCycle">
    <vt:lpwstr/>
  </property>
  <property fmtid="{D5CDD505-2E9C-101B-9397-08002B2CF9AE}" pid="4" name="_EmailSubject">
    <vt:lpwstr>OASIS/BPS Subcommittee Files</vt:lpwstr>
  </property>
  <property fmtid="{D5CDD505-2E9C-101B-9397-08002B2CF9AE}" pid="5" name="_AuthorEmail">
    <vt:lpwstr>JTWOOD@southernco.com</vt:lpwstr>
  </property>
  <property fmtid="{D5CDD505-2E9C-101B-9397-08002B2CF9AE}" pid="6" name="_AuthorEmailDisplayName">
    <vt:lpwstr>Wood, James T.</vt:lpwstr>
  </property>
</Properties>
</file>