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12D" w:rsidRDefault="0061712D" w:rsidP="003D1991">
      <w:bookmarkStart w:id="0" w:name="_bmk57"/>
      <w:bookmarkStart w:id="1" w:name="_Ref158454617"/>
    </w:p>
    <w:p w:rsidR="0061712D" w:rsidRDefault="0061712D" w:rsidP="0061712D"/>
    <w:p w:rsidR="0061712D" w:rsidRDefault="0061712D" w:rsidP="0061712D">
      <w:r>
        <w:t>In order to more easily view the comments in this document it is recommended that this document be read in Word with the Reviewing Pane displayed in a separate window.</w:t>
      </w:r>
    </w:p>
    <w:p w:rsidR="0061712D" w:rsidRDefault="0061712D" w:rsidP="0061712D"/>
    <w:p w:rsidR="0061712D" w:rsidRDefault="0061712D" w:rsidP="0061712D">
      <w:pPr>
        <w:jc w:val="center"/>
      </w:pPr>
      <w:r>
        <w:rPr>
          <w:noProof/>
        </w:rPr>
        <w:drawing>
          <wp:inline distT="0" distB="0" distL="0" distR="0" wp14:anchorId="21B66024" wp14:editId="6C93133A">
            <wp:extent cx="2688609" cy="129476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91580" cy="1296191"/>
                    </a:xfrm>
                    <a:prstGeom prst="rect">
                      <a:avLst/>
                    </a:prstGeom>
                  </pic:spPr>
                </pic:pic>
              </a:graphicData>
            </a:graphic>
          </wp:inline>
        </w:drawing>
      </w:r>
    </w:p>
    <w:p w:rsidR="00D951EA" w:rsidRDefault="00D951EA" w:rsidP="0061712D">
      <w:pPr>
        <w:jc w:val="center"/>
      </w:pPr>
    </w:p>
    <w:p w:rsidR="00D951EA" w:rsidRPr="0038498D" w:rsidRDefault="00D951EA" w:rsidP="00D951EA">
      <w:pPr>
        <w:rPr>
          <w:sz w:val="24"/>
        </w:rPr>
      </w:pPr>
      <w:r w:rsidRPr="0038498D">
        <w:rPr>
          <w:sz w:val="24"/>
        </w:rPr>
        <w:t xml:space="preserve">Highlighting is used in the </w:t>
      </w:r>
      <w:r w:rsidRPr="0038498D">
        <w:rPr>
          <w:b/>
          <w:sz w:val="24"/>
          <w:u w:val="single"/>
        </w:rPr>
        <w:t>body</w:t>
      </w:r>
      <w:r w:rsidRPr="0038498D">
        <w:rPr>
          <w:sz w:val="24"/>
        </w:rPr>
        <w:t xml:space="preserve"> of this document as follows:</w:t>
      </w:r>
    </w:p>
    <w:p w:rsidR="00D951EA" w:rsidRDefault="00D951EA" w:rsidP="00D951EA">
      <w:r w:rsidRPr="00D951EA">
        <w:rPr>
          <w:highlight w:val="yellow"/>
        </w:rPr>
        <w:t>Yellow</w:t>
      </w:r>
      <w:r>
        <w:t xml:space="preserve"> – indicates information relative to new requirements for OASIS</w:t>
      </w:r>
    </w:p>
    <w:p w:rsidR="00D951EA" w:rsidRDefault="00D951EA" w:rsidP="00D951EA">
      <w:r w:rsidRPr="00D951EA">
        <w:rPr>
          <w:highlight w:val="cyan"/>
        </w:rPr>
        <w:t>Turquoise</w:t>
      </w:r>
      <w:r>
        <w:t xml:space="preserve"> – indicates information relative to existing requirements for OASIS</w:t>
      </w:r>
    </w:p>
    <w:p w:rsidR="00D951EA" w:rsidRDefault="00D951EA" w:rsidP="00D951EA"/>
    <w:p w:rsidR="00D951EA" w:rsidRPr="0038498D" w:rsidRDefault="00D951EA" w:rsidP="00D951EA">
      <w:pPr>
        <w:rPr>
          <w:sz w:val="24"/>
        </w:rPr>
      </w:pPr>
      <w:r w:rsidRPr="0038498D">
        <w:rPr>
          <w:sz w:val="24"/>
        </w:rPr>
        <w:t xml:space="preserve">Highlighting is also used in the </w:t>
      </w:r>
      <w:r w:rsidRPr="0038498D">
        <w:rPr>
          <w:b/>
          <w:sz w:val="24"/>
          <w:u w:val="single"/>
        </w:rPr>
        <w:t>comments</w:t>
      </w:r>
      <w:r w:rsidRPr="0038498D">
        <w:rPr>
          <w:sz w:val="24"/>
        </w:rPr>
        <w:t xml:space="preserve"> as follows:</w:t>
      </w:r>
    </w:p>
    <w:p w:rsidR="00D951EA" w:rsidRDefault="00D951EA" w:rsidP="00D951EA">
      <w:r w:rsidRPr="00D951EA">
        <w:rPr>
          <w:highlight w:val="green"/>
        </w:rPr>
        <w:t>Green</w:t>
      </w:r>
      <w:r>
        <w:t xml:space="preserve"> – specific text that has been referred to by FERC in the body of this document</w:t>
      </w:r>
    </w:p>
    <w:p w:rsidR="0061712D" w:rsidRDefault="0061712D">
      <w:pPr>
        <w:rPr>
          <w:rFonts w:ascii="Times New Roman" w:eastAsia="Times New Roman" w:hAnsi="Times New Roman" w:cs="Times New Roman"/>
          <w:b/>
          <w:bCs/>
          <w:kern w:val="32"/>
          <w:sz w:val="26"/>
          <w:szCs w:val="26"/>
          <w:u w:val="single"/>
        </w:rPr>
      </w:pPr>
      <w:r>
        <w:br w:type="page"/>
      </w:r>
    </w:p>
    <w:p w:rsidR="0061712D" w:rsidRDefault="0061712D" w:rsidP="0061712D">
      <w:pPr>
        <w:pStyle w:val="Heading3"/>
        <w:numPr>
          <w:ilvl w:val="0"/>
          <w:numId w:val="0"/>
        </w:numPr>
      </w:pPr>
    </w:p>
    <w:p w:rsidR="003D1991" w:rsidRPr="000B7AAD" w:rsidRDefault="003D1991" w:rsidP="003D1991">
      <w:pPr>
        <w:pStyle w:val="Heading3"/>
      </w:pPr>
      <w:r w:rsidRPr="000B7AAD">
        <w:t>T</w:t>
      </w:r>
      <w:bookmarkEnd w:id="0"/>
      <w:r w:rsidRPr="000B7AAD">
        <w:t>ransmission Curta</w:t>
      </w:r>
      <w:r w:rsidRPr="000B7AAD">
        <w:rPr>
          <w:iCs/>
        </w:rPr>
        <w:t>i</w:t>
      </w:r>
      <w:r w:rsidRPr="000B7AAD">
        <w:t>lments</w:t>
      </w:r>
      <w:bookmarkEnd w:id="1"/>
      <w:r w:rsidRPr="000B7AAD">
        <w:t xml:space="preserve"> </w:t>
      </w:r>
    </w:p>
    <w:p w:rsidR="003D1991" w:rsidRPr="000B7AAD" w:rsidRDefault="003D1991" w:rsidP="003D1991">
      <w:pPr>
        <w:pStyle w:val="FERCparanumber"/>
      </w:pPr>
      <w:r w:rsidRPr="000B7AAD">
        <w:t xml:space="preserve">In the </w:t>
      </w:r>
      <w:commentRangeStart w:id="2"/>
      <w:r w:rsidRPr="000B7AAD">
        <w:t>NOPR</w:t>
      </w:r>
      <w:commentRangeEnd w:id="2"/>
      <w:r w:rsidR="00CE7FE1">
        <w:rPr>
          <w:rStyle w:val="CommentReference"/>
          <w:rFonts w:asciiTheme="minorHAnsi" w:eastAsiaTheme="minorHAnsi" w:hAnsiTheme="minorHAnsi" w:cstheme="minorBidi"/>
        </w:rPr>
        <w:commentReference w:id="2"/>
      </w:r>
      <w:r w:rsidRPr="000B7AAD">
        <w:t xml:space="preserve">, the Commission proposed no changes to the </w:t>
      </w:r>
      <w:r w:rsidRPr="000B7AAD">
        <w:rPr>
          <w:u w:val="single"/>
        </w:rPr>
        <w:t>pro forma</w:t>
      </w:r>
      <w:r w:rsidRPr="000B7AAD">
        <w:t xml:space="preserve"> OATT with respect to curtailment provisions for point-to-point service (set forth in sections 13.6 and 14.7) and network service (set forth in section 33).  These provisions establish the terms and conditions under which a transmission provider may curtail service to maintain reliable operation of the system.  Though several commenters claimed in response to the NOI that the reasons for transmission curtailments are difficult to discern, they did not provide sufficient detail to indicate whether that difficulty is a result of inadequate disclosure regulations, inadequate compliance with those regulations, or some other reason.  Therefore, the Commission sought further comment on whether requiring transmission providers to post additional information would improve transparency and the ability of customers to make use of that information.  The Commission also declined in the NOPR to propose generic penalties for improper transmission curtailments.</w:t>
      </w:r>
    </w:p>
    <w:p w:rsidR="003D1991" w:rsidRPr="005450CC" w:rsidRDefault="003D1991" w:rsidP="003D1991">
      <w:pPr>
        <w:pStyle w:val="FERCparanumber"/>
        <w:widowControl w:val="0"/>
        <w:numPr>
          <w:ilvl w:val="0"/>
          <w:numId w:val="0"/>
        </w:numPr>
        <w:rPr>
          <w:b/>
          <w:u w:val="single"/>
        </w:rPr>
      </w:pPr>
      <w:r w:rsidRPr="000B7AAD">
        <w:tab/>
      </w:r>
      <w:r w:rsidRPr="005450CC">
        <w:rPr>
          <w:b/>
          <w:u w:val="single"/>
        </w:rPr>
        <w:t xml:space="preserve">Comments </w:t>
      </w:r>
    </w:p>
    <w:p w:rsidR="003D1991" w:rsidRPr="000B7AAD" w:rsidRDefault="003D1991" w:rsidP="003D1991">
      <w:pPr>
        <w:pStyle w:val="FERCparanumber"/>
        <w:widowControl w:val="0"/>
      </w:pPr>
      <w:commentRangeStart w:id="3"/>
      <w:r w:rsidRPr="000B7AAD">
        <w:t>APPA</w:t>
      </w:r>
      <w:commentRangeEnd w:id="3"/>
      <w:r w:rsidR="00DE079C">
        <w:rPr>
          <w:rStyle w:val="CommentReference"/>
          <w:rFonts w:asciiTheme="minorHAnsi" w:eastAsiaTheme="minorHAnsi" w:hAnsiTheme="minorHAnsi" w:cstheme="minorBidi"/>
        </w:rPr>
        <w:commentReference w:id="3"/>
      </w:r>
      <w:r w:rsidRPr="000B7AAD">
        <w:t xml:space="preserve"> suggests that the Commission require transmission providers to produce additional information regarding firm transmission service curtailments, including all circumstances and events contributing to the need for such firm service curtailments, specific services and customers curtailed (including the transmission provider’s own retail loads), and the duration of all such curtailments. </w:t>
      </w:r>
      <w:commentRangeStart w:id="4"/>
      <w:r w:rsidRPr="000B7AAD">
        <w:t>TAPS</w:t>
      </w:r>
      <w:commentRangeEnd w:id="4"/>
      <w:r w:rsidR="00DE079C">
        <w:rPr>
          <w:rStyle w:val="CommentReference"/>
          <w:rFonts w:asciiTheme="minorHAnsi" w:eastAsiaTheme="minorHAnsi" w:hAnsiTheme="minorHAnsi" w:cstheme="minorBidi"/>
        </w:rPr>
        <w:commentReference w:id="4"/>
      </w:r>
      <w:r w:rsidRPr="000B7AAD">
        <w:t xml:space="preserve"> also urges the Commission to move toward maximum transparency and require that sufficient </w:t>
      </w:r>
      <w:r w:rsidRPr="000B7AAD">
        <w:lastRenderedPageBreak/>
        <w:t xml:space="preserve">information be provided for a customer to evaluate whether it has been treated fairly as compared to other users of the system including the transmission provider.  </w:t>
      </w:r>
      <w:commentRangeStart w:id="5"/>
      <w:r w:rsidRPr="000B7AAD">
        <w:t xml:space="preserve">TDU Systems </w:t>
      </w:r>
      <w:commentRangeEnd w:id="5"/>
      <w:r w:rsidR="00DE079C">
        <w:rPr>
          <w:rStyle w:val="CommentReference"/>
          <w:rFonts w:asciiTheme="minorHAnsi" w:eastAsiaTheme="minorHAnsi" w:hAnsiTheme="minorHAnsi" w:cstheme="minorBidi"/>
        </w:rPr>
        <w:commentReference w:id="5"/>
      </w:r>
      <w:r w:rsidRPr="000B7AAD">
        <w:t xml:space="preserve">suggests that the Commission require investigations into the need for network upgrades when Level 5 Transmission Loading Relief (TLR) procedures are repeatedly employed.  It also suggests that all Level 5 TLRs be posted on OASIS and filed with the Commission.  </w:t>
      </w:r>
      <w:commentRangeStart w:id="6"/>
      <w:r w:rsidRPr="000B7AAD">
        <w:t>EEI</w:t>
      </w:r>
      <w:commentRangeEnd w:id="6"/>
      <w:r w:rsidR="00DE079C">
        <w:rPr>
          <w:rStyle w:val="CommentReference"/>
          <w:rFonts w:asciiTheme="minorHAnsi" w:eastAsiaTheme="minorHAnsi" w:hAnsiTheme="minorHAnsi" w:cstheme="minorBidi"/>
        </w:rPr>
        <w:commentReference w:id="6"/>
      </w:r>
      <w:r w:rsidRPr="000B7AAD">
        <w:t xml:space="preserve"> agrees that providing customers with information on transmission curtailments may help to reduce confusion and suspicion concerning curtailments and suggests the Commission request WEQ (NAESB) to develop a more detailed template for posting information on curtailments that will be more useful to customers.  </w:t>
      </w:r>
    </w:p>
    <w:p w:rsidR="003D1991" w:rsidRPr="000B7AAD" w:rsidRDefault="003D1991" w:rsidP="003D1991">
      <w:pPr>
        <w:pStyle w:val="FERCparanumber"/>
        <w:widowControl w:val="0"/>
      </w:pPr>
      <w:commentRangeStart w:id="7"/>
      <w:r w:rsidRPr="000B7AAD">
        <w:t>Southern</w:t>
      </w:r>
      <w:commentRangeEnd w:id="7"/>
      <w:r w:rsidR="00DE079C">
        <w:rPr>
          <w:rStyle w:val="CommentReference"/>
          <w:rFonts w:asciiTheme="minorHAnsi" w:eastAsiaTheme="minorHAnsi" w:hAnsiTheme="minorHAnsi" w:cstheme="minorBidi"/>
        </w:rPr>
        <w:commentReference w:id="7"/>
      </w:r>
      <w:r w:rsidRPr="000B7AAD">
        <w:t xml:space="preserve"> and </w:t>
      </w:r>
      <w:commentRangeStart w:id="8"/>
      <w:r w:rsidRPr="000B7AAD">
        <w:t>other commenters</w:t>
      </w:r>
      <w:commentRangeEnd w:id="8"/>
      <w:r w:rsidR="00DE079C">
        <w:rPr>
          <w:rStyle w:val="CommentReference"/>
          <w:rFonts w:asciiTheme="minorHAnsi" w:eastAsiaTheme="minorHAnsi" w:hAnsiTheme="minorHAnsi" w:cstheme="minorBidi"/>
        </w:rPr>
        <w:commentReference w:id="8"/>
      </w:r>
      <w:commentRangeStart w:id="9"/>
      <w:r w:rsidRPr="000B7AAD">
        <w:rPr>
          <w:rStyle w:val="FootnoteReference"/>
        </w:rPr>
        <w:footnoteReference w:id="1"/>
      </w:r>
      <w:commentRangeEnd w:id="9"/>
      <w:r w:rsidR="00DE079C">
        <w:rPr>
          <w:rStyle w:val="CommentReference"/>
          <w:rFonts w:asciiTheme="minorHAnsi" w:eastAsiaTheme="minorHAnsi" w:hAnsiTheme="minorHAnsi" w:cstheme="minorBidi"/>
        </w:rPr>
        <w:commentReference w:id="9"/>
      </w:r>
      <w:r w:rsidRPr="000B7AAD">
        <w:t xml:space="preserve"> state that sufficient information regarding curtailments of transmission service is already available on OASIS and believe that the existing rules requiring transmission providers to make curtailment data available on OASIS are adequate.   </w:t>
      </w:r>
      <w:commentRangeStart w:id="10"/>
      <w:r w:rsidRPr="000B7AAD">
        <w:t xml:space="preserve">Nevada Companies </w:t>
      </w:r>
      <w:commentRangeEnd w:id="10"/>
      <w:r w:rsidR="00DE079C">
        <w:rPr>
          <w:rStyle w:val="CommentReference"/>
          <w:rFonts w:asciiTheme="minorHAnsi" w:eastAsiaTheme="minorHAnsi" w:hAnsiTheme="minorHAnsi" w:cstheme="minorBidi"/>
        </w:rPr>
        <w:commentReference w:id="10"/>
      </w:r>
      <w:r w:rsidRPr="000B7AAD">
        <w:t xml:space="preserve">request the Commission be very specific if it decides to mandate additional reporting requirements in order to remove the burden of potential confidentiality problems from the reporting entity.  </w:t>
      </w:r>
    </w:p>
    <w:p w:rsidR="003D1991" w:rsidRPr="000B7AAD" w:rsidRDefault="003D1991" w:rsidP="003D1991">
      <w:pPr>
        <w:pStyle w:val="FERCparanumber"/>
        <w:widowControl w:val="0"/>
      </w:pPr>
      <w:commentRangeStart w:id="11"/>
      <w:proofErr w:type="spellStart"/>
      <w:r w:rsidRPr="000B7AAD">
        <w:t>Powerex</w:t>
      </w:r>
      <w:commentRangeEnd w:id="11"/>
      <w:proofErr w:type="spellEnd"/>
      <w:r w:rsidR="00DE079C">
        <w:rPr>
          <w:rStyle w:val="CommentReference"/>
          <w:rFonts w:asciiTheme="minorHAnsi" w:eastAsiaTheme="minorHAnsi" w:hAnsiTheme="minorHAnsi" w:cstheme="minorBidi"/>
        </w:rPr>
        <w:commentReference w:id="11"/>
      </w:r>
      <w:r w:rsidRPr="000B7AAD">
        <w:t xml:space="preserve"> is concerned about inconsistent communication and curtailment procedures.  It recommends that the Commission require three additional measures including: early notice of curtailment through the use of the “recall” function on OASIS; a requirement to provide credits for curtailed service when non-firm point-to-point transmission service is interrupted; and requiring </w:t>
      </w:r>
      <w:r w:rsidRPr="006B1D4B">
        <w:rPr>
          <w:u w:val="single"/>
        </w:rPr>
        <w:t>pro rata</w:t>
      </w:r>
      <w:r w:rsidRPr="000B7AAD">
        <w:t xml:space="preserve"> curtailments made prior to the energy scheduling and tagging deadline (</w:t>
      </w:r>
      <w:r w:rsidRPr="000B7AAD">
        <w:rPr>
          <w:u w:val="single"/>
        </w:rPr>
        <w:t>e.g.</w:t>
      </w:r>
      <w:r w:rsidRPr="000B7AAD">
        <w:t xml:space="preserve">, 20 minutes before the operating hour) to be based on reservation rather than schedule.  In its reply comments, </w:t>
      </w:r>
      <w:commentRangeStart w:id="12"/>
      <w:r w:rsidRPr="00D92D8D">
        <w:t>Seattle</w:t>
      </w:r>
      <w:commentRangeEnd w:id="12"/>
      <w:r w:rsidR="00D92D8D">
        <w:rPr>
          <w:rStyle w:val="CommentReference"/>
          <w:rFonts w:asciiTheme="minorHAnsi" w:eastAsiaTheme="minorHAnsi" w:hAnsiTheme="minorHAnsi" w:cstheme="minorBidi"/>
        </w:rPr>
        <w:commentReference w:id="12"/>
      </w:r>
      <w:r w:rsidRPr="000B7AAD">
        <w:t xml:space="preserve"> states support of </w:t>
      </w:r>
      <w:r w:rsidRPr="006B1D4B">
        <w:rPr>
          <w:u w:val="single"/>
        </w:rPr>
        <w:t>pro rata</w:t>
      </w:r>
      <w:r w:rsidRPr="000B7AAD">
        <w:t xml:space="preserve"> curtailments based on reservations.  </w:t>
      </w:r>
      <w:commentRangeStart w:id="13"/>
      <w:r w:rsidRPr="000B7AAD">
        <w:t>TDU Systems</w:t>
      </w:r>
      <w:r w:rsidR="00DE079C">
        <w:t xml:space="preserve"> </w:t>
      </w:r>
      <w:commentRangeEnd w:id="13"/>
      <w:r w:rsidR="001647B8">
        <w:rPr>
          <w:rStyle w:val="CommentReference"/>
          <w:rFonts w:asciiTheme="minorHAnsi" w:eastAsiaTheme="minorHAnsi" w:hAnsiTheme="minorHAnsi" w:cstheme="minorBidi"/>
        </w:rPr>
        <w:commentReference w:id="13"/>
      </w:r>
      <w:r w:rsidRPr="000B7AAD">
        <w:t xml:space="preserve">recommend that the Commission require transmission providers to refund transmission charges to curtailed customers, to discourage transmission providers from overselling their systems.  On reply, </w:t>
      </w:r>
      <w:commentRangeStart w:id="14"/>
      <w:r w:rsidRPr="00A17931">
        <w:t>EEI</w:t>
      </w:r>
      <w:commentRangeEnd w:id="14"/>
      <w:r w:rsidR="00A17931">
        <w:rPr>
          <w:rStyle w:val="CommentReference"/>
          <w:rFonts w:asciiTheme="minorHAnsi" w:eastAsiaTheme="minorHAnsi" w:hAnsiTheme="minorHAnsi" w:cstheme="minorBidi"/>
        </w:rPr>
        <w:commentReference w:id="14"/>
      </w:r>
      <w:r w:rsidRPr="000B7AAD">
        <w:t xml:space="preserve"> and </w:t>
      </w:r>
      <w:commentRangeStart w:id="16"/>
      <w:r w:rsidRPr="000B7AAD">
        <w:t xml:space="preserve">PNM-TNMP </w:t>
      </w:r>
      <w:commentRangeEnd w:id="16"/>
      <w:r w:rsidR="001647B8">
        <w:rPr>
          <w:rStyle w:val="CommentReference"/>
          <w:rFonts w:asciiTheme="minorHAnsi" w:eastAsiaTheme="minorHAnsi" w:hAnsiTheme="minorHAnsi" w:cstheme="minorBidi"/>
        </w:rPr>
        <w:commentReference w:id="16"/>
      </w:r>
      <w:r w:rsidRPr="000B7AAD">
        <w:t xml:space="preserve">urge the Commission to reject the proposals to require transmission providers to refund transmission service charges to curtailed customers.  They state that transmission providers are following ATC calculation procedures, but the planning process is not structured to overbuild the system to ensure that no curtailments occur.  They also argue that the rate of return permitted in existing cost of service regulation does not account for the risk of loss of curtailment-related revenues.  </w:t>
      </w:r>
      <w:commentRangeStart w:id="17"/>
      <w:r w:rsidRPr="000B7AAD">
        <w:t xml:space="preserve">Northwest IOUs </w:t>
      </w:r>
      <w:commentRangeEnd w:id="17"/>
      <w:r w:rsidR="001647B8">
        <w:rPr>
          <w:rStyle w:val="CommentReference"/>
          <w:rFonts w:asciiTheme="minorHAnsi" w:eastAsiaTheme="minorHAnsi" w:hAnsiTheme="minorHAnsi" w:cstheme="minorBidi"/>
        </w:rPr>
        <w:commentReference w:id="17"/>
      </w:r>
      <w:r w:rsidRPr="000B7AAD">
        <w:t xml:space="preserve">request the Commission examine whether </w:t>
      </w:r>
      <w:r w:rsidRPr="000B7AAD">
        <w:rPr>
          <w:u w:val="single"/>
        </w:rPr>
        <w:t>pro rata</w:t>
      </w:r>
      <w:r w:rsidRPr="000B7AAD">
        <w:t xml:space="preserve"> curtailments of transactions to relieve transmission constraints unnecessarily impose burdens on transmission customers, because different curtailments on different paths have different effectiveness in relieving a given transmission constraint.  </w:t>
      </w:r>
    </w:p>
    <w:p w:rsidR="003D1991" w:rsidRPr="000B7AAD" w:rsidRDefault="003D1991" w:rsidP="003D1991">
      <w:pPr>
        <w:pStyle w:val="FERCparanumber"/>
        <w:widowControl w:val="0"/>
      </w:pPr>
      <w:commentRangeStart w:id="18"/>
      <w:r w:rsidRPr="000B7AAD">
        <w:t xml:space="preserve">Manitoba Hydro </w:t>
      </w:r>
      <w:commentRangeEnd w:id="18"/>
      <w:r w:rsidR="001647B8">
        <w:rPr>
          <w:rStyle w:val="CommentReference"/>
          <w:rFonts w:asciiTheme="minorHAnsi" w:eastAsiaTheme="minorHAnsi" w:hAnsiTheme="minorHAnsi" w:cstheme="minorBidi"/>
        </w:rPr>
        <w:commentReference w:id="18"/>
      </w:r>
      <w:r w:rsidRPr="000B7AAD">
        <w:t xml:space="preserve">notes that MISO is the only RTO in the Eastern Interconnection that does not redispatch when constraints occur on non-market to market flows.  Manitoba Hydro therefore urges the Commission to encourage implementation of redispatch to the fullest extent before resorting to curtailment.  </w:t>
      </w:r>
      <w:commentRangeStart w:id="19"/>
      <w:r w:rsidRPr="001647B8">
        <w:rPr>
          <w:highlight w:val="yellow"/>
        </w:rPr>
        <w:t>Seattle</w:t>
      </w:r>
      <w:r w:rsidRPr="000B7AAD">
        <w:t xml:space="preserve"> also supports modifying the </w:t>
      </w:r>
      <w:r w:rsidRPr="000B7AAD">
        <w:rPr>
          <w:u w:val="single"/>
        </w:rPr>
        <w:t>pro forma</w:t>
      </w:r>
      <w:r w:rsidRPr="000B7AAD">
        <w:t xml:space="preserve"> OATT to require reliability redispatch.  Seattle proposes that redispatch costs should be allocated to all classes of customers, and transmission providers’ cost recovery should be allowed through automatic adjustment clause-type formulas to ensure all such costs are recovered.  It suggests that routine maintenance outages are resulting in curtailments, which is an indication that transmission service is oversold.  </w:t>
      </w:r>
      <w:r w:rsidRPr="001647B8">
        <w:rPr>
          <w:highlight w:val="yellow"/>
        </w:rPr>
        <w:t>Seattle</w:t>
      </w:r>
      <w:r w:rsidRPr="000B7AAD">
        <w:t xml:space="preserve"> further suggests that transmission providers prepare a quarterly incident report for redispatch events detailing </w:t>
      </w:r>
      <w:r>
        <w:t>circumstances resulting in</w:t>
      </w:r>
      <w:r w:rsidRPr="000B7AAD">
        <w:t xml:space="preserve"> the redispatch, system status information, power transfer distribution factors, generator offers for redispatch and other information supporting redispatch determinations, including the basis for selecting generators called for redispatch.</w:t>
      </w:r>
      <w:commentRangeEnd w:id="19"/>
      <w:r w:rsidR="00F6048D">
        <w:rPr>
          <w:rStyle w:val="CommentReference"/>
          <w:rFonts w:asciiTheme="minorHAnsi" w:eastAsiaTheme="minorHAnsi" w:hAnsiTheme="minorHAnsi" w:cstheme="minorBidi"/>
        </w:rPr>
        <w:commentReference w:id="19"/>
      </w:r>
    </w:p>
    <w:p w:rsidR="003D1991" w:rsidRPr="000B7AAD" w:rsidRDefault="003D1991" w:rsidP="003D1991">
      <w:pPr>
        <w:pStyle w:val="FERCparanumber"/>
        <w:widowControl w:val="0"/>
      </w:pPr>
      <w:commentRangeStart w:id="20"/>
      <w:r w:rsidRPr="000B7AAD">
        <w:t>APPA</w:t>
      </w:r>
      <w:commentRangeEnd w:id="20"/>
      <w:r w:rsidR="00B12A31">
        <w:rPr>
          <w:rStyle w:val="CommentReference"/>
          <w:rFonts w:asciiTheme="minorHAnsi" w:eastAsiaTheme="minorHAnsi" w:hAnsiTheme="minorHAnsi" w:cstheme="minorBidi"/>
        </w:rPr>
        <w:commentReference w:id="20"/>
      </w:r>
      <w:r w:rsidRPr="000B7AAD">
        <w:t xml:space="preserve">, </w:t>
      </w:r>
      <w:commentRangeStart w:id="21"/>
      <w:r w:rsidRPr="000B7AAD">
        <w:t>EEI</w:t>
      </w:r>
      <w:commentRangeEnd w:id="21"/>
      <w:r w:rsidR="00B12A31">
        <w:rPr>
          <w:rStyle w:val="CommentReference"/>
          <w:rFonts w:asciiTheme="minorHAnsi" w:eastAsiaTheme="minorHAnsi" w:hAnsiTheme="minorHAnsi" w:cstheme="minorBidi"/>
        </w:rPr>
        <w:commentReference w:id="21"/>
      </w:r>
      <w:r w:rsidRPr="000B7AAD">
        <w:t xml:space="preserve"> and others comment that the Commission should not impose generic penalties for improper curtailments, but treat violations on a case-by-case basis. </w:t>
      </w:r>
      <w:r w:rsidRPr="000B7AAD" w:rsidDel="007E5671">
        <w:t>T</w:t>
      </w:r>
      <w:r w:rsidRPr="000B7AAD">
        <w:t xml:space="preserve">o ensure compliance with curtailment posting information, </w:t>
      </w:r>
      <w:commentRangeStart w:id="22"/>
      <w:r w:rsidRPr="00A034FB">
        <w:t>Southwestern Coop</w:t>
      </w:r>
      <w:r w:rsidRPr="000B7AAD">
        <w:t xml:space="preserve"> </w:t>
      </w:r>
      <w:commentRangeEnd w:id="22"/>
      <w:r w:rsidR="00A034FB">
        <w:rPr>
          <w:rStyle w:val="CommentReference"/>
          <w:rFonts w:asciiTheme="minorHAnsi" w:eastAsiaTheme="minorHAnsi" w:hAnsiTheme="minorHAnsi" w:cstheme="minorBidi"/>
        </w:rPr>
        <w:commentReference w:id="22"/>
      </w:r>
      <w:r w:rsidRPr="000B7AAD">
        <w:t>suggests that the Commission adopt generic penalties for curtailment violations, claiming that penalties for transmission provider curtailment discrimination would provide incentives for compliance.</w:t>
      </w:r>
    </w:p>
    <w:p w:rsidR="003D1991" w:rsidRPr="000B7AAD" w:rsidRDefault="003D1991" w:rsidP="003D1991">
      <w:pPr>
        <w:pStyle w:val="FERCparanumber"/>
        <w:widowControl w:val="0"/>
        <w:numPr>
          <w:ilvl w:val="0"/>
          <w:numId w:val="0"/>
        </w:numPr>
        <w:rPr>
          <w:b/>
          <w:u w:val="single"/>
        </w:rPr>
      </w:pPr>
      <w:r w:rsidRPr="000B7AAD">
        <w:tab/>
      </w:r>
      <w:r w:rsidRPr="000B7AAD">
        <w:rPr>
          <w:b/>
          <w:u w:val="single"/>
        </w:rPr>
        <w:t>Commission Determination</w:t>
      </w:r>
    </w:p>
    <w:p w:rsidR="003D1991" w:rsidRPr="000B7AAD" w:rsidRDefault="003D1991" w:rsidP="003D1991">
      <w:pPr>
        <w:pStyle w:val="FERCparanumber"/>
        <w:widowControl w:val="0"/>
      </w:pPr>
      <w:r w:rsidRPr="000B7AAD">
        <w:t>The Commission concludes that the posting of additional curtailment information is necessary to provide transparency and allow customers to determine whether they have been treated in the same manner as other transmission system users</w:t>
      </w:r>
      <w:r>
        <w:t>,</w:t>
      </w:r>
      <w:r w:rsidRPr="000B7AAD">
        <w:t xml:space="preserve"> including customers of the transmission provider.  A primary goal of this rulemaking is to remove opportunities for transmission providers to unduly discriminate in favor of their own or their affiliates’ use of the transmission system.  Making transparent details concerning transmission curtailments so that regulators and customers can verify that the transmission provider curtailed services in accordance with its OATT is entirely consistent with this goal.  Commenters who oppose greater curtailment transparency offer no convincing evidence to suggest that any harm or hardship of doing so outweigh the benefits.    </w:t>
      </w:r>
    </w:p>
    <w:p w:rsidR="003D1991" w:rsidRPr="0038498D" w:rsidRDefault="003D1991" w:rsidP="003D1991">
      <w:pPr>
        <w:pStyle w:val="FERCparanumber"/>
        <w:widowControl w:val="0"/>
        <w:rPr>
          <w:highlight w:val="cyan"/>
        </w:rPr>
      </w:pPr>
      <w:r w:rsidRPr="004315D8">
        <w:rPr>
          <w:highlight w:val="yellow"/>
        </w:rPr>
        <w:t>We agree with suggestions for the posting of additional curtailment information on OASIS and, therefore, require transmission providers, working through NAESB, to develop a detailed template for the posting of additional information on OASIS regarding firm transmission curtailments</w:t>
      </w:r>
      <w:r w:rsidRPr="0038498D">
        <w:rPr>
          <w:highlight w:val="yellow"/>
        </w:rPr>
        <w:t xml:space="preserve">.  Transmission providers need not implement this new OASIS functionality and any related business practices until NAESB develops appropriate standards.  These </w:t>
      </w:r>
      <w:r w:rsidRPr="004315D8">
        <w:rPr>
          <w:highlight w:val="yellow"/>
        </w:rPr>
        <w:t>postings must include all circumstances and events contributing to the need for a firm service curtailment, specific services and customers curtailed (including the transmission provider’s own retail loads), and the duration of the curtailment.</w:t>
      </w:r>
      <w:r w:rsidRPr="000B7AAD">
        <w:t xml:space="preserve">  </w:t>
      </w:r>
      <w:r w:rsidRPr="004315D8">
        <w:rPr>
          <w:highlight w:val="cyan"/>
        </w:rPr>
        <w:t>This information is in addition to the Commission’s existing requirements: (1) when any transmission is curtailed or interrupted, the transmission provider must post notice of the curtailment or interruption on OASIS, and the transmission provider must state on OASIS the reason why the transaction could not be continued or completed;</w:t>
      </w:r>
      <w:r w:rsidRPr="000B7AAD">
        <w:t xml:space="preserve"> (2) information to support any such curtailment or interruption, including the operating status of facilities involved in the constraint or interruption, must be maintained for three years and made available upon request to the curtailed or interrupted customer, the Commission’s Staff, and any other person who requests it; and, (3) </w:t>
      </w:r>
      <w:r w:rsidRPr="0038498D">
        <w:rPr>
          <w:highlight w:val="cyan"/>
        </w:rPr>
        <w:t xml:space="preserve">any offer to adjust the operation of the transmission provider’s system to restore a curtailed or interrupted transaction must be posted and made available to all curtailed and interrupted transmission customers at the same time. </w:t>
      </w:r>
    </w:p>
    <w:p w:rsidR="003D1991" w:rsidRPr="000B7AAD" w:rsidRDefault="003D1991" w:rsidP="003D1991">
      <w:pPr>
        <w:pStyle w:val="FERCparanumber"/>
        <w:widowControl w:val="0"/>
      </w:pPr>
      <w:r w:rsidRPr="000B7AAD">
        <w:t xml:space="preserve">The Commission rejects TDU Systems’ proposal to require reports filed with the Commission regarding Level 5 TLRs or to require transmission providers to conduct investigations into the need for network upgrades when TLR 5 procedures are repeatedly employed.  </w:t>
      </w:r>
      <w:r w:rsidRPr="006E0D59">
        <w:rPr>
          <w:highlight w:val="yellow"/>
        </w:rPr>
        <w:t>TDU Systems’ proposal is unnecessary at this time in light of our requirement that OASIS templates for curtailment information be developed that will report occurrences of all levels of TLRs.  This will enable the Commission and customers to monitor TLR patterns and frequency.</w:t>
      </w:r>
      <w:r w:rsidRPr="000B7AAD">
        <w:t xml:space="preserve">  Furthermore</w:t>
      </w:r>
      <w:bookmarkStart w:id="23" w:name="_GoBack"/>
      <w:bookmarkEnd w:id="23"/>
      <w:r w:rsidRPr="000B7AAD">
        <w:t xml:space="preserve">, the requirements imposed in this Final Rule for congestion studies as part of the coordinated, open and transparent planning requirement will allow stakeholders in the transmission provider’s planning process to request studies of those portions of the transmission system where they have encountered transmission problems due to frequent and recurring constraints. </w:t>
      </w:r>
    </w:p>
    <w:p w:rsidR="003D1991" w:rsidRPr="000B7AAD" w:rsidRDefault="003D1991" w:rsidP="003D1991">
      <w:pPr>
        <w:pStyle w:val="FERCparanumber"/>
        <w:widowControl w:val="0"/>
      </w:pPr>
      <w:r w:rsidRPr="000B7AAD">
        <w:t xml:space="preserve">The Commission rejects the three proposals suggested by </w:t>
      </w:r>
      <w:proofErr w:type="spellStart"/>
      <w:r w:rsidRPr="000B7AAD">
        <w:t>Powerex</w:t>
      </w:r>
      <w:proofErr w:type="spellEnd"/>
      <w:r w:rsidRPr="000B7AAD">
        <w:t xml:space="preserve">.  First, it is not necessary to provide early curtailment notification through the OASIS “recall” function since the OASIS currently provides a curtailment notification function. </w:t>
      </w:r>
      <w:r w:rsidRPr="004315D8">
        <w:rPr>
          <w:highlight w:val="cyan"/>
        </w:rPr>
        <w:t>Transmission providers should continue to use the OASIS Schedule Details template to post information on the scheduled uses of the transmission system and any curtailments and interruption thereof.</w:t>
      </w:r>
      <w:r w:rsidRPr="000B7AAD">
        <w:t xml:space="preserve">  </w:t>
      </w:r>
      <w:r w:rsidRPr="000B7AAD" w:rsidDel="007E5671">
        <w:t>S</w:t>
      </w:r>
      <w:r w:rsidRPr="000B7AAD">
        <w:t xml:space="preserve">econd, with respect to </w:t>
      </w:r>
      <w:proofErr w:type="spellStart"/>
      <w:r w:rsidRPr="000B7AAD">
        <w:t>Powerex’s</w:t>
      </w:r>
      <w:proofErr w:type="spellEnd"/>
      <w:r w:rsidRPr="000B7AAD">
        <w:t xml:space="preserve"> request to credit customers when their non-firm point-to-point transmission service is interrupted, we find it unnecessary to modify the </w:t>
      </w:r>
      <w:r w:rsidRPr="000B7AAD">
        <w:rPr>
          <w:u w:val="single"/>
        </w:rPr>
        <w:t>pro forma</w:t>
      </w:r>
      <w:r w:rsidRPr="000B7AAD">
        <w:t xml:space="preserve"> OATT to adopt such crediting procedures, consistent with our finding in Order No. 888-A that proper crediting would vary depending on the specific rate design a company uses.</w:t>
      </w:r>
      <w:r w:rsidRPr="000B7AAD">
        <w:rPr>
          <w:rStyle w:val="FootnoteReference"/>
        </w:rPr>
        <w:footnoteReference w:id="2"/>
      </w:r>
      <w:r w:rsidRPr="000B7AAD">
        <w:rPr>
          <w:rStyle w:val="FootnoteReference"/>
        </w:rPr>
        <w:t xml:space="preserve">  </w:t>
      </w:r>
      <w:r w:rsidRPr="000B7AAD" w:rsidDel="007E5671">
        <w:t>T</w:t>
      </w:r>
      <w:r w:rsidRPr="000B7AAD">
        <w:t>hird, we believe that pro-rating curtailments based on reservations would have the potential</w:t>
      </w:r>
      <w:r w:rsidRPr="000B7AAD" w:rsidDel="007E5671">
        <w:t xml:space="preserve"> to</w:t>
      </w:r>
      <w:r w:rsidRPr="000B7AAD">
        <w:t xml:space="preserve"> impair reliability since the amount of capacity actually curtailed using this approach would not address actual power flows and, therefore, may be less than required to relieve the overloaded facility.  </w:t>
      </w:r>
    </w:p>
    <w:p w:rsidR="003D1991" w:rsidRPr="000B7AAD" w:rsidRDefault="003D1991" w:rsidP="003D1991">
      <w:pPr>
        <w:pStyle w:val="FERCparanumber"/>
        <w:widowControl w:val="0"/>
      </w:pPr>
      <w:r w:rsidRPr="000B7AAD">
        <w:t>The Commission also rejects TDU Systems’ recommendation to refund transmission charges to curtailed customers as a means of disciplining instances of improper curtailments or transmission providers’ overselling their systems.  We also reject proposals to remedy improper curtailments through refunds of transmission charges to curtailed customers or imposing generic penalties.  Rather, the Commission believes that addressing allegations of inappropriate curtailment practices or transmission providers overselling their transmission system are more effectively administered by the Commission on a case-by-case basis.</w:t>
      </w:r>
    </w:p>
    <w:p w:rsidR="003D1991" w:rsidRPr="000B7AAD" w:rsidRDefault="003D1991" w:rsidP="003D1991">
      <w:pPr>
        <w:pStyle w:val="FERCparanumber"/>
        <w:widowControl w:val="0"/>
      </w:pPr>
      <w:r w:rsidRPr="000B7AAD">
        <w:t xml:space="preserve">With respect to the proposal to require redispatch to be performed to the fullest extent prior to curtailments, Manitoba Hydro itself notes that the proposal is intended to address curtailment and redispatch practices unique to MISO.  Therefore we conclude that Manitoba Hydro’s concerns are best addressed on a case specific basis. </w:t>
      </w:r>
    </w:p>
    <w:p w:rsidR="003D1991" w:rsidRPr="000B7AAD" w:rsidRDefault="003D1991" w:rsidP="003D1991">
      <w:pPr>
        <w:pStyle w:val="FERCparanumber"/>
        <w:widowControl w:val="0"/>
      </w:pPr>
      <w:r w:rsidRPr="000B7AAD">
        <w:t xml:space="preserve">Regarding Seattle’s proposal to require what it characterizes as “reliability redispatch” to benefit and be paid by all customer classes, we note that this proposal would require expansion of the network service “reliability redispatch” provisions to apply to point-to-point service as well.  The network service “reliability redispatch” provisions in </w:t>
      </w:r>
      <w:r w:rsidRPr="000B7AAD">
        <w:rPr>
          <w:u w:val="single"/>
        </w:rPr>
        <w:t>pro forma</w:t>
      </w:r>
      <w:r w:rsidRPr="000B7AAD">
        <w:t xml:space="preserve"> OATT sections 33.2 and 33.3 were established in Order No. 888 to ensure comparable reliable service to network customers as the service that the transmission provider provides to its bundled retail load.  These redispatch procedures further provide for redispatch of not just the transmission provider's own resources, but all network resources, including those of network customers, when required to maintain the reliability of the system and avoid the need for curtailments.  Seattle has not demonstrated that its proposal to extend “reliability redispatch” for point-to-point service is required to ensure comparable, not unduly discriminatory transmission service and has not addressed why network customer resources should be </w:t>
      </w:r>
      <w:proofErr w:type="spellStart"/>
      <w:r w:rsidRPr="000B7AAD">
        <w:t>redispatched</w:t>
      </w:r>
      <w:proofErr w:type="spellEnd"/>
      <w:r w:rsidRPr="000B7AAD">
        <w:t xml:space="preserve"> for the benefit of point-to-point customer.  Accordingly, we decline to adopt Seattle’s proposal.  We discuss redispatch </w:t>
      </w:r>
      <w:r>
        <w:t xml:space="preserve">issues more broadly in section </w:t>
      </w:r>
      <w:r>
        <w:fldChar w:fldCharType="begin"/>
      </w:r>
      <w:r>
        <w:instrText xml:space="preserve"> REF _Ref158024736 \w \h </w:instrText>
      </w:r>
      <w:r>
        <w:fldChar w:fldCharType="separate"/>
      </w:r>
      <w:r>
        <w:t>V.D.1</w:t>
      </w:r>
      <w:r>
        <w:fldChar w:fldCharType="end"/>
      </w:r>
      <w:r>
        <w:t xml:space="preserve"> of this Final Rule</w:t>
      </w:r>
      <w:r w:rsidRPr="000B7AAD">
        <w:t xml:space="preserve">. </w:t>
      </w:r>
    </w:p>
    <w:p w:rsidR="00A6386B" w:rsidRDefault="00A6386B"/>
    <w:sectPr w:rsidR="00A6386B">
      <w:headerReference w:type="default" r:id="rId10"/>
      <w:footerReference w:type="default" r:id="rId11"/>
      <w:footnotePr>
        <w:numStart w:val="922"/>
      </w:foot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Pritchard, Alan C" w:date="2018-01-29T14:21:00Z" w:initials="ACP">
    <w:p w:rsidR="00F435CE" w:rsidRDefault="00F435CE" w:rsidP="00F6048D">
      <w:pPr>
        <w:ind w:left="720" w:firstLine="720"/>
        <w:jc w:val="center"/>
      </w:pPr>
      <w:r>
        <w:rPr>
          <w:rStyle w:val="CommentReference"/>
        </w:rPr>
        <w:annotationRef/>
      </w:r>
      <w:r>
        <w:t>FERC Docket Nos. RM05-25-000, RM05-17-000</w:t>
      </w:r>
    </w:p>
  </w:comment>
  <w:comment w:id="3" w:author="Pritchard, Alan C" w:date="2018-02-02T13:55:00Z" w:initials="ACP">
    <w:p w:rsidR="00F435CE" w:rsidRPr="00BA446F" w:rsidRDefault="00F435CE" w:rsidP="00DE079C">
      <w:pPr>
        <w:pStyle w:val="Default"/>
      </w:pPr>
      <w:r>
        <w:rPr>
          <w:rStyle w:val="CommentReference"/>
        </w:rPr>
        <w:annotationRef/>
      </w:r>
      <w:r>
        <w:rPr>
          <w:b/>
          <w:bCs/>
          <w:sz w:val="23"/>
          <w:szCs w:val="23"/>
        </w:rPr>
        <w:t xml:space="preserve">COMMENTS OF THE AMERICAN PUBLIC POWER ASSOCIATION -- </w:t>
      </w:r>
    </w:p>
    <w:p w:rsidR="00F435CE" w:rsidRDefault="00F435CE" w:rsidP="00DE079C">
      <w:r w:rsidRPr="00BA446F">
        <w:rPr>
          <w:rFonts w:ascii="Times New Roman" w:hAnsi="Times New Roman" w:cs="Times New Roman"/>
          <w:sz w:val="24"/>
          <w:szCs w:val="24"/>
        </w:rPr>
        <w:t xml:space="preserve"> </w:t>
      </w:r>
      <w:r w:rsidRPr="00BA446F">
        <w:rPr>
          <w:rFonts w:ascii="Times New Roman" w:hAnsi="Times New Roman" w:cs="Times New Roman"/>
          <w:color w:val="000000"/>
          <w:sz w:val="23"/>
          <w:szCs w:val="23"/>
        </w:rPr>
        <w:t>August 7, 2006</w:t>
      </w:r>
    </w:p>
    <w:p w:rsidR="00F435CE" w:rsidRDefault="00F435CE" w:rsidP="00DE079C"/>
    <w:p w:rsidR="00F435CE" w:rsidRDefault="00F435CE" w:rsidP="00DE079C">
      <w:pPr>
        <w:pStyle w:val="Heading3"/>
        <w:spacing w:before="60" w:after="138"/>
        <w:rPr>
          <w:color w:val="000000"/>
          <w:sz w:val="23"/>
          <w:szCs w:val="23"/>
        </w:rPr>
      </w:pPr>
      <w:r>
        <w:rPr>
          <w:i/>
          <w:iCs/>
          <w:color w:val="000000"/>
          <w:sz w:val="23"/>
          <w:szCs w:val="23"/>
        </w:rPr>
        <w:t xml:space="preserve">Transmission Curtailments </w:t>
      </w:r>
    </w:p>
    <w:p w:rsidR="00F435CE" w:rsidRDefault="00F435CE" w:rsidP="00DE079C">
      <w:pPr>
        <w:pStyle w:val="FERCParagraphs"/>
        <w:spacing w:after="240"/>
        <w:ind w:left="720" w:hanging="720"/>
        <w:rPr>
          <w:sz w:val="23"/>
          <w:szCs w:val="23"/>
        </w:rPr>
      </w:pPr>
      <w:r>
        <w:rPr>
          <w:color w:val="000000"/>
          <w:sz w:val="23"/>
          <w:szCs w:val="23"/>
        </w:rPr>
        <w:t>P 442 Those commenting that they have inadequate information about curtailments do not clearly state whether the source of this deficiency lies in: (1) the inadequacy of our standards, (2) inadequate compliance with these standards, (3) difficulties in dealing with the way the information is provided, or (4) some other area. We are, however, mindful that objective review of curtailments can require a c</w:t>
      </w:r>
      <w:r>
        <w:rPr>
          <w:sz w:val="23"/>
          <w:szCs w:val="23"/>
        </w:rPr>
        <w:t xml:space="preserve">onsiderable amount of information, some of which may not be provided under the present OASIS regulations, or may be provided in an inefficient manner. For example, we recognize that it is difficult for a customer to determine what network resources were available to the transmission provider that could have been </w:t>
      </w:r>
      <w:proofErr w:type="spellStart"/>
      <w:r>
        <w:rPr>
          <w:sz w:val="23"/>
          <w:szCs w:val="23"/>
        </w:rPr>
        <w:t>redispatched</w:t>
      </w:r>
      <w:proofErr w:type="spellEnd"/>
      <w:r>
        <w:rPr>
          <w:sz w:val="23"/>
          <w:szCs w:val="23"/>
        </w:rPr>
        <w:t xml:space="preserve"> consistent with </w:t>
      </w:r>
      <w:r>
        <w:rPr>
          <w:i/>
          <w:iCs/>
          <w:sz w:val="23"/>
          <w:szCs w:val="23"/>
        </w:rPr>
        <w:t xml:space="preserve">pro forma </w:t>
      </w:r>
      <w:r>
        <w:rPr>
          <w:sz w:val="23"/>
          <w:szCs w:val="23"/>
        </w:rPr>
        <w:t xml:space="preserve">OATT sections 30.5 and 33.2 to relieve the transmission constraint that led to a transmission curtailment. Another example may be discerning which discrete transaction(s) could be curtailed on a non-discriminatory basis to effectively relieve the constraint consistent with </w:t>
      </w:r>
      <w:r>
        <w:rPr>
          <w:i/>
          <w:iCs/>
          <w:sz w:val="23"/>
          <w:szCs w:val="23"/>
        </w:rPr>
        <w:t xml:space="preserve">pro forma </w:t>
      </w:r>
      <w:r>
        <w:rPr>
          <w:sz w:val="23"/>
          <w:szCs w:val="23"/>
        </w:rPr>
        <w:t xml:space="preserve">OATT section 13.6. We seek comment on whether additional requirements would improve the transparency of transmission curtailment information and the ability of customers to make use of that information. </w:t>
      </w:r>
    </w:p>
    <w:p w:rsidR="00F435CE" w:rsidRDefault="00F435CE" w:rsidP="00DE079C">
      <w:pPr>
        <w:pStyle w:val="FERCParagraphs"/>
        <w:spacing w:after="240"/>
        <w:ind w:left="720" w:hanging="720"/>
        <w:rPr>
          <w:sz w:val="23"/>
          <w:szCs w:val="23"/>
        </w:rPr>
      </w:pPr>
      <w:r>
        <w:rPr>
          <w:sz w:val="23"/>
          <w:szCs w:val="23"/>
        </w:rPr>
        <w:t xml:space="preserve">P 443 With respect to the imposition of penalties, the Commission recognizes that the transmission curtailment decision is a reliability decision that should be based on applicable reliability standards. Moreover, we note that the need for transmission curtailment depends on many factors outside the control of an individual transmission provider, including loop flows throughout an interconnection. Accordingly, we will not propose generic penalties for improper transmission curtailments in this rulemaking. However, the absence of generic penalties should not be construed to mean that we will tolerate intentional behavior that subjects customers to unduly discriminatory or preferential actions. We remain vigilant in monitoring for intentionally discriminatory provision of transmission service, and stand ready to use our enforcement powers and penalty authority when needed. </w:t>
      </w:r>
    </w:p>
    <w:p w:rsidR="00F435CE" w:rsidRDefault="00F435CE" w:rsidP="00DE079C">
      <w:pPr>
        <w:pStyle w:val="NormalFiling"/>
        <w:ind w:firstLine="720"/>
        <w:rPr>
          <w:sz w:val="23"/>
          <w:szCs w:val="23"/>
        </w:rPr>
      </w:pPr>
      <w:r>
        <w:rPr>
          <w:sz w:val="23"/>
          <w:szCs w:val="23"/>
        </w:rPr>
        <w:t xml:space="preserve">As noted in P 437, APPA’s members have to date expressed more concerns about denials of requested service than curtailments of already commenced service. APPA is, however, concerned that this situation may change in the future if the firm PTP and network services upon which APPA members primarily rely are curtailed </w:t>
      </w:r>
      <w:r>
        <w:rPr>
          <w:i/>
          <w:iCs/>
          <w:sz w:val="23"/>
          <w:szCs w:val="23"/>
        </w:rPr>
        <w:t xml:space="preserve">pro rata </w:t>
      </w:r>
      <w:r>
        <w:rPr>
          <w:sz w:val="23"/>
          <w:szCs w:val="23"/>
        </w:rPr>
        <w:t xml:space="preserve">with other services, </w:t>
      </w:r>
      <w:r>
        <w:rPr>
          <w:i/>
          <w:iCs/>
          <w:sz w:val="23"/>
          <w:szCs w:val="23"/>
        </w:rPr>
        <w:t xml:space="preserve">e.g., </w:t>
      </w:r>
      <w:r>
        <w:rPr>
          <w:sz w:val="23"/>
          <w:szCs w:val="23"/>
        </w:rPr>
        <w:t xml:space="preserve">conditional firm service. </w:t>
      </w:r>
      <w:r w:rsidRPr="00D951EA">
        <w:rPr>
          <w:sz w:val="23"/>
          <w:szCs w:val="23"/>
          <w:highlight w:val="green"/>
        </w:rPr>
        <w:t>APPA therefore suggests that the Commission require TPs to produce additional information regarding firm transmission service curtailments, including all circumstances and events contributing to the need for such firm service curtailments, specific services and customers curtailed (including the TP’s own retail loads), and the duration of all such curtailments.</w:t>
      </w:r>
      <w:r>
        <w:rPr>
          <w:sz w:val="23"/>
          <w:szCs w:val="23"/>
        </w:rPr>
        <w:t xml:space="preserve"> </w:t>
      </w:r>
    </w:p>
    <w:p w:rsidR="00F435CE" w:rsidRPr="00BA446F" w:rsidRDefault="00F435CE" w:rsidP="00DE079C">
      <w:pPr>
        <w:pStyle w:val="NormalFiling"/>
        <w:ind w:firstLine="720"/>
        <w:rPr>
          <w:sz w:val="23"/>
          <w:szCs w:val="23"/>
        </w:rPr>
      </w:pPr>
      <w:r>
        <w:rPr>
          <w:sz w:val="23"/>
          <w:szCs w:val="23"/>
        </w:rPr>
        <w:t>APPA agrees that the Commission should deal with the issue of possible penalties associated with improper transmission curtailments on a case-by-case basis.</w:t>
      </w:r>
    </w:p>
    <w:p w:rsidR="00F435CE" w:rsidRDefault="00F435CE">
      <w:pPr>
        <w:pStyle w:val="CommentText"/>
      </w:pPr>
    </w:p>
  </w:comment>
  <w:comment w:id="4" w:author="Pritchard, Alan C" w:date="2018-02-02T13:55:00Z" w:initials="ACP">
    <w:p w:rsidR="00F435CE" w:rsidRDefault="00F435CE" w:rsidP="00DE079C">
      <w:pPr>
        <w:autoSpaceDE w:val="0"/>
        <w:autoSpaceDN w:val="0"/>
        <w:adjustRightInd w:val="0"/>
        <w:spacing w:after="0" w:line="240" w:lineRule="auto"/>
        <w:rPr>
          <w:rFonts w:ascii="Times New Roman" w:hAnsi="Times New Roman" w:cs="Times New Roman"/>
          <w:b/>
          <w:bCs/>
          <w:sz w:val="24"/>
          <w:szCs w:val="24"/>
        </w:rPr>
      </w:pPr>
      <w:r>
        <w:rPr>
          <w:rStyle w:val="CommentReference"/>
        </w:rPr>
        <w:annotationRef/>
      </w:r>
      <w:r>
        <w:rPr>
          <w:rFonts w:ascii="Times New Roman" w:hAnsi="Times New Roman" w:cs="Times New Roman"/>
          <w:b/>
          <w:bCs/>
          <w:sz w:val="24"/>
          <w:szCs w:val="24"/>
        </w:rPr>
        <w:t>INITIAL COMMENTS OF THE TRANSMISSION</w:t>
      </w:r>
    </w:p>
    <w:p w:rsidR="00F435CE" w:rsidRDefault="00F435CE" w:rsidP="00DE079C">
      <w:r>
        <w:rPr>
          <w:rFonts w:ascii="Times New Roman" w:hAnsi="Times New Roman" w:cs="Times New Roman"/>
          <w:b/>
          <w:bCs/>
          <w:sz w:val="24"/>
          <w:szCs w:val="24"/>
        </w:rPr>
        <w:t xml:space="preserve">ACCESS POLICY STUDY GROUP -- </w:t>
      </w:r>
      <w:r>
        <w:rPr>
          <w:rFonts w:ascii="Times New Roman" w:hAnsi="Times New Roman" w:cs="Times New Roman"/>
          <w:sz w:val="24"/>
          <w:szCs w:val="24"/>
        </w:rPr>
        <w:t>August 7, 2006</w:t>
      </w:r>
    </w:p>
    <w:p w:rsidR="00F435CE" w:rsidRDefault="00F435CE" w:rsidP="00DE07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Transmission Curtailments</w:t>
      </w:r>
    </w:p>
    <w:p w:rsidR="00F435CE" w:rsidRDefault="00F435CE" w:rsidP="00DE079C">
      <w:pPr>
        <w:autoSpaceDE w:val="0"/>
        <w:autoSpaceDN w:val="0"/>
        <w:adjustRightInd w:val="0"/>
        <w:spacing w:after="0" w:line="240" w:lineRule="auto"/>
        <w:rPr>
          <w:rFonts w:ascii="Times New Roman" w:hAnsi="Times New Roman" w:cs="Times New Roman"/>
          <w:sz w:val="24"/>
          <w:szCs w:val="24"/>
        </w:rPr>
      </w:pPr>
    </w:p>
    <w:p w:rsidR="00F435CE" w:rsidRDefault="00F435CE" w:rsidP="00DE07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NOPR (P 441-42) reiterates existing OASIS requirements to post notices of curtailments and the reasons for such curtailments, and to maintain and provide on request information to support such curtailment. The NOPR asks whether concerns expressed about the sufficiency of curtailment information stem from inadequate standards, inadequate compliance, difficulty dealing with the information in the form provided, or some other source. TAPS’ answer is “all of the above.” NERC’s TLR rules (Standard IRO-0006-1) are complex, and leave room for discretion and  discrimination, especially as between treatment of tagged interchange transactions and a TP’s use of generation within (or pseudo-tied into) its control area to serve native load customers.</w:t>
      </w:r>
    </w:p>
    <w:p w:rsidR="00F435CE" w:rsidRDefault="00F435CE" w:rsidP="00DE079C">
      <w:pPr>
        <w:autoSpaceDE w:val="0"/>
        <w:autoSpaceDN w:val="0"/>
        <w:adjustRightInd w:val="0"/>
        <w:spacing w:after="0" w:line="240" w:lineRule="auto"/>
        <w:rPr>
          <w:rFonts w:ascii="Times New Roman" w:hAnsi="Times New Roman" w:cs="Times New Roman"/>
          <w:sz w:val="24"/>
          <w:szCs w:val="24"/>
        </w:rPr>
      </w:pPr>
    </w:p>
    <w:p w:rsidR="00F435CE" w:rsidRDefault="00F435CE" w:rsidP="00DE07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 least one TAPS member has experienced curtailment of transmission for its portion of a shared generator, because its small tagged interchange transaction was determined to exceed the 5% threshold on the IDC calculator, while the unit continued to generate at full tilt and the TP’s deliveries to its own load were not curtailed. Further, the lack of a tagging requirement for within-the-control-area generation-to-load transactions leads to discriminatory treatment of a TDU and the TP in the event both are curtailed, resulting in the TDU being subjected to imbalance charges, while the TP is free to alter its internal generation schedule.</w:t>
      </w:r>
      <w:r w:rsidRPr="007E5044">
        <w:rPr>
          <w:rFonts w:ascii="Times New Roman" w:hAnsi="Times New Roman" w:cs="Times New Roman"/>
          <w:b/>
          <w:sz w:val="20"/>
          <w:szCs w:val="16"/>
          <w:vertAlign w:val="superscript"/>
        </w:rPr>
        <w:t>162</w:t>
      </w:r>
      <w:r>
        <w:rPr>
          <w:rFonts w:ascii="Times New Roman" w:hAnsi="Times New Roman" w:cs="Times New Roman"/>
          <w:sz w:val="16"/>
          <w:szCs w:val="16"/>
        </w:rPr>
        <w:t xml:space="preserve"> </w:t>
      </w:r>
      <w:r>
        <w:rPr>
          <w:rFonts w:ascii="Times New Roman" w:hAnsi="Times New Roman" w:cs="Times New Roman"/>
          <w:sz w:val="24"/>
          <w:szCs w:val="24"/>
        </w:rPr>
        <w:t>Thus, it would be appropriate to reexamine TLR procedures to eliminate continuing sources of discrimination and make it easier to identify abuse.</w:t>
      </w:r>
    </w:p>
    <w:p w:rsidR="00F435CE" w:rsidRDefault="00F435CE" w:rsidP="00DE079C">
      <w:pPr>
        <w:autoSpaceDE w:val="0"/>
        <w:autoSpaceDN w:val="0"/>
        <w:adjustRightInd w:val="0"/>
        <w:spacing w:after="0" w:line="240" w:lineRule="auto"/>
        <w:rPr>
          <w:rFonts w:ascii="Times New Roman" w:hAnsi="Times New Roman" w:cs="Times New Roman"/>
          <w:sz w:val="24"/>
          <w:szCs w:val="24"/>
        </w:rPr>
      </w:pPr>
    </w:p>
    <w:p w:rsidR="00F435CE" w:rsidRDefault="00F435CE" w:rsidP="00DE079C">
      <w:pPr>
        <w:autoSpaceDE w:val="0"/>
        <w:autoSpaceDN w:val="0"/>
        <w:adjustRightInd w:val="0"/>
        <w:spacing w:after="0" w:line="240" w:lineRule="auto"/>
        <w:rPr>
          <w:rFonts w:ascii="Times New Roman" w:hAnsi="Times New Roman" w:cs="Times New Roman"/>
          <w:sz w:val="24"/>
          <w:szCs w:val="24"/>
        </w:rPr>
      </w:pPr>
      <w:r w:rsidRPr="00D951EA">
        <w:rPr>
          <w:rFonts w:ascii="Times New Roman" w:hAnsi="Times New Roman" w:cs="Times New Roman"/>
          <w:sz w:val="24"/>
          <w:szCs w:val="24"/>
          <w:highlight w:val="green"/>
        </w:rPr>
        <w:t>As to the NOPR’s question (P 442) regarding the need for additional information, TAPS urges the Commission to move toward maximum transparency, particularly where a decision of great competitive consequence—TLRs—remains in the hands of a customer’s competitor. Because examination of actions taken under NERC’s TLR standards requires a wide range of information as to what actions were taken and not taken with respect to the many tagged transactions and untagged dispatch actions then occurring, the Commission should make clear that the information to be maintained and provided upon request must sweep very broadly. It is only by looking at the complete picture that a customer can evaluate whether it has been treated fairly as compared with other users of the system (including the TP), and in accordance with NERC’s TLR standard.</w:t>
      </w:r>
    </w:p>
    <w:p w:rsidR="00F435CE" w:rsidRDefault="00F435CE" w:rsidP="00DE079C">
      <w:pPr>
        <w:autoSpaceDE w:val="0"/>
        <w:autoSpaceDN w:val="0"/>
        <w:adjustRightInd w:val="0"/>
        <w:spacing w:after="0" w:line="240" w:lineRule="auto"/>
        <w:rPr>
          <w:rFonts w:ascii="Times New Roman" w:hAnsi="Times New Roman" w:cs="Times New Roman"/>
          <w:sz w:val="24"/>
          <w:szCs w:val="24"/>
        </w:rPr>
      </w:pPr>
    </w:p>
    <w:p w:rsidR="00F435CE" w:rsidRDefault="00F435CE" w:rsidP="00DE07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Finally, recognizing that implementation of TLRs should be a reliability decision, the NOPR (at 443) does not propose generic penalties for improper TLRs, although emphasizing that it will “remain vigilant in monitoring for intentionally discriminatory provision of transmission service, and stand ready to use our enforcement powers and penalty authority when needed.” By the same token, the Commission needs to make sure that TPs do not profit from calling TLRs. Specifically, as discussed in Part V.C.1.a,</w:t>
      </w:r>
    </w:p>
    <w:p w:rsidR="00F435CE" w:rsidRDefault="00F435CE" w:rsidP="00F435C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imbalances resulting from TLRs should be treated as within the first </w:t>
      </w:r>
      <w:proofErr w:type="spellStart"/>
      <w:r>
        <w:rPr>
          <w:rFonts w:ascii="Times New Roman" w:hAnsi="Times New Roman" w:cs="Times New Roman"/>
          <w:sz w:val="24"/>
          <w:szCs w:val="24"/>
        </w:rPr>
        <w:t>deadband</w:t>
      </w:r>
      <w:proofErr w:type="spellEnd"/>
      <w:r>
        <w:rPr>
          <w:rFonts w:ascii="Times New Roman" w:hAnsi="Times New Roman" w:cs="Times New Roman"/>
          <w:sz w:val="24"/>
          <w:szCs w:val="24"/>
        </w:rPr>
        <w:t xml:space="preserve"> in all cases.</w:t>
      </w:r>
    </w:p>
    <w:p w:rsidR="00F435CE" w:rsidRDefault="00F435CE">
      <w:pPr>
        <w:pStyle w:val="CommentText"/>
      </w:pPr>
    </w:p>
  </w:comment>
  <w:comment w:id="5" w:author="Pritchard, Alan C" w:date="2018-02-02T13:55:00Z" w:initials="ACP">
    <w:p w:rsidR="00F435CE" w:rsidRDefault="00F435CE" w:rsidP="00DE079C">
      <w:pPr>
        <w:autoSpaceDE w:val="0"/>
        <w:autoSpaceDN w:val="0"/>
        <w:adjustRightInd w:val="0"/>
        <w:spacing w:after="0" w:line="240" w:lineRule="auto"/>
        <w:rPr>
          <w:rFonts w:ascii="TimesNewRoman,Bold" w:hAnsi="TimesNewRoman,Bold" w:cs="TimesNewRoman,Bold"/>
          <w:b/>
          <w:bCs/>
          <w:sz w:val="24"/>
          <w:szCs w:val="24"/>
        </w:rPr>
      </w:pPr>
      <w:r>
        <w:rPr>
          <w:rStyle w:val="CommentReference"/>
        </w:rPr>
        <w:annotationRef/>
      </w:r>
      <w:r>
        <w:rPr>
          <w:rFonts w:ascii="TimesNewRoman,Bold" w:hAnsi="TimesNewRoman,Bold" w:cs="TimesNewRoman,Bold"/>
          <w:b/>
          <w:bCs/>
          <w:sz w:val="24"/>
          <w:szCs w:val="24"/>
        </w:rPr>
        <w:t>COMMENTS OF THE</w:t>
      </w:r>
    </w:p>
    <w:p w:rsidR="00F435CE" w:rsidRDefault="00F435CE" w:rsidP="00DE079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TRANSMISSION DEPENDENT UTILITY SYSTEMS ON</w:t>
      </w:r>
    </w:p>
    <w:p w:rsidR="00F435CE" w:rsidRDefault="00F435CE" w:rsidP="00DE079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NOTICE OF PROPOSED RULEMAKING</w:t>
      </w:r>
    </w:p>
    <w:p w:rsidR="00F435CE" w:rsidRDefault="00F435CE" w:rsidP="00DE079C">
      <w:pPr>
        <w:rPr>
          <w:rFonts w:ascii="TimesNewRoman" w:hAnsi="TimesNewRoman" w:cs="TimesNewRoman"/>
          <w:sz w:val="24"/>
          <w:szCs w:val="24"/>
        </w:rPr>
      </w:pPr>
      <w:r>
        <w:rPr>
          <w:rFonts w:ascii="TimesNewRoman" w:hAnsi="TimesNewRoman" w:cs="TimesNewRoman"/>
          <w:sz w:val="24"/>
          <w:szCs w:val="24"/>
        </w:rPr>
        <w:t>August 7, 2006</w:t>
      </w:r>
    </w:p>
    <w:p w:rsidR="00F435CE" w:rsidRDefault="00F435CE" w:rsidP="00DE079C">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7. Transmission Curtailments</w:t>
      </w:r>
    </w:p>
    <w:p w:rsidR="00F435CE" w:rsidRPr="000A6715" w:rsidRDefault="00F435CE" w:rsidP="00DE079C">
      <w:pPr>
        <w:autoSpaceDE w:val="0"/>
        <w:autoSpaceDN w:val="0"/>
        <w:adjustRightInd w:val="0"/>
        <w:spacing w:after="0" w:line="240" w:lineRule="auto"/>
        <w:ind w:left="720"/>
        <w:rPr>
          <w:rFonts w:ascii="TimesNewRoman,Bold" w:hAnsi="TimesNewRoman,Bold" w:cs="TimesNewRoman,Bold"/>
          <w:b/>
          <w:bCs/>
          <w:szCs w:val="24"/>
        </w:rPr>
      </w:pPr>
      <w:r w:rsidRPr="000A6715">
        <w:rPr>
          <w:rFonts w:ascii="TimesNewRoman,Bold" w:hAnsi="TimesNewRoman,Bold" w:cs="TimesNewRoman,Bold"/>
          <w:b/>
          <w:bCs/>
          <w:szCs w:val="24"/>
        </w:rPr>
        <w:t>a. The Commission Should Require Transmission Providers To</w:t>
      </w:r>
      <w:r w:rsidR="002107AB">
        <w:rPr>
          <w:rFonts w:ascii="TimesNewRoman,Bold" w:hAnsi="TimesNewRoman,Bold" w:cs="TimesNewRoman,Bold"/>
          <w:b/>
          <w:bCs/>
          <w:szCs w:val="24"/>
        </w:rPr>
        <w:t xml:space="preserve"> </w:t>
      </w:r>
      <w:r w:rsidRPr="000A6715">
        <w:rPr>
          <w:rFonts w:ascii="TimesNewRoman,Bold" w:hAnsi="TimesNewRoman,Bold" w:cs="TimesNewRoman,Bold"/>
          <w:b/>
          <w:bCs/>
          <w:szCs w:val="24"/>
        </w:rPr>
        <w:t>Refund Transmission Charges for Curtailments in Order To</w:t>
      </w:r>
      <w:r w:rsidR="002107AB">
        <w:rPr>
          <w:rFonts w:ascii="TimesNewRoman,Bold" w:hAnsi="TimesNewRoman,Bold" w:cs="TimesNewRoman,Bold"/>
          <w:b/>
          <w:bCs/>
          <w:szCs w:val="24"/>
        </w:rPr>
        <w:t xml:space="preserve"> </w:t>
      </w:r>
      <w:r w:rsidRPr="000A6715">
        <w:rPr>
          <w:rFonts w:ascii="TimesNewRoman,Bold" w:hAnsi="TimesNewRoman,Bold" w:cs="TimesNewRoman,Bold"/>
          <w:b/>
          <w:bCs/>
          <w:szCs w:val="24"/>
        </w:rPr>
        <w:t>Encourage Fewer Curtailment Events.</w:t>
      </w:r>
    </w:p>
    <w:p w:rsidR="00F435CE" w:rsidRDefault="00F435CE" w:rsidP="00DE079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Commission seeks comment on whether additional requirements would improve the</w:t>
      </w:r>
      <w:r w:rsidR="002107AB">
        <w:rPr>
          <w:rFonts w:ascii="TimesNewRoman" w:hAnsi="TimesNewRoman" w:cs="TimesNewRoman"/>
          <w:sz w:val="24"/>
          <w:szCs w:val="24"/>
        </w:rPr>
        <w:t xml:space="preserve"> </w:t>
      </w:r>
      <w:r>
        <w:rPr>
          <w:rFonts w:ascii="TimesNewRoman" w:hAnsi="TimesNewRoman" w:cs="TimesNewRoman"/>
          <w:sz w:val="24"/>
          <w:szCs w:val="24"/>
        </w:rPr>
        <w:t>transparency of transmission curtailment information and the ability of customers to make use of</w:t>
      </w:r>
      <w:r w:rsidR="002107AB">
        <w:rPr>
          <w:rFonts w:ascii="TimesNewRoman" w:hAnsi="TimesNewRoman" w:cs="TimesNewRoman"/>
          <w:sz w:val="24"/>
          <w:szCs w:val="24"/>
        </w:rPr>
        <w:t xml:space="preserve"> </w:t>
      </w:r>
      <w:r>
        <w:rPr>
          <w:rFonts w:ascii="TimesNewRoman" w:hAnsi="TimesNewRoman" w:cs="TimesNewRoman"/>
          <w:sz w:val="24"/>
          <w:szCs w:val="24"/>
        </w:rPr>
        <w:t>that information. P 443. TDU Systems favor transparency but urge the Commission to consider</w:t>
      </w:r>
      <w:r w:rsidR="002107AB">
        <w:rPr>
          <w:rFonts w:ascii="TimesNewRoman" w:hAnsi="TimesNewRoman" w:cs="TimesNewRoman"/>
          <w:sz w:val="24"/>
          <w:szCs w:val="24"/>
        </w:rPr>
        <w:t xml:space="preserve"> </w:t>
      </w:r>
      <w:r>
        <w:rPr>
          <w:rFonts w:ascii="TimesNewRoman" w:hAnsi="TimesNewRoman" w:cs="TimesNewRoman"/>
          <w:sz w:val="24"/>
          <w:szCs w:val="24"/>
        </w:rPr>
        <w:t>an alternative approach that would minimize concerns with transparency and curtailment actions.</w:t>
      </w:r>
    </w:p>
    <w:p w:rsidR="00F435CE" w:rsidRDefault="00F435CE" w:rsidP="00DE079C">
      <w:pPr>
        <w:autoSpaceDE w:val="0"/>
        <w:autoSpaceDN w:val="0"/>
        <w:adjustRightInd w:val="0"/>
        <w:spacing w:after="0" w:line="240" w:lineRule="auto"/>
        <w:rPr>
          <w:rFonts w:ascii="TimesNewRoman" w:hAnsi="TimesNewRoman" w:cs="TimesNewRoman"/>
          <w:sz w:val="24"/>
          <w:szCs w:val="24"/>
        </w:rPr>
      </w:pPr>
    </w:p>
    <w:p w:rsidR="00F435CE" w:rsidRDefault="00F435CE" w:rsidP="00DE079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As discussed in their NOI Comments (at 63-65), TDU Systems recommend that the</w:t>
      </w:r>
      <w:r w:rsidR="002107AB">
        <w:rPr>
          <w:rFonts w:ascii="TimesNewRoman" w:hAnsi="TimesNewRoman" w:cs="TimesNewRoman"/>
          <w:sz w:val="24"/>
          <w:szCs w:val="24"/>
        </w:rPr>
        <w:t xml:space="preserve"> </w:t>
      </w:r>
      <w:r>
        <w:rPr>
          <w:rFonts w:ascii="TimesNewRoman" w:hAnsi="TimesNewRoman" w:cs="TimesNewRoman"/>
          <w:sz w:val="24"/>
          <w:szCs w:val="24"/>
        </w:rPr>
        <w:t>Commission require transmission providers to refund transmission charges to curtailed</w:t>
      </w:r>
      <w:r w:rsidR="002107AB">
        <w:rPr>
          <w:rFonts w:ascii="TimesNewRoman" w:hAnsi="TimesNewRoman" w:cs="TimesNewRoman"/>
          <w:sz w:val="24"/>
          <w:szCs w:val="24"/>
        </w:rPr>
        <w:t xml:space="preserve"> </w:t>
      </w:r>
      <w:r>
        <w:rPr>
          <w:rFonts w:ascii="TimesNewRoman" w:hAnsi="TimesNewRoman" w:cs="TimesNewRoman"/>
          <w:sz w:val="24"/>
          <w:szCs w:val="24"/>
        </w:rPr>
        <w:t>customers in order to encourage fewer curtailments. At present, transmission providers receive a</w:t>
      </w:r>
      <w:r w:rsidR="002107AB">
        <w:rPr>
          <w:rFonts w:ascii="TimesNewRoman" w:hAnsi="TimesNewRoman" w:cs="TimesNewRoman"/>
          <w:sz w:val="24"/>
          <w:szCs w:val="24"/>
        </w:rPr>
        <w:t xml:space="preserve"> </w:t>
      </w:r>
      <w:r>
        <w:rPr>
          <w:rFonts w:ascii="TimesNewRoman" w:hAnsi="TimesNewRoman" w:cs="TimesNewRoman"/>
          <w:sz w:val="24"/>
          <w:szCs w:val="24"/>
        </w:rPr>
        <w:t>reward for overselling the system, since transmission providers receive payment of transmission</w:t>
      </w:r>
      <w:r w:rsidR="002107AB">
        <w:rPr>
          <w:rFonts w:ascii="TimesNewRoman" w:hAnsi="TimesNewRoman" w:cs="TimesNewRoman"/>
          <w:sz w:val="24"/>
          <w:szCs w:val="24"/>
        </w:rPr>
        <w:t xml:space="preserve"> </w:t>
      </w:r>
      <w:r>
        <w:rPr>
          <w:rFonts w:ascii="TimesNewRoman" w:hAnsi="TimesNewRoman" w:cs="TimesNewRoman"/>
          <w:sz w:val="24"/>
          <w:szCs w:val="24"/>
        </w:rPr>
        <w:t>charges from their customers regardless of whether service is provided and by collecting for the</w:t>
      </w:r>
      <w:r w:rsidR="002107AB">
        <w:rPr>
          <w:rFonts w:ascii="TimesNewRoman" w:hAnsi="TimesNewRoman" w:cs="TimesNewRoman"/>
          <w:sz w:val="24"/>
          <w:szCs w:val="24"/>
        </w:rPr>
        <w:t xml:space="preserve"> </w:t>
      </w:r>
      <w:r>
        <w:rPr>
          <w:rFonts w:ascii="TimesNewRoman" w:hAnsi="TimesNewRoman" w:cs="TimesNewRoman"/>
          <w:sz w:val="24"/>
          <w:szCs w:val="24"/>
        </w:rPr>
        <w:t xml:space="preserve">same capacity a second time when it is oversold. Thus, under the existing rules in the </w:t>
      </w:r>
      <w:r>
        <w:rPr>
          <w:rFonts w:ascii="TimesNewRoman,Italic" w:hAnsi="TimesNewRoman,Italic" w:cs="TimesNewRoman,Italic"/>
          <w:i/>
          <w:iCs/>
          <w:sz w:val="24"/>
          <w:szCs w:val="24"/>
        </w:rPr>
        <w:t>pro forma</w:t>
      </w:r>
      <w:r w:rsidR="002107AB">
        <w:rPr>
          <w:rFonts w:ascii="TimesNewRoman,Italic" w:hAnsi="TimesNewRoman,Italic" w:cs="TimesNewRoman,Italic"/>
          <w:i/>
          <w:iCs/>
          <w:sz w:val="24"/>
          <w:szCs w:val="24"/>
        </w:rPr>
        <w:t xml:space="preserve"> </w:t>
      </w:r>
      <w:r>
        <w:rPr>
          <w:rFonts w:ascii="TimesNewRoman" w:hAnsi="TimesNewRoman" w:cs="TimesNewRoman"/>
          <w:sz w:val="24"/>
          <w:szCs w:val="24"/>
        </w:rPr>
        <w:t>OATT, the transmission provider receives no pressure from other transmission providers along</w:t>
      </w:r>
      <w:r w:rsidR="002107AB">
        <w:rPr>
          <w:rFonts w:ascii="TimesNewRoman" w:hAnsi="TimesNewRoman" w:cs="TimesNewRoman"/>
          <w:sz w:val="24"/>
          <w:szCs w:val="24"/>
        </w:rPr>
        <w:t xml:space="preserve"> </w:t>
      </w:r>
      <w:r>
        <w:rPr>
          <w:rFonts w:ascii="TimesNewRoman" w:hAnsi="TimesNewRoman" w:cs="TimesNewRoman"/>
          <w:sz w:val="24"/>
          <w:szCs w:val="24"/>
        </w:rPr>
        <w:t>the chain of connected transactions because none of these transmission providers incurs financial</w:t>
      </w:r>
      <w:r w:rsidR="002107AB">
        <w:rPr>
          <w:rFonts w:ascii="TimesNewRoman" w:hAnsi="TimesNewRoman" w:cs="TimesNewRoman"/>
          <w:sz w:val="24"/>
          <w:szCs w:val="24"/>
        </w:rPr>
        <w:t xml:space="preserve"> </w:t>
      </w:r>
      <w:r>
        <w:rPr>
          <w:rFonts w:ascii="TimesNewRoman" w:hAnsi="TimesNewRoman" w:cs="TimesNewRoman"/>
          <w:sz w:val="24"/>
          <w:szCs w:val="24"/>
        </w:rPr>
        <w:t>harm if one of the systems is oversold. As a result, transmission providers have taken no</w:t>
      </w:r>
      <w:r w:rsidR="002107AB">
        <w:rPr>
          <w:rFonts w:ascii="TimesNewRoman" w:hAnsi="TimesNewRoman" w:cs="TimesNewRoman"/>
          <w:sz w:val="24"/>
          <w:szCs w:val="24"/>
        </w:rPr>
        <w:t xml:space="preserve"> </w:t>
      </w:r>
      <w:r>
        <w:rPr>
          <w:rFonts w:ascii="TimesNewRoman" w:hAnsi="TimesNewRoman" w:cs="TimesNewRoman"/>
          <w:sz w:val="24"/>
          <w:szCs w:val="24"/>
        </w:rPr>
        <w:t>constructive action to better coordinate curtailment events.</w:t>
      </w:r>
    </w:p>
    <w:p w:rsidR="00F435CE" w:rsidRDefault="00F435CE" w:rsidP="00DE079C">
      <w:pPr>
        <w:autoSpaceDE w:val="0"/>
        <w:autoSpaceDN w:val="0"/>
        <w:adjustRightInd w:val="0"/>
        <w:spacing w:after="0" w:line="240" w:lineRule="auto"/>
        <w:rPr>
          <w:rFonts w:ascii="TimesNewRoman" w:hAnsi="TimesNewRoman" w:cs="TimesNewRoman"/>
          <w:sz w:val="24"/>
          <w:szCs w:val="24"/>
        </w:rPr>
      </w:pPr>
    </w:p>
    <w:p w:rsidR="00F435CE" w:rsidRDefault="00F435CE" w:rsidP="00DE079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Requiring a refund of transmission charges in the event of curtailments would discourage</w:t>
      </w:r>
      <w:r w:rsidR="002107AB">
        <w:rPr>
          <w:rFonts w:ascii="TimesNewRoman" w:hAnsi="TimesNewRoman" w:cs="TimesNewRoman"/>
          <w:sz w:val="24"/>
          <w:szCs w:val="24"/>
        </w:rPr>
        <w:t xml:space="preserve"> </w:t>
      </w:r>
      <w:r>
        <w:rPr>
          <w:rFonts w:ascii="TimesNewRoman" w:hAnsi="TimesNewRoman" w:cs="TimesNewRoman"/>
          <w:sz w:val="24"/>
          <w:szCs w:val="24"/>
        </w:rPr>
        <w:t>such activity by eliminating the financial incentive to engage in improper curtailments. Where</w:t>
      </w:r>
      <w:r w:rsidR="002107AB">
        <w:rPr>
          <w:rFonts w:ascii="TimesNewRoman" w:hAnsi="TimesNewRoman" w:cs="TimesNewRoman"/>
          <w:sz w:val="24"/>
          <w:szCs w:val="24"/>
        </w:rPr>
        <w:t xml:space="preserve"> </w:t>
      </w:r>
      <w:r>
        <w:rPr>
          <w:rFonts w:ascii="TimesNewRoman" w:hAnsi="TimesNewRoman" w:cs="TimesNewRoman"/>
          <w:sz w:val="24"/>
          <w:szCs w:val="24"/>
        </w:rPr>
        <w:t>the transmission provider is able to receive more than full payment for all the capacity on the</w:t>
      </w:r>
      <w:r w:rsidR="002107AB">
        <w:rPr>
          <w:rFonts w:ascii="TimesNewRoman" w:hAnsi="TimesNewRoman" w:cs="TimesNewRoman"/>
          <w:sz w:val="24"/>
          <w:szCs w:val="24"/>
        </w:rPr>
        <w:t xml:space="preserve"> </w:t>
      </w:r>
      <w:r>
        <w:rPr>
          <w:rFonts w:ascii="TimesNewRoman" w:hAnsi="TimesNewRoman" w:cs="TimesNewRoman"/>
          <w:sz w:val="24"/>
          <w:szCs w:val="24"/>
        </w:rPr>
        <w:t>system, the transmission provider has every incentive to continue to call improper curtailments,</w:t>
      </w:r>
      <w:r w:rsidR="002107AB">
        <w:rPr>
          <w:rFonts w:ascii="TimesNewRoman" w:hAnsi="TimesNewRoman" w:cs="TimesNewRoman"/>
          <w:sz w:val="24"/>
          <w:szCs w:val="24"/>
        </w:rPr>
        <w:t xml:space="preserve"> </w:t>
      </w:r>
      <w:r>
        <w:rPr>
          <w:rFonts w:ascii="TimesNewRoman" w:hAnsi="TimesNewRoman" w:cs="TimesNewRoman"/>
          <w:sz w:val="24"/>
          <w:szCs w:val="24"/>
        </w:rPr>
        <w:t>especially where doing so might allow its merchant function to profit from trades during hours</w:t>
      </w:r>
      <w:r w:rsidR="002107AB">
        <w:rPr>
          <w:rFonts w:ascii="TimesNewRoman" w:hAnsi="TimesNewRoman" w:cs="TimesNewRoman"/>
          <w:sz w:val="24"/>
          <w:szCs w:val="24"/>
        </w:rPr>
        <w:t xml:space="preserve"> </w:t>
      </w:r>
      <w:r>
        <w:rPr>
          <w:rFonts w:ascii="TimesNewRoman" w:hAnsi="TimesNewRoman" w:cs="TimesNewRoman"/>
          <w:sz w:val="24"/>
          <w:szCs w:val="24"/>
        </w:rPr>
        <w:t>when market prices for energy exceed costs. The overall profit to the vertically integrated</w:t>
      </w:r>
      <w:r w:rsidR="002107AB">
        <w:rPr>
          <w:rFonts w:ascii="TimesNewRoman" w:hAnsi="TimesNewRoman" w:cs="TimesNewRoman"/>
          <w:sz w:val="24"/>
          <w:szCs w:val="24"/>
        </w:rPr>
        <w:t xml:space="preserve"> </w:t>
      </w:r>
      <w:r>
        <w:rPr>
          <w:rFonts w:ascii="TimesNewRoman" w:hAnsi="TimesNewRoman" w:cs="TimesNewRoman"/>
          <w:sz w:val="24"/>
          <w:szCs w:val="24"/>
        </w:rPr>
        <w:t>transmission provider could well overshadow any penalty imposed for a violation. Stripping the</w:t>
      </w:r>
      <w:r w:rsidR="002107AB">
        <w:rPr>
          <w:rFonts w:ascii="TimesNewRoman" w:hAnsi="TimesNewRoman" w:cs="TimesNewRoman"/>
          <w:sz w:val="24"/>
          <w:szCs w:val="24"/>
        </w:rPr>
        <w:t xml:space="preserve"> </w:t>
      </w:r>
      <w:r>
        <w:rPr>
          <w:rFonts w:ascii="TimesNewRoman" w:hAnsi="TimesNewRoman" w:cs="TimesNewRoman"/>
          <w:sz w:val="24"/>
          <w:szCs w:val="24"/>
        </w:rPr>
        <w:t>transmission provider of its ability to recover charges for service not provided could help</w:t>
      </w:r>
      <w:r w:rsidR="002107AB">
        <w:rPr>
          <w:rFonts w:ascii="TimesNewRoman" w:hAnsi="TimesNewRoman" w:cs="TimesNewRoman"/>
          <w:sz w:val="24"/>
          <w:szCs w:val="24"/>
        </w:rPr>
        <w:t xml:space="preserve"> </w:t>
      </w:r>
      <w:r>
        <w:rPr>
          <w:rFonts w:ascii="TimesNewRoman" w:hAnsi="TimesNewRoman" w:cs="TimesNewRoman"/>
          <w:sz w:val="24"/>
          <w:szCs w:val="24"/>
        </w:rPr>
        <w:t>discourage such activity. Additionally, this remedy would allow the development of peer</w:t>
      </w:r>
      <w:r w:rsidR="002107AB">
        <w:rPr>
          <w:rFonts w:ascii="TimesNewRoman" w:hAnsi="TimesNewRoman" w:cs="TimesNewRoman"/>
          <w:sz w:val="24"/>
          <w:szCs w:val="24"/>
        </w:rPr>
        <w:t xml:space="preserve"> </w:t>
      </w:r>
      <w:r>
        <w:rPr>
          <w:rFonts w:ascii="TimesNewRoman" w:hAnsi="TimesNewRoman" w:cs="TimesNewRoman"/>
          <w:sz w:val="24"/>
          <w:szCs w:val="24"/>
        </w:rPr>
        <w:t>pressure within the</w:t>
      </w:r>
      <w:r w:rsidR="002107AB">
        <w:rPr>
          <w:rFonts w:ascii="TimesNewRoman" w:hAnsi="TimesNewRoman" w:cs="TimesNewRoman"/>
          <w:sz w:val="24"/>
          <w:szCs w:val="24"/>
        </w:rPr>
        <w:t xml:space="preserve"> </w:t>
      </w:r>
      <w:r>
        <w:rPr>
          <w:rFonts w:ascii="TimesNewRoman" w:hAnsi="TimesNewRoman" w:cs="TimesNewRoman"/>
          <w:sz w:val="24"/>
          <w:szCs w:val="24"/>
        </w:rPr>
        <w:t>transmission provider community to cease improper overselling of</w:t>
      </w:r>
      <w:r w:rsidR="002107AB">
        <w:rPr>
          <w:rFonts w:ascii="TimesNewRoman" w:hAnsi="TimesNewRoman" w:cs="TimesNewRoman"/>
          <w:sz w:val="24"/>
          <w:szCs w:val="24"/>
        </w:rPr>
        <w:t xml:space="preserve"> </w:t>
      </w:r>
      <w:r>
        <w:rPr>
          <w:rFonts w:ascii="TimesNewRoman" w:hAnsi="TimesNewRoman" w:cs="TimesNewRoman"/>
          <w:sz w:val="24"/>
          <w:szCs w:val="24"/>
        </w:rPr>
        <w:t>the</w:t>
      </w:r>
      <w:r w:rsidR="002107AB">
        <w:rPr>
          <w:rFonts w:ascii="TimesNewRoman" w:hAnsi="TimesNewRoman" w:cs="TimesNewRoman"/>
          <w:sz w:val="24"/>
          <w:szCs w:val="24"/>
        </w:rPr>
        <w:t xml:space="preserve"> </w:t>
      </w:r>
      <w:r>
        <w:rPr>
          <w:rFonts w:ascii="TimesNewRoman" w:hAnsi="TimesNewRoman" w:cs="TimesNewRoman"/>
          <w:sz w:val="24"/>
          <w:szCs w:val="24"/>
        </w:rPr>
        <w:t>system, since transmission providers that have not engaged in such improper behavior also</w:t>
      </w:r>
      <w:r w:rsidR="002107AB">
        <w:rPr>
          <w:rFonts w:ascii="TimesNewRoman" w:hAnsi="TimesNewRoman" w:cs="TimesNewRoman"/>
          <w:sz w:val="24"/>
          <w:szCs w:val="24"/>
        </w:rPr>
        <w:t xml:space="preserve"> </w:t>
      </w:r>
      <w:r>
        <w:rPr>
          <w:rFonts w:ascii="TimesNewRoman" w:hAnsi="TimesNewRoman" w:cs="TimesNewRoman"/>
          <w:sz w:val="24"/>
          <w:szCs w:val="24"/>
        </w:rPr>
        <w:t>would be required to refund charges when a neighboring system oversold transmission or when</w:t>
      </w:r>
      <w:r w:rsidR="002107AB">
        <w:rPr>
          <w:rFonts w:ascii="TimesNewRoman" w:hAnsi="TimesNewRoman" w:cs="TimesNewRoman"/>
          <w:sz w:val="24"/>
          <w:szCs w:val="24"/>
        </w:rPr>
        <w:t xml:space="preserve"> </w:t>
      </w:r>
      <w:r>
        <w:rPr>
          <w:rFonts w:ascii="TimesNewRoman" w:hAnsi="TimesNewRoman" w:cs="TimesNewRoman"/>
          <w:sz w:val="24"/>
          <w:szCs w:val="24"/>
        </w:rPr>
        <w:t>the neighboring system refused to properly coordinate ATC calculations.</w:t>
      </w:r>
    </w:p>
    <w:p w:rsidR="00F435CE" w:rsidRDefault="00F435CE" w:rsidP="00DE079C">
      <w:pPr>
        <w:autoSpaceDE w:val="0"/>
        <w:autoSpaceDN w:val="0"/>
        <w:adjustRightInd w:val="0"/>
        <w:spacing w:after="0" w:line="240" w:lineRule="auto"/>
        <w:rPr>
          <w:rFonts w:ascii="TimesNewRoman" w:hAnsi="TimesNewRoman" w:cs="TimesNewRoman"/>
          <w:sz w:val="24"/>
          <w:szCs w:val="24"/>
        </w:rPr>
      </w:pPr>
    </w:p>
    <w:p w:rsidR="00F435CE" w:rsidRDefault="00F435CE" w:rsidP="00DE079C">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The Commission could also minimize improper curtailments by sending the message that</w:t>
      </w:r>
      <w:r w:rsidR="002107AB">
        <w:rPr>
          <w:rFonts w:ascii="TimesNewRoman" w:hAnsi="TimesNewRoman" w:cs="TimesNewRoman"/>
          <w:sz w:val="24"/>
          <w:szCs w:val="24"/>
        </w:rPr>
        <w:t xml:space="preserve"> </w:t>
      </w:r>
      <w:r>
        <w:rPr>
          <w:rFonts w:ascii="TimesNewRoman" w:hAnsi="TimesNewRoman" w:cs="TimesNewRoman"/>
          <w:sz w:val="24"/>
          <w:szCs w:val="24"/>
        </w:rPr>
        <w:t>it will strictly enforce the requirements of</w:t>
      </w:r>
      <w:r w:rsidR="002107AB">
        <w:rPr>
          <w:rFonts w:ascii="TimesNewRoman" w:hAnsi="TimesNewRoman" w:cs="TimesNewRoman"/>
          <w:sz w:val="24"/>
          <w:szCs w:val="24"/>
        </w:rPr>
        <w:t xml:space="preserve"> </w:t>
      </w:r>
      <w:r>
        <w:rPr>
          <w:rFonts w:ascii="TimesNewRoman" w:hAnsi="TimesNewRoman" w:cs="TimesNewRoman"/>
          <w:sz w:val="24"/>
          <w:szCs w:val="24"/>
        </w:rPr>
        <w:t>the OATT through use of the disgorgement remedy to</w:t>
      </w:r>
      <w:r w:rsidR="002107AB">
        <w:rPr>
          <w:rFonts w:ascii="TimesNewRoman" w:hAnsi="TimesNewRoman" w:cs="TimesNewRoman"/>
          <w:sz w:val="24"/>
          <w:szCs w:val="24"/>
        </w:rPr>
        <w:t xml:space="preserve"> </w:t>
      </w:r>
      <w:r>
        <w:rPr>
          <w:rFonts w:ascii="TimesNewRoman" w:hAnsi="TimesNewRoman" w:cs="TimesNewRoman"/>
          <w:sz w:val="24"/>
          <w:szCs w:val="24"/>
        </w:rPr>
        <w:t>address improper curtailments. If the profits to the overall corporate family</w:t>
      </w:r>
      <w:r w:rsidR="002107AB">
        <w:rPr>
          <w:rFonts w:ascii="TimesNewRoman" w:hAnsi="TimesNewRoman" w:cs="TimesNewRoman"/>
          <w:sz w:val="24"/>
          <w:szCs w:val="24"/>
        </w:rPr>
        <w:t xml:space="preserve"> </w:t>
      </w:r>
      <w:r>
        <w:rPr>
          <w:rFonts w:ascii="TimesNewRoman" w:hAnsi="TimesNewRoman" w:cs="TimesNewRoman"/>
          <w:sz w:val="24"/>
          <w:szCs w:val="24"/>
        </w:rPr>
        <w:t>resulting from the</w:t>
      </w:r>
      <w:r w:rsidR="002107AB">
        <w:rPr>
          <w:rFonts w:ascii="TimesNewRoman" w:hAnsi="TimesNewRoman" w:cs="TimesNewRoman"/>
          <w:sz w:val="24"/>
          <w:szCs w:val="24"/>
        </w:rPr>
        <w:t xml:space="preserve"> </w:t>
      </w:r>
      <w:r>
        <w:rPr>
          <w:rFonts w:ascii="TimesNewRoman" w:hAnsi="TimesNewRoman" w:cs="TimesNewRoman"/>
          <w:sz w:val="24"/>
          <w:szCs w:val="24"/>
        </w:rPr>
        <w:t>improper curtailment are sufficiently significant, refund of transmission charges alone may not</w:t>
      </w:r>
      <w:r w:rsidR="002107AB">
        <w:rPr>
          <w:rFonts w:ascii="TimesNewRoman" w:hAnsi="TimesNewRoman" w:cs="TimesNewRoman"/>
          <w:sz w:val="24"/>
          <w:szCs w:val="24"/>
        </w:rPr>
        <w:t xml:space="preserve"> </w:t>
      </w:r>
      <w:r>
        <w:rPr>
          <w:rFonts w:ascii="TimesNewRoman" w:hAnsi="TimesNewRoman" w:cs="TimesNewRoman"/>
          <w:sz w:val="24"/>
          <w:szCs w:val="24"/>
        </w:rPr>
        <w:t>provide a substantial deterrent to the abusive behavior. Disgorgement of the profits</w:t>
      </w:r>
      <w:r w:rsidR="002107AB">
        <w:rPr>
          <w:rFonts w:ascii="TimesNewRoman" w:hAnsi="TimesNewRoman" w:cs="TimesNewRoman"/>
          <w:sz w:val="24"/>
          <w:szCs w:val="24"/>
        </w:rPr>
        <w:t xml:space="preserve"> </w:t>
      </w:r>
      <w:r>
        <w:rPr>
          <w:rFonts w:ascii="TimesNewRoman" w:hAnsi="TimesNewRoman" w:cs="TimesNewRoman"/>
          <w:sz w:val="24"/>
          <w:szCs w:val="24"/>
        </w:rPr>
        <w:t>earned by</w:t>
      </w:r>
      <w:r w:rsidR="002107AB">
        <w:rPr>
          <w:rFonts w:ascii="TimesNewRoman" w:hAnsi="TimesNewRoman" w:cs="TimesNewRoman"/>
          <w:sz w:val="24"/>
          <w:szCs w:val="24"/>
        </w:rPr>
        <w:t xml:space="preserve"> </w:t>
      </w:r>
      <w:r>
        <w:rPr>
          <w:rFonts w:ascii="TimesNewRoman" w:hAnsi="TimesNewRoman" w:cs="TimesNewRoman"/>
          <w:sz w:val="24"/>
          <w:szCs w:val="24"/>
        </w:rPr>
        <w:t>the affiliate as a result of the improper curtailment may provide the only effective means of</w:t>
      </w:r>
      <w:r w:rsidR="002107AB">
        <w:rPr>
          <w:rFonts w:ascii="TimesNewRoman" w:hAnsi="TimesNewRoman" w:cs="TimesNewRoman"/>
          <w:sz w:val="24"/>
          <w:szCs w:val="24"/>
        </w:rPr>
        <w:t xml:space="preserve"> </w:t>
      </w:r>
      <w:r>
        <w:rPr>
          <w:rFonts w:ascii="TimesNewRoman" w:hAnsi="TimesNewRoman" w:cs="TimesNewRoman"/>
          <w:sz w:val="24"/>
          <w:szCs w:val="24"/>
        </w:rPr>
        <w:t>discouraging such activity.</w:t>
      </w:r>
    </w:p>
    <w:p w:rsidR="00F435CE" w:rsidRDefault="00F435CE" w:rsidP="00DE079C">
      <w:pPr>
        <w:autoSpaceDE w:val="0"/>
        <w:autoSpaceDN w:val="0"/>
        <w:adjustRightInd w:val="0"/>
        <w:spacing w:after="0" w:line="240" w:lineRule="auto"/>
        <w:rPr>
          <w:rFonts w:ascii="TimesNewRoman,Bold" w:hAnsi="TimesNewRoman,Bold" w:cs="TimesNewRoman,Bold"/>
          <w:b/>
          <w:bCs/>
          <w:sz w:val="24"/>
          <w:szCs w:val="24"/>
        </w:rPr>
      </w:pPr>
    </w:p>
    <w:p w:rsidR="00F435CE" w:rsidRPr="000A6715" w:rsidRDefault="00F435CE" w:rsidP="00DE079C">
      <w:pPr>
        <w:autoSpaceDE w:val="0"/>
        <w:autoSpaceDN w:val="0"/>
        <w:adjustRightInd w:val="0"/>
        <w:spacing w:after="0" w:line="240" w:lineRule="auto"/>
        <w:ind w:left="720"/>
        <w:rPr>
          <w:rFonts w:ascii="TimesNewRoman,Bold" w:hAnsi="TimesNewRoman,Bold" w:cs="TimesNewRoman,Bold"/>
          <w:b/>
          <w:bCs/>
          <w:szCs w:val="24"/>
        </w:rPr>
      </w:pPr>
      <w:r w:rsidRPr="000A6715">
        <w:rPr>
          <w:rFonts w:ascii="TimesNewRoman,Bold" w:hAnsi="TimesNewRoman,Bold" w:cs="TimesNewRoman,Bold"/>
          <w:b/>
          <w:bCs/>
          <w:szCs w:val="24"/>
        </w:rPr>
        <w:t>b. The Commission Should Require an Investigation into Any</w:t>
      </w:r>
      <w:r w:rsidR="002107AB">
        <w:rPr>
          <w:rFonts w:ascii="TimesNewRoman,Bold" w:hAnsi="TimesNewRoman,Bold" w:cs="TimesNewRoman,Bold"/>
          <w:b/>
          <w:bCs/>
          <w:szCs w:val="24"/>
        </w:rPr>
        <w:t xml:space="preserve"> </w:t>
      </w:r>
      <w:r w:rsidRPr="000A6715">
        <w:rPr>
          <w:rFonts w:ascii="TimesNewRoman,Bold" w:hAnsi="TimesNewRoman,Bold" w:cs="TimesNewRoman,Bold"/>
          <w:b/>
          <w:bCs/>
          <w:szCs w:val="24"/>
        </w:rPr>
        <w:t>Level 5 TLRs to Assess the Need for</w:t>
      </w:r>
      <w:r w:rsidR="002107AB">
        <w:rPr>
          <w:rFonts w:ascii="TimesNewRoman,Bold" w:hAnsi="TimesNewRoman,Bold" w:cs="TimesNewRoman,Bold"/>
          <w:b/>
          <w:bCs/>
          <w:szCs w:val="24"/>
        </w:rPr>
        <w:t xml:space="preserve"> </w:t>
      </w:r>
      <w:r w:rsidRPr="000A6715">
        <w:rPr>
          <w:rFonts w:ascii="TimesNewRoman,Bold" w:hAnsi="TimesNewRoman,Bold" w:cs="TimesNewRoman,Bold"/>
          <w:b/>
          <w:bCs/>
          <w:szCs w:val="24"/>
        </w:rPr>
        <w:t>Transmission Upgrades.</w:t>
      </w:r>
    </w:p>
    <w:p w:rsidR="00F435CE" w:rsidRPr="00D951EA" w:rsidRDefault="00F435CE" w:rsidP="00DE079C">
      <w:pPr>
        <w:autoSpaceDE w:val="0"/>
        <w:autoSpaceDN w:val="0"/>
        <w:adjustRightInd w:val="0"/>
        <w:spacing w:after="0" w:line="240" w:lineRule="auto"/>
        <w:rPr>
          <w:rFonts w:ascii="TimesNewRoman" w:hAnsi="TimesNewRoman" w:cs="TimesNewRoman"/>
          <w:sz w:val="24"/>
          <w:szCs w:val="24"/>
          <w:highlight w:val="green"/>
        </w:rPr>
      </w:pPr>
      <w:r w:rsidRPr="00D951EA">
        <w:rPr>
          <w:rFonts w:ascii="TimesNewRoman" w:hAnsi="TimesNewRoman" w:cs="TimesNewRoman"/>
          <w:sz w:val="24"/>
          <w:szCs w:val="24"/>
          <w:highlight w:val="green"/>
        </w:rPr>
        <w:t>The dramatic increase in Transmission Loading Relief (“TLR”) events on a number of</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systems over the past few years, including an alarming number of level 5 TLRs, evidences the</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 xml:space="preserve">severity of concerns over improper curtailments. </w:t>
      </w:r>
      <w:r w:rsidRPr="00D951EA">
        <w:rPr>
          <w:rFonts w:ascii="TimesNewRoman,Italic" w:hAnsi="TimesNewRoman,Italic" w:cs="TimesNewRoman,Italic"/>
          <w:i/>
          <w:iCs/>
          <w:sz w:val="24"/>
          <w:szCs w:val="24"/>
          <w:highlight w:val="green"/>
        </w:rPr>
        <w:t xml:space="preserve">Any </w:t>
      </w:r>
      <w:r w:rsidRPr="00D951EA">
        <w:rPr>
          <w:rFonts w:ascii="TimesNewRoman" w:hAnsi="TimesNewRoman" w:cs="TimesNewRoman"/>
          <w:sz w:val="24"/>
          <w:szCs w:val="24"/>
          <w:highlight w:val="green"/>
        </w:rPr>
        <w:t>level 5 curtailment poses a risk to system</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reliability, since firm transactions are commonly not backed up by additional resources. Where</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level 5 TLR procedures are repeatedly called, the Commission should require an investigation</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into the need for possible network upgrades to address the inadequacy in locational transmission</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capacity. The mere prospect of such an investigation should curb Level 5 TLRs that have no</w:t>
      </w:r>
    </w:p>
    <w:p w:rsidR="00F435CE" w:rsidRDefault="00F435CE" w:rsidP="00264F0E">
      <w:pPr>
        <w:autoSpaceDE w:val="0"/>
        <w:autoSpaceDN w:val="0"/>
        <w:adjustRightInd w:val="0"/>
        <w:spacing w:after="0" w:line="240" w:lineRule="auto"/>
      </w:pPr>
      <w:r w:rsidRPr="00D951EA">
        <w:rPr>
          <w:rFonts w:ascii="TimesNewRoman" w:hAnsi="TimesNewRoman" w:cs="TimesNewRoman"/>
          <w:sz w:val="24"/>
          <w:szCs w:val="24"/>
          <w:highlight w:val="green"/>
        </w:rPr>
        <w:t>legitimate basis. To provide the required transparency for these</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events, the Commission should</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 xml:space="preserve">also revise the </w:t>
      </w:r>
      <w:r w:rsidRPr="00D951EA">
        <w:rPr>
          <w:rFonts w:ascii="TimesNewRoman,Italic" w:hAnsi="TimesNewRoman,Italic" w:cs="TimesNewRoman,Italic"/>
          <w:i/>
          <w:iCs/>
          <w:sz w:val="24"/>
          <w:szCs w:val="24"/>
          <w:highlight w:val="green"/>
        </w:rPr>
        <w:t xml:space="preserve">pro forma </w:t>
      </w:r>
      <w:r w:rsidRPr="00D951EA">
        <w:rPr>
          <w:rFonts w:ascii="TimesNewRoman" w:hAnsi="TimesNewRoman" w:cs="TimesNewRoman"/>
          <w:sz w:val="24"/>
          <w:szCs w:val="24"/>
          <w:highlight w:val="green"/>
        </w:rPr>
        <w:t>OATT to require transmission providers to report all Level 5 TLR</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events by posting notice of such events on their OASIS sites and by filing</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these reports with the</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Commission.</w:t>
      </w:r>
    </w:p>
    <w:p w:rsidR="00F435CE" w:rsidRDefault="00F435CE">
      <w:pPr>
        <w:pStyle w:val="CommentText"/>
      </w:pPr>
    </w:p>
  </w:comment>
  <w:comment w:id="6" w:author="Pritchard, Alan C" w:date="2018-02-02T13:56:00Z" w:initials="ACP">
    <w:p w:rsidR="00F435CE" w:rsidRDefault="00F435CE" w:rsidP="00DE079C">
      <w:pPr>
        <w:autoSpaceDE w:val="0"/>
        <w:autoSpaceDN w:val="0"/>
        <w:adjustRightInd w:val="0"/>
        <w:spacing w:after="0" w:line="240" w:lineRule="auto"/>
        <w:rPr>
          <w:rFonts w:ascii="Times New Roman" w:hAnsi="Times New Roman" w:cs="Times New Roman"/>
          <w:b/>
          <w:bCs/>
          <w:sz w:val="32"/>
          <w:szCs w:val="32"/>
        </w:rPr>
      </w:pPr>
      <w:r>
        <w:rPr>
          <w:rStyle w:val="CommentReference"/>
        </w:rPr>
        <w:annotationRef/>
      </w:r>
      <w:r>
        <w:rPr>
          <w:rFonts w:ascii="Times New Roman" w:hAnsi="Times New Roman" w:cs="Times New Roman"/>
          <w:b/>
          <w:bCs/>
          <w:sz w:val="32"/>
          <w:szCs w:val="32"/>
        </w:rPr>
        <w:t>INITIAL COMMENTS OF THE EDISON ELECTRIC</w:t>
      </w:r>
      <w:r w:rsidR="002107AB">
        <w:rPr>
          <w:rFonts w:ascii="Times New Roman" w:hAnsi="Times New Roman" w:cs="Times New Roman"/>
          <w:b/>
          <w:bCs/>
          <w:sz w:val="32"/>
          <w:szCs w:val="32"/>
        </w:rPr>
        <w:t xml:space="preserve"> </w:t>
      </w:r>
      <w:r>
        <w:rPr>
          <w:rFonts w:ascii="Times New Roman" w:hAnsi="Times New Roman" w:cs="Times New Roman"/>
          <w:b/>
          <w:bCs/>
          <w:sz w:val="32"/>
          <w:szCs w:val="32"/>
        </w:rPr>
        <w:t>INSTITUTE ON THE NOTICE OF</w:t>
      </w:r>
      <w:r w:rsidR="002107AB">
        <w:rPr>
          <w:rFonts w:ascii="Times New Roman" w:hAnsi="Times New Roman" w:cs="Times New Roman"/>
          <w:b/>
          <w:bCs/>
          <w:sz w:val="32"/>
          <w:szCs w:val="32"/>
        </w:rPr>
        <w:t xml:space="preserve"> </w:t>
      </w:r>
      <w:r>
        <w:rPr>
          <w:rFonts w:ascii="Times New Roman" w:hAnsi="Times New Roman" w:cs="Times New Roman"/>
          <w:b/>
          <w:bCs/>
          <w:sz w:val="32"/>
          <w:szCs w:val="32"/>
        </w:rPr>
        <w:t>PROPOSED RULEMAKING</w:t>
      </w:r>
    </w:p>
    <w:p w:rsidR="00F435CE" w:rsidRDefault="00F435CE" w:rsidP="00DE079C">
      <w:pPr>
        <w:rPr>
          <w:rFonts w:ascii="Times New Roman" w:hAnsi="Times New Roman" w:cs="Times New Roman"/>
          <w:sz w:val="24"/>
          <w:szCs w:val="24"/>
        </w:rPr>
      </w:pPr>
      <w:r>
        <w:rPr>
          <w:rFonts w:ascii="Times New Roman" w:hAnsi="Times New Roman" w:cs="Times New Roman"/>
          <w:sz w:val="24"/>
          <w:szCs w:val="24"/>
        </w:rPr>
        <w:t>August 7, 2006</w:t>
      </w:r>
    </w:p>
    <w:p w:rsidR="00F435CE" w:rsidRDefault="00F435CE" w:rsidP="00264F0E">
      <w:pPr>
        <w:autoSpaceDE w:val="0"/>
        <w:autoSpaceDN w:val="0"/>
        <w:adjustRightInd w:val="0"/>
        <w:spacing w:after="0" w:line="240" w:lineRule="auto"/>
        <w:rPr>
          <w:rFonts w:ascii="Times New Roman" w:hAnsi="Times New Roman" w:cs="Times New Roman"/>
          <w:sz w:val="24"/>
          <w:szCs w:val="24"/>
        </w:rPr>
      </w:pPr>
      <w:r w:rsidRPr="004875AA">
        <w:rPr>
          <w:rFonts w:ascii="Times New Roman" w:hAnsi="Times New Roman" w:cs="Times New Roman"/>
          <w:sz w:val="24"/>
          <w:szCs w:val="24"/>
          <w:u w:val="single"/>
        </w:rPr>
        <w:t>Transmission Curtailments:</w:t>
      </w:r>
      <w:r>
        <w:rPr>
          <w:rFonts w:ascii="Times New Roman" w:hAnsi="Times New Roman" w:cs="Times New Roman"/>
          <w:sz w:val="24"/>
          <w:szCs w:val="24"/>
        </w:rPr>
        <w:t xml:space="preserve"> The Commission should request the Wholesale</w:t>
      </w:r>
      <w:r w:rsidR="002107AB">
        <w:rPr>
          <w:rFonts w:ascii="Times New Roman" w:hAnsi="Times New Roman" w:cs="Times New Roman"/>
          <w:sz w:val="24"/>
          <w:szCs w:val="24"/>
        </w:rPr>
        <w:t xml:space="preserve"> </w:t>
      </w:r>
      <w:r>
        <w:rPr>
          <w:rFonts w:ascii="Times New Roman" w:hAnsi="Times New Roman" w:cs="Times New Roman"/>
          <w:sz w:val="24"/>
          <w:szCs w:val="24"/>
        </w:rPr>
        <w:t>Electric Quadrant (“WEQ”) to develop a standardized template for the posting of information</w:t>
      </w:r>
      <w:r w:rsidR="002107AB">
        <w:rPr>
          <w:rFonts w:ascii="Times New Roman" w:hAnsi="Times New Roman" w:cs="Times New Roman"/>
          <w:sz w:val="24"/>
          <w:szCs w:val="24"/>
        </w:rPr>
        <w:t xml:space="preserve"> </w:t>
      </w:r>
      <w:r>
        <w:rPr>
          <w:rFonts w:ascii="Times New Roman" w:hAnsi="Times New Roman" w:cs="Times New Roman"/>
          <w:sz w:val="24"/>
          <w:szCs w:val="24"/>
        </w:rPr>
        <w:t>about curtailments. The Commission should impose penalties on transmission providers who are</w:t>
      </w:r>
      <w:r w:rsidR="002107AB">
        <w:rPr>
          <w:rFonts w:ascii="Times New Roman" w:hAnsi="Times New Roman" w:cs="Times New Roman"/>
          <w:sz w:val="24"/>
          <w:szCs w:val="24"/>
        </w:rPr>
        <w:t xml:space="preserve"> </w:t>
      </w:r>
      <w:r>
        <w:rPr>
          <w:rFonts w:ascii="Times New Roman" w:hAnsi="Times New Roman" w:cs="Times New Roman"/>
          <w:sz w:val="24"/>
          <w:szCs w:val="24"/>
        </w:rPr>
        <w:t>found to have improperly curtailed transmission service only when there are clear violations of</w:t>
      </w:r>
      <w:r w:rsidR="002107AB">
        <w:rPr>
          <w:rFonts w:ascii="Times New Roman" w:hAnsi="Times New Roman" w:cs="Times New Roman"/>
          <w:sz w:val="24"/>
          <w:szCs w:val="24"/>
        </w:rPr>
        <w:t xml:space="preserve"> </w:t>
      </w:r>
      <w:r>
        <w:rPr>
          <w:rFonts w:ascii="Times New Roman" w:hAnsi="Times New Roman" w:cs="Times New Roman"/>
          <w:sz w:val="24"/>
          <w:szCs w:val="24"/>
        </w:rPr>
        <w:t>well-established curtailment</w:t>
      </w:r>
      <w:r w:rsidR="002107AB">
        <w:rPr>
          <w:rFonts w:ascii="Times New Roman" w:hAnsi="Times New Roman" w:cs="Times New Roman"/>
          <w:sz w:val="24"/>
          <w:szCs w:val="24"/>
        </w:rPr>
        <w:t xml:space="preserve"> </w:t>
      </w:r>
      <w:r>
        <w:rPr>
          <w:rFonts w:ascii="Times New Roman" w:hAnsi="Times New Roman" w:cs="Times New Roman"/>
          <w:sz w:val="24"/>
          <w:szCs w:val="24"/>
        </w:rPr>
        <w:t>criteria.</w:t>
      </w:r>
    </w:p>
    <w:p w:rsidR="00F435CE" w:rsidRDefault="00F435CE" w:rsidP="00DE079C">
      <w:pPr>
        <w:autoSpaceDE w:val="0"/>
        <w:autoSpaceDN w:val="0"/>
        <w:adjustRightInd w:val="0"/>
        <w:spacing w:after="0" w:line="240" w:lineRule="auto"/>
        <w:rPr>
          <w:rFonts w:ascii="Times New Roman" w:hAnsi="Times New Roman" w:cs="Times New Roman"/>
          <w:b/>
          <w:bCs/>
          <w:sz w:val="19"/>
          <w:szCs w:val="19"/>
        </w:rPr>
      </w:pPr>
      <w:r>
        <w:rPr>
          <w:rFonts w:ascii="Times New Roman" w:hAnsi="Times New Roman" w:cs="Times New Roman"/>
          <w:b/>
          <w:bCs/>
          <w:sz w:val="24"/>
          <w:szCs w:val="24"/>
        </w:rPr>
        <w:t>8. T</w:t>
      </w:r>
      <w:r>
        <w:rPr>
          <w:rFonts w:ascii="Times New Roman" w:hAnsi="Times New Roman" w:cs="Times New Roman"/>
          <w:b/>
          <w:bCs/>
          <w:sz w:val="19"/>
          <w:szCs w:val="19"/>
        </w:rPr>
        <w:t xml:space="preserve">RANSMISSION </w:t>
      </w:r>
      <w:r>
        <w:rPr>
          <w:rFonts w:ascii="Times New Roman" w:hAnsi="Times New Roman" w:cs="Times New Roman"/>
          <w:b/>
          <w:bCs/>
          <w:sz w:val="24"/>
          <w:szCs w:val="24"/>
        </w:rPr>
        <w:t>C</w:t>
      </w:r>
      <w:r>
        <w:rPr>
          <w:rFonts w:ascii="Times New Roman" w:hAnsi="Times New Roman" w:cs="Times New Roman"/>
          <w:b/>
          <w:bCs/>
          <w:sz w:val="19"/>
          <w:szCs w:val="19"/>
        </w:rPr>
        <w:t>URTAILMENTS</w:t>
      </w:r>
    </w:p>
    <w:p w:rsidR="00F435CE" w:rsidRPr="00D951EA" w:rsidRDefault="00F435CE" w:rsidP="00DE079C">
      <w:pPr>
        <w:autoSpaceDE w:val="0"/>
        <w:autoSpaceDN w:val="0"/>
        <w:adjustRightInd w:val="0"/>
        <w:spacing w:after="0" w:line="240" w:lineRule="auto"/>
        <w:rPr>
          <w:rFonts w:ascii="Times New Roman" w:hAnsi="Times New Roman" w:cs="Times New Roman"/>
          <w:sz w:val="24"/>
          <w:szCs w:val="24"/>
          <w:highlight w:val="green"/>
        </w:rPr>
      </w:pPr>
      <w:r w:rsidRPr="00D951EA">
        <w:rPr>
          <w:rFonts w:ascii="Times New Roman" w:hAnsi="Times New Roman" w:cs="Times New Roman"/>
          <w:sz w:val="24"/>
          <w:szCs w:val="24"/>
          <w:highlight w:val="green"/>
          <w:u w:val="single"/>
        </w:rPr>
        <w:t>The Commission should request the WEQ to develop a standardized template for</w:t>
      </w:r>
      <w:r w:rsidR="002107AB" w:rsidRPr="00D951EA">
        <w:rPr>
          <w:rFonts w:ascii="Times New Roman" w:hAnsi="Times New Roman" w:cs="Times New Roman"/>
          <w:sz w:val="24"/>
          <w:szCs w:val="24"/>
          <w:highlight w:val="green"/>
          <w:u w:val="single"/>
        </w:rPr>
        <w:t xml:space="preserve"> </w:t>
      </w:r>
      <w:r w:rsidRPr="00D951EA">
        <w:rPr>
          <w:rFonts w:ascii="Times New Roman" w:hAnsi="Times New Roman" w:cs="Times New Roman"/>
          <w:sz w:val="24"/>
          <w:szCs w:val="24"/>
          <w:highlight w:val="green"/>
          <w:u w:val="single"/>
        </w:rPr>
        <w:t>the posting of information about curtailments</w:t>
      </w:r>
      <w:r w:rsidRPr="00D951EA">
        <w:rPr>
          <w:rFonts w:ascii="Times New Roman" w:hAnsi="Times New Roman" w:cs="Times New Roman"/>
          <w:i/>
          <w:iCs/>
          <w:sz w:val="24"/>
          <w:szCs w:val="24"/>
          <w:highlight w:val="green"/>
          <w:u w:val="single"/>
        </w:rPr>
        <w:t>.</w:t>
      </w:r>
      <w:r w:rsidRPr="00D951EA">
        <w:rPr>
          <w:rFonts w:ascii="Times New Roman" w:hAnsi="Times New Roman" w:cs="Times New Roman"/>
          <w:i/>
          <w:iCs/>
          <w:sz w:val="24"/>
          <w:szCs w:val="24"/>
          <w:highlight w:val="green"/>
        </w:rPr>
        <w:t xml:space="preserve"> </w:t>
      </w:r>
      <w:r w:rsidRPr="00D951EA">
        <w:rPr>
          <w:rFonts w:ascii="Times New Roman" w:hAnsi="Times New Roman" w:cs="Times New Roman"/>
          <w:sz w:val="24"/>
          <w:szCs w:val="24"/>
          <w:highlight w:val="green"/>
        </w:rPr>
        <w:t>EEI agrees that providing customers information</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on transmission curtailments on a more clear basis may help to reduce the confusion and</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suspicion concerning curtailments. While the information that supports curtailments generally is</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posted on the OASIS, it can be time-consuming for customers who are inexperienced to review</w:t>
      </w:r>
    </w:p>
    <w:p w:rsidR="00F435CE" w:rsidRDefault="00F435CE" w:rsidP="00DE079C">
      <w:pPr>
        <w:autoSpaceDE w:val="0"/>
        <w:autoSpaceDN w:val="0"/>
        <w:adjustRightInd w:val="0"/>
        <w:spacing w:after="0" w:line="240" w:lineRule="auto"/>
        <w:rPr>
          <w:rFonts w:ascii="Times New Roman" w:hAnsi="Times New Roman" w:cs="Times New Roman"/>
          <w:sz w:val="24"/>
          <w:szCs w:val="24"/>
        </w:rPr>
      </w:pPr>
      <w:r w:rsidRPr="00D951EA">
        <w:rPr>
          <w:rFonts w:ascii="Times New Roman" w:hAnsi="Times New Roman" w:cs="Times New Roman"/>
          <w:sz w:val="24"/>
          <w:szCs w:val="24"/>
          <w:highlight w:val="green"/>
        </w:rPr>
        <w:t>the OASIS postings to determine the basis for the curtailments. The Standards and</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Communications Protocols contain a template for the posting of information on curtailments, but</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there is no requirement that transmission providers use a standard format to report the</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information. EEI suggests that the Commission request the WEQ to develop a more detailed</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template for the posting of information on curtailments that can provide more useful information</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to customers.</w:t>
      </w:r>
    </w:p>
    <w:p w:rsidR="00F435CE" w:rsidRDefault="00F435CE" w:rsidP="00DE079C">
      <w:pPr>
        <w:autoSpaceDE w:val="0"/>
        <w:autoSpaceDN w:val="0"/>
        <w:adjustRightInd w:val="0"/>
        <w:spacing w:after="0" w:line="240" w:lineRule="auto"/>
        <w:rPr>
          <w:rFonts w:ascii="Times New Roman" w:hAnsi="Times New Roman" w:cs="Times New Roman"/>
          <w:sz w:val="24"/>
          <w:szCs w:val="24"/>
          <w:u w:val="single"/>
        </w:rPr>
      </w:pPr>
    </w:p>
    <w:p w:rsidR="00F435CE" w:rsidRDefault="00F435CE" w:rsidP="00264F0E">
      <w:pPr>
        <w:autoSpaceDE w:val="0"/>
        <w:autoSpaceDN w:val="0"/>
        <w:adjustRightInd w:val="0"/>
        <w:spacing w:after="0" w:line="240" w:lineRule="auto"/>
      </w:pPr>
      <w:r w:rsidRPr="004875AA">
        <w:rPr>
          <w:rFonts w:ascii="Times New Roman" w:hAnsi="Times New Roman" w:cs="Times New Roman"/>
          <w:sz w:val="24"/>
          <w:szCs w:val="24"/>
          <w:u w:val="single"/>
        </w:rPr>
        <w:t>The Commission appropriately declined to impose penalties for improper</w:t>
      </w:r>
      <w:r w:rsidR="002107AB">
        <w:rPr>
          <w:rFonts w:ascii="Times New Roman" w:hAnsi="Times New Roman" w:cs="Times New Roman"/>
          <w:sz w:val="24"/>
          <w:szCs w:val="24"/>
          <w:u w:val="single"/>
        </w:rPr>
        <w:t xml:space="preserve"> </w:t>
      </w:r>
      <w:r w:rsidRPr="004875AA">
        <w:rPr>
          <w:rFonts w:ascii="Times New Roman" w:hAnsi="Times New Roman" w:cs="Times New Roman"/>
          <w:sz w:val="24"/>
          <w:szCs w:val="24"/>
          <w:u w:val="single"/>
        </w:rPr>
        <w:t>curtailments unless the violations are clear and unjustified.</w:t>
      </w:r>
      <w:r>
        <w:rPr>
          <w:rFonts w:ascii="Times New Roman" w:hAnsi="Times New Roman" w:cs="Times New Roman"/>
          <w:sz w:val="24"/>
          <w:szCs w:val="24"/>
        </w:rPr>
        <w:t xml:space="preserve"> EEI strongly supports the</w:t>
      </w:r>
      <w:r w:rsidR="002107AB">
        <w:rPr>
          <w:rFonts w:ascii="Times New Roman" w:hAnsi="Times New Roman" w:cs="Times New Roman"/>
          <w:sz w:val="24"/>
          <w:szCs w:val="24"/>
        </w:rPr>
        <w:t xml:space="preserve"> </w:t>
      </w:r>
      <w:r>
        <w:rPr>
          <w:rFonts w:ascii="Times New Roman" w:hAnsi="Times New Roman" w:cs="Times New Roman"/>
          <w:sz w:val="24"/>
          <w:szCs w:val="24"/>
        </w:rPr>
        <w:t>Commission’s proposal not to impose</w:t>
      </w:r>
      <w:r w:rsidR="002107AB">
        <w:rPr>
          <w:rFonts w:ascii="Times New Roman" w:hAnsi="Times New Roman" w:cs="Times New Roman"/>
          <w:sz w:val="24"/>
          <w:szCs w:val="24"/>
        </w:rPr>
        <w:t xml:space="preserve"> </w:t>
      </w:r>
      <w:r>
        <w:rPr>
          <w:rFonts w:ascii="Times New Roman" w:hAnsi="Times New Roman" w:cs="Times New Roman"/>
          <w:sz w:val="24"/>
          <w:szCs w:val="24"/>
        </w:rPr>
        <w:t>generic penalties on transmission providers who are found</w:t>
      </w:r>
      <w:r w:rsidR="002107AB">
        <w:rPr>
          <w:rFonts w:ascii="Times New Roman" w:hAnsi="Times New Roman" w:cs="Times New Roman"/>
          <w:sz w:val="24"/>
          <w:szCs w:val="24"/>
        </w:rPr>
        <w:t xml:space="preserve"> </w:t>
      </w:r>
      <w:r>
        <w:rPr>
          <w:rFonts w:ascii="Times New Roman" w:hAnsi="Times New Roman" w:cs="Times New Roman"/>
          <w:sz w:val="24"/>
          <w:szCs w:val="24"/>
        </w:rPr>
        <w:t>to have improperly curtailed transmission service (NOPR P 443). As the Commission noted,</w:t>
      </w:r>
      <w:r w:rsidR="002107AB">
        <w:rPr>
          <w:rFonts w:ascii="Times New Roman" w:hAnsi="Times New Roman" w:cs="Times New Roman"/>
          <w:sz w:val="24"/>
          <w:szCs w:val="24"/>
        </w:rPr>
        <w:t xml:space="preserve"> </w:t>
      </w:r>
      <w:r>
        <w:rPr>
          <w:rFonts w:ascii="Times New Roman" w:hAnsi="Times New Roman" w:cs="Times New Roman"/>
          <w:sz w:val="24"/>
          <w:szCs w:val="24"/>
        </w:rPr>
        <w:t>transmission curtailment is a reliability decision that is subject to ERO and RRO reliability</w:t>
      </w:r>
      <w:r w:rsidR="002107AB">
        <w:rPr>
          <w:rFonts w:ascii="Times New Roman" w:hAnsi="Times New Roman" w:cs="Times New Roman"/>
          <w:sz w:val="24"/>
          <w:szCs w:val="24"/>
        </w:rPr>
        <w:t xml:space="preserve"> </w:t>
      </w:r>
      <w:r>
        <w:rPr>
          <w:rFonts w:ascii="Times New Roman" w:hAnsi="Times New Roman" w:cs="Times New Roman"/>
          <w:sz w:val="24"/>
          <w:szCs w:val="24"/>
        </w:rPr>
        <w:t>standards. Moreover,</w:t>
      </w:r>
      <w:r w:rsidR="002107AB">
        <w:rPr>
          <w:rFonts w:ascii="Times New Roman" w:hAnsi="Times New Roman" w:cs="Times New Roman"/>
          <w:sz w:val="24"/>
          <w:szCs w:val="24"/>
        </w:rPr>
        <w:t xml:space="preserve"> </w:t>
      </w:r>
      <w:r>
        <w:rPr>
          <w:rFonts w:ascii="Times New Roman" w:hAnsi="Times New Roman" w:cs="Times New Roman"/>
          <w:sz w:val="24"/>
          <w:szCs w:val="24"/>
        </w:rPr>
        <w:t>transmission curtailments may be imposed by the security</w:t>
      </w:r>
      <w:r w:rsidR="002107AB">
        <w:rPr>
          <w:rFonts w:ascii="Times New Roman" w:hAnsi="Times New Roman" w:cs="Times New Roman"/>
          <w:sz w:val="24"/>
          <w:szCs w:val="24"/>
        </w:rPr>
        <w:t xml:space="preserve"> </w:t>
      </w:r>
      <w:r>
        <w:rPr>
          <w:rFonts w:ascii="Times New Roman" w:hAnsi="Times New Roman" w:cs="Times New Roman"/>
          <w:sz w:val="24"/>
          <w:szCs w:val="24"/>
        </w:rPr>
        <w:t>coordinator</w:t>
      </w:r>
      <w:r w:rsidR="002107AB">
        <w:rPr>
          <w:rFonts w:ascii="Times New Roman" w:hAnsi="Times New Roman" w:cs="Times New Roman"/>
          <w:sz w:val="24"/>
          <w:szCs w:val="24"/>
        </w:rPr>
        <w:t xml:space="preserve"> </w:t>
      </w:r>
      <w:r>
        <w:rPr>
          <w:rFonts w:ascii="Times New Roman" w:hAnsi="Times New Roman" w:cs="Times New Roman"/>
          <w:sz w:val="24"/>
          <w:szCs w:val="24"/>
        </w:rPr>
        <w:t>rather than the transmission provider. Penalties for improper curtailments could have the effect</w:t>
      </w:r>
      <w:r w:rsidR="002107AB">
        <w:rPr>
          <w:rFonts w:ascii="Times New Roman" w:hAnsi="Times New Roman" w:cs="Times New Roman"/>
          <w:sz w:val="24"/>
          <w:szCs w:val="24"/>
        </w:rPr>
        <w:t xml:space="preserve"> </w:t>
      </w:r>
      <w:r>
        <w:rPr>
          <w:rFonts w:ascii="Times New Roman" w:hAnsi="Times New Roman" w:cs="Times New Roman"/>
          <w:sz w:val="24"/>
          <w:szCs w:val="24"/>
        </w:rPr>
        <w:t>of creating disincentives to curtail service in situations in which system reliability is</w:t>
      </w:r>
      <w:r w:rsidR="002107AB">
        <w:rPr>
          <w:rFonts w:ascii="Times New Roman" w:hAnsi="Times New Roman" w:cs="Times New Roman"/>
          <w:sz w:val="24"/>
          <w:szCs w:val="24"/>
        </w:rPr>
        <w:t xml:space="preserve"> </w:t>
      </w:r>
      <w:r>
        <w:rPr>
          <w:rFonts w:ascii="Times New Roman" w:hAnsi="Times New Roman" w:cs="Times New Roman"/>
          <w:sz w:val="24"/>
          <w:szCs w:val="24"/>
        </w:rPr>
        <w:t>legitimately</w:t>
      </w:r>
      <w:r w:rsidR="002107AB">
        <w:rPr>
          <w:rFonts w:ascii="Times New Roman" w:hAnsi="Times New Roman" w:cs="Times New Roman"/>
          <w:sz w:val="24"/>
          <w:szCs w:val="24"/>
        </w:rPr>
        <w:t xml:space="preserve"> </w:t>
      </w:r>
      <w:r>
        <w:rPr>
          <w:rFonts w:ascii="Times New Roman" w:hAnsi="Times New Roman" w:cs="Times New Roman"/>
          <w:sz w:val="24"/>
          <w:szCs w:val="24"/>
        </w:rPr>
        <w:t>threatened.</w:t>
      </w:r>
    </w:p>
    <w:p w:rsidR="00F435CE" w:rsidRDefault="00F435CE">
      <w:pPr>
        <w:pStyle w:val="CommentText"/>
      </w:pPr>
    </w:p>
  </w:comment>
  <w:comment w:id="7" w:author="Pritchard, Alan C" w:date="2018-02-02T13:56:00Z" w:initials="ACP">
    <w:p w:rsidR="00F435CE" w:rsidRDefault="00F435CE" w:rsidP="00DE079C">
      <w:pPr>
        <w:pStyle w:val="FERCparanumber"/>
        <w:numPr>
          <w:ilvl w:val="0"/>
          <w:numId w:val="0"/>
        </w:numPr>
        <w:jc w:val="center"/>
        <w:rPr>
          <w:b/>
          <w:sz w:val="24"/>
        </w:rPr>
      </w:pPr>
      <w:r>
        <w:rPr>
          <w:rStyle w:val="CommentReference"/>
        </w:rPr>
        <w:annotationRef/>
      </w:r>
      <w:r>
        <w:rPr>
          <w:b/>
          <w:sz w:val="24"/>
        </w:rPr>
        <w:t>REPLY COMMENTS OF</w:t>
      </w:r>
      <w:r w:rsidR="002107AB">
        <w:rPr>
          <w:b/>
          <w:sz w:val="24"/>
        </w:rPr>
        <w:t xml:space="preserve"> </w:t>
      </w:r>
    </w:p>
    <w:p w:rsidR="00F435CE" w:rsidRDefault="00F435CE" w:rsidP="00DE079C">
      <w:pPr>
        <w:pStyle w:val="FERCparanumber"/>
        <w:numPr>
          <w:ilvl w:val="0"/>
          <w:numId w:val="0"/>
        </w:numPr>
        <w:jc w:val="center"/>
        <w:rPr>
          <w:b/>
          <w:sz w:val="24"/>
        </w:rPr>
      </w:pPr>
      <w:r>
        <w:rPr>
          <w:b/>
          <w:sz w:val="24"/>
        </w:rPr>
        <w:t>SOUTHERN COMPANY SERVICES, INC.</w:t>
      </w:r>
    </w:p>
    <w:p w:rsidR="00F435CE" w:rsidRDefault="00F435CE" w:rsidP="00DE079C">
      <w:pPr>
        <w:pStyle w:val="FERCparanumber"/>
        <w:numPr>
          <w:ilvl w:val="0"/>
          <w:numId w:val="0"/>
        </w:numPr>
        <w:jc w:val="center"/>
        <w:rPr>
          <w:b/>
          <w:sz w:val="24"/>
        </w:rPr>
      </w:pPr>
      <w:r>
        <w:rPr>
          <w:b/>
          <w:sz w:val="24"/>
        </w:rPr>
        <w:t>TO THE NOTICE OF INQUIRY</w:t>
      </w:r>
    </w:p>
    <w:p w:rsidR="00F435CE" w:rsidRDefault="00F435CE" w:rsidP="00DE079C"/>
    <w:p w:rsidR="00F435CE" w:rsidRDefault="00F435CE" w:rsidP="00DE079C">
      <w:pPr>
        <w:ind w:left="720" w:right="288" w:hanging="720"/>
        <w:jc w:val="both"/>
        <w:rPr>
          <w:sz w:val="24"/>
        </w:rPr>
      </w:pPr>
      <w:r>
        <w:rPr>
          <w:b/>
          <w:sz w:val="24"/>
        </w:rPr>
        <w:t>D.</w:t>
      </w:r>
      <w:r>
        <w:rPr>
          <w:b/>
          <w:sz w:val="24"/>
        </w:rPr>
        <w:tab/>
        <w:t>In Certain Areas,</w:t>
      </w:r>
      <w:r>
        <w:rPr>
          <w:sz w:val="24"/>
        </w:rPr>
        <w:t xml:space="preserve"> </w:t>
      </w:r>
      <w:r>
        <w:rPr>
          <w:b/>
          <w:sz w:val="24"/>
        </w:rPr>
        <w:t>Greater Transparency Could Alleviate Any Perceptions of Undue Discrimination</w:t>
      </w:r>
    </w:p>
    <w:p w:rsidR="00F435CE" w:rsidRDefault="00F435CE" w:rsidP="00DE079C">
      <w:pPr>
        <w:ind w:left="720" w:right="288" w:hanging="720"/>
        <w:jc w:val="both"/>
        <w:rPr>
          <w:sz w:val="24"/>
        </w:rPr>
      </w:pPr>
    </w:p>
    <w:p w:rsidR="00F435CE" w:rsidRDefault="00F435CE" w:rsidP="000F2820">
      <w:pPr>
        <w:spacing w:line="240" w:lineRule="auto"/>
        <w:jc w:val="both"/>
        <w:rPr>
          <w:sz w:val="24"/>
        </w:rPr>
      </w:pPr>
      <w:r>
        <w:rPr>
          <w:sz w:val="24"/>
        </w:rPr>
        <w:tab/>
        <w:t xml:space="preserve">While the initial comments demonstrated that there are no legitimate concerns of undue discrimination in the provision of transmission service, any isolated or lingering concerns could be eliminated with discrete increases in the OASIS posting requirements to allow for greater transparency in transmission providers’ operations.  Reforms of this nature, as opposed to greater regulatory reporting burdens or standardizing certain operational practices and procedures, would reduce concerns of undue discrimination without causing reliability problems, increasing burdens on transmission providers and the Commission, eliminating options that are currently available to customers, or significantly increasing the cost to provide transmission service.  A number of </w:t>
      </w:r>
      <w:proofErr w:type="spellStart"/>
      <w:r>
        <w:rPr>
          <w:sz w:val="24"/>
        </w:rPr>
        <w:t>commentors</w:t>
      </w:r>
      <w:proofErr w:type="spellEnd"/>
      <w:r>
        <w:rPr>
          <w:sz w:val="24"/>
        </w:rPr>
        <w:t xml:space="preserve"> advocated that the Commission’s OATT reform efforts should focus on increasing transparency in certain aspects of the transmission provider’s operations.  Comments of this nature tended to reject the notion that standardization was necessary in order to eliminate any concerns of undue discrimination.  For example, PPL Companies explained that they were “not recommending a one-size-fits-all approach.”  Rather, like other similarly-situated entities, they were simply interested in greater transparency:</w:t>
      </w:r>
    </w:p>
    <w:p w:rsidR="00F435CE" w:rsidRDefault="00F435CE" w:rsidP="00DE079C">
      <w:pPr>
        <w:ind w:left="720" w:right="720"/>
        <w:jc w:val="both"/>
        <w:rPr>
          <w:sz w:val="24"/>
        </w:rPr>
      </w:pPr>
      <w:r>
        <w:rPr>
          <w:sz w:val="24"/>
        </w:rPr>
        <w:t>[E]ach Transmission Provider should be allowed to develop and propose its own ATC, TTC, and CBM calculation process, subject to Commission review and oversight. The Commission should also require that such business practices and the specific calculations made by the Transmission Provider be readily available to transmission customers.</w:t>
      </w:r>
    </w:p>
    <w:p w:rsidR="00F435CE" w:rsidRDefault="002107AB" w:rsidP="000F2820">
      <w:pPr>
        <w:spacing w:line="240" w:lineRule="auto"/>
        <w:jc w:val="both"/>
        <w:rPr>
          <w:sz w:val="24"/>
        </w:rPr>
      </w:pPr>
      <w:r>
        <w:rPr>
          <w:sz w:val="24"/>
        </w:rPr>
        <w:tab/>
      </w:r>
      <w:r w:rsidR="00F435CE">
        <w:rPr>
          <w:sz w:val="24"/>
        </w:rPr>
        <w:t xml:space="preserve">PPL Companies, p. 11.   </w:t>
      </w:r>
    </w:p>
    <w:p w:rsidR="00F435CE" w:rsidRDefault="00F435CE" w:rsidP="000F2820">
      <w:pPr>
        <w:spacing w:line="240" w:lineRule="auto"/>
        <w:jc w:val="both"/>
        <w:rPr>
          <w:sz w:val="24"/>
        </w:rPr>
      </w:pPr>
      <w:r>
        <w:rPr>
          <w:sz w:val="24"/>
        </w:rPr>
        <w:tab/>
        <w:t>Greater transparency could be achieved through OASIS postings requirements, such as business practices and methodologies for assessing TTC, ATC, CBM, and TRM.</w:t>
      </w:r>
      <w:r>
        <w:rPr>
          <w:b/>
          <w:sz w:val="24"/>
        </w:rPr>
        <w:t xml:space="preserve"> </w:t>
      </w:r>
      <w:r>
        <w:rPr>
          <w:sz w:val="24"/>
        </w:rPr>
        <w:t xml:space="preserve"> OASIS postings, as opposed to regulatory filings, provide the most efficient and effective way of achieving greater transparency.  This approach has the added benefit of allowing the information to be immediately available to the public in a format that is readily accessible, usable, and familiar to transmission customers.  Moreover, if changes to such practices or methodologies are determined to be necessary or appropriate, such changes could be readily made to an OASIS posting, as compared to the delays and costs that would be necessary to implement such changes if a formal filing with the Commission were required.</w:t>
      </w:r>
    </w:p>
    <w:p w:rsidR="00F435CE" w:rsidRDefault="00F435CE" w:rsidP="000F2820">
      <w:pPr>
        <w:spacing w:line="240" w:lineRule="auto"/>
        <w:jc w:val="both"/>
        <w:rPr>
          <w:sz w:val="24"/>
        </w:rPr>
      </w:pPr>
      <w:r>
        <w:rPr>
          <w:sz w:val="24"/>
        </w:rPr>
        <w:tab/>
        <w:t>In considering changes to OASIS postings, the Commission should, however, be cautious not to impose unnecessary and potentially duplicative requirements in an effort to satisfy an undefined transparency standard.  Any attempt to achieve greater transparency should recognize that there is a point of diminishing returns in such an undertaking.  At some point, significant increases to the information available on OASIS would impose burdens on the system (</w:t>
      </w:r>
      <w:r>
        <w:rPr>
          <w:sz w:val="24"/>
          <w:u w:val="single"/>
        </w:rPr>
        <w:t>e.g.</w:t>
      </w:r>
      <w:r>
        <w:rPr>
          <w:sz w:val="24"/>
        </w:rPr>
        <w:t xml:space="preserve">, possibly slowing the system’s ability to process transmission service requests in real-time), and on transmission providers that would likely outweigh the benefits.  Increased OASIS administration activities would result in greater costs, which would be recovered through charges for transmission service.  Moreover, any additional posting requirements should be sensitive to concerns about making critical energy infrastructure information available to the public.  Other confidentiality concerns should be considered such as whether the information is proprietary or is competitively sensitive with regard to non-transmission matters.  Finally, transmission providers should not be required to make available information that other entities are not required to release.  </w:t>
      </w:r>
    </w:p>
    <w:p w:rsidR="00F435CE" w:rsidRDefault="00F435CE" w:rsidP="000F2820">
      <w:pPr>
        <w:spacing w:line="240" w:lineRule="auto"/>
        <w:jc w:val="both"/>
        <w:rPr>
          <w:sz w:val="24"/>
        </w:rPr>
      </w:pPr>
      <w:r>
        <w:rPr>
          <w:sz w:val="24"/>
        </w:rPr>
        <w:tab/>
        <w:t xml:space="preserve">Some of the items that </w:t>
      </w:r>
      <w:proofErr w:type="spellStart"/>
      <w:r>
        <w:rPr>
          <w:sz w:val="24"/>
        </w:rPr>
        <w:t>commentors</w:t>
      </w:r>
      <w:proofErr w:type="spellEnd"/>
      <w:r>
        <w:rPr>
          <w:sz w:val="24"/>
        </w:rPr>
        <w:t xml:space="preserve"> suggested should be available on OASIS are, in fact, already readily available through OASIS.  For example, Constellation Energy Group, Inc. recommended that the Commission require transmission providers make “modeling information, assumptions, and methodologies available to transmission customers so that they could model the potential of obtaining transmission service with a relatively high accuracy.”  Constellation, pp. 25-26; </w:t>
      </w:r>
      <w:r>
        <w:rPr>
          <w:sz w:val="24"/>
          <w:u w:val="single"/>
        </w:rPr>
        <w:t>see</w:t>
      </w:r>
      <w:r>
        <w:rPr>
          <w:sz w:val="24"/>
        </w:rPr>
        <w:t xml:space="preserve"> </w:t>
      </w:r>
      <w:r>
        <w:rPr>
          <w:sz w:val="24"/>
          <w:u w:val="single"/>
        </w:rPr>
        <w:t>also</w:t>
      </w:r>
      <w:r>
        <w:rPr>
          <w:sz w:val="24"/>
        </w:rPr>
        <w:t xml:space="preserve"> PPL Companies, pp. 10-11 (advocating greater disclosure and accountability with regard to “transmission scheduling, transmission curtailments, reliability instructions to transmission customers and interconnected generators, requests for voltage schedule changes, redispatch instructions, and path ratings.”).  The vast majority of the information that these </w:t>
      </w:r>
      <w:proofErr w:type="spellStart"/>
      <w:r>
        <w:rPr>
          <w:sz w:val="24"/>
        </w:rPr>
        <w:t>commentors</w:t>
      </w:r>
      <w:proofErr w:type="spellEnd"/>
      <w:r>
        <w:rPr>
          <w:sz w:val="24"/>
        </w:rPr>
        <w:t xml:space="preserve"> appear to be describing is contained in the seasonal base cases, the regional planning cases, and the load flow models underlying the system impact studies and facilities studies associated with individual transmission service requests that are available through OASIS or upon request.  Other sources of the information they describe include Form 715 filings and Form 714 filings.  In fact, OASIS, FERC Form 714, and FERC Form 715 provide a great deal of information that apparently, from the comments submitted in this proceeding, is never reviewed by the market participants who argue that the Commission should take steps to increase the transparency of transmission operations.  </w:t>
      </w:r>
    </w:p>
    <w:p w:rsidR="00F435CE" w:rsidRPr="00D951EA" w:rsidRDefault="00F435CE" w:rsidP="000F2820">
      <w:pPr>
        <w:spacing w:line="240" w:lineRule="auto"/>
        <w:jc w:val="both"/>
        <w:rPr>
          <w:sz w:val="24"/>
          <w:highlight w:val="green"/>
        </w:rPr>
      </w:pPr>
      <w:r>
        <w:rPr>
          <w:sz w:val="24"/>
        </w:rPr>
        <w:tab/>
      </w:r>
      <w:r w:rsidRPr="00D951EA">
        <w:rPr>
          <w:sz w:val="24"/>
          <w:highlight w:val="green"/>
        </w:rPr>
        <w:t xml:space="preserve">Likewise, information about curtailments of transmission service is, contrary to the comments of some entities, available on OASIS and through NERC and NAESB.  </w:t>
      </w:r>
      <w:r w:rsidRPr="00D951EA">
        <w:rPr>
          <w:sz w:val="24"/>
          <w:highlight w:val="green"/>
          <w:u w:val="single"/>
        </w:rPr>
        <w:t>See</w:t>
      </w:r>
      <w:r w:rsidRPr="00D951EA">
        <w:rPr>
          <w:sz w:val="24"/>
          <w:highlight w:val="green"/>
        </w:rPr>
        <w:t xml:space="preserve">, </w:t>
      </w:r>
      <w:r w:rsidRPr="00D951EA">
        <w:rPr>
          <w:sz w:val="24"/>
          <w:highlight w:val="green"/>
          <w:u w:val="single"/>
        </w:rPr>
        <w:t>e.g.</w:t>
      </w:r>
      <w:r w:rsidRPr="00D951EA">
        <w:rPr>
          <w:sz w:val="24"/>
          <w:highlight w:val="green"/>
        </w:rPr>
        <w:t xml:space="preserve">, Williams, p. 25.  Actually, Order No. 889 implemented requirements to post and retain curtailment data:  </w:t>
      </w:r>
    </w:p>
    <w:p w:rsidR="00F435CE" w:rsidRPr="00D951EA" w:rsidRDefault="00F435CE" w:rsidP="00DE079C">
      <w:pPr>
        <w:ind w:left="720" w:right="720"/>
        <w:jc w:val="both"/>
        <w:rPr>
          <w:sz w:val="24"/>
          <w:highlight w:val="green"/>
        </w:rPr>
      </w:pPr>
      <w:r w:rsidRPr="00D951EA">
        <w:rPr>
          <w:sz w:val="24"/>
          <w:highlight w:val="green"/>
        </w:rPr>
        <w:t>[W]hen curtailments or interruptions take place, they must be posted as soon as possible and must include identification of the service (with the identity of the customer masked), the reason for the curtailment or interruption, and the tariff-defined step in the curtailment and interruption process. In the event that an emergency situation affecting system reliability delays this posting, the posting must be made as soon as practicable thereafter along with an explanation for the delayed posting.</w:t>
      </w:r>
    </w:p>
    <w:p w:rsidR="00F435CE" w:rsidRPr="00D951EA" w:rsidRDefault="00F435CE" w:rsidP="00DE079C">
      <w:pPr>
        <w:ind w:left="720" w:right="720"/>
        <w:jc w:val="both"/>
        <w:rPr>
          <w:sz w:val="24"/>
          <w:highlight w:val="green"/>
        </w:rPr>
      </w:pPr>
    </w:p>
    <w:p w:rsidR="00F435CE" w:rsidRPr="00D951EA" w:rsidRDefault="00F435CE" w:rsidP="00DE079C">
      <w:pPr>
        <w:ind w:left="720" w:right="720"/>
        <w:jc w:val="both"/>
        <w:rPr>
          <w:sz w:val="24"/>
          <w:highlight w:val="green"/>
        </w:rPr>
      </w:pPr>
      <w:r w:rsidRPr="00D951EA">
        <w:rPr>
          <w:sz w:val="24"/>
          <w:highlight w:val="green"/>
        </w:rPr>
        <w:t>Curtailments and interruptions will be recorded for audit purposes. This audit data should contain enough information about the timing of superseding requests and changes in ATC to document the reason for a curtailment or interruption. The final rule also provides that customers have the right to request an explanation of the reason for a curtailment or interruption.</w:t>
      </w:r>
    </w:p>
    <w:p w:rsidR="00F435CE" w:rsidRPr="00D951EA" w:rsidRDefault="00F435CE" w:rsidP="00DE079C">
      <w:pPr>
        <w:ind w:left="720" w:right="720"/>
        <w:jc w:val="both"/>
        <w:rPr>
          <w:sz w:val="24"/>
          <w:highlight w:val="green"/>
        </w:rPr>
      </w:pPr>
    </w:p>
    <w:p w:rsidR="00F435CE" w:rsidRPr="00D951EA" w:rsidRDefault="00F435CE" w:rsidP="000F2820">
      <w:pPr>
        <w:spacing w:line="240" w:lineRule="auto"/>
        <w:jc w:val="both"/>
        <w:rPr>
          <w:sz w:val="24"/>
          <w:highlight w:val="green"/>
        </w:rPr>
      </w:pPr>
      <w:r w:rsidRPr="00D951EA">
        <w:rPr>
          <w:sz w:val="24"/>
          <w:highlight w:val="green"/>
        </w:rPr>
        <w:t xml:space="preserve">Order No. 889, p. 31,611-31,612.  Indeed, with regard to this requirement, the Commission expressly held that </w:t>
      </w:r>
    </w:p>
    <w:p w:rsidR="00F435CE" w:rsidRPr="00D951EA" w:rsidRDefault="00F435CE" w:rsidP="00DE079C">
      <w:pPr>
        <w:ind w:left="720" w:right="720"/>
        <w:jc w:val="both"/>
        <w:rPr>
          <w:sz w:val="24"/>
          <w:highlight w:val="green"/>
        </w:rPr>
      </w:pPr>
      <w:r w:rsidRPr="00D951EA">
        <w:rPr>
          <w:sz w:val="24"/>
          <w:highlight w:val="green"/>
        </w:rPr>
        <w:t>We believe that the disclosure of this [curtailment] information to the public will provide useful information to the public for discerning any patterns of undue discrimination in the rendering of transmission services.  Thus, disclosure to the public should promote non-discrimination and lead to better competitive utilization of transmission systems.</w:t>
      </w:r>
    </w:p>
    <w:p w:rsidR="00F435CE" w:rsidRPr="00D951EA" w:rsidRDefault="00F435CE" w:rsidP="00DE079C">
      <w:pPr>
        <w:jc w:val="both"/>
        <w:rPr>
          <w:sz w:val="24"/>
          <w:highlight w:val="green"/>
        </w:rPr>
      </w:pPr>
    </w:p>
    <w:p w:rsidR="00F435CE" w:rsidRPr="00D951EA" w:rsidRDefault="00F435CE" w:rsidP="000F2820">
      <w:pPr>
        <w:spacing w:line="240" w:lineRule="auto"/>
        <w:jc w:val="both"/>
        <w:rPr>
          <w:sz w:val="24"/>
          <w:highlight w:val="green"/>
        </w:rPr>
      </w:pPr>
      <w:r w:rsidRPr="00D951EA">
        <w:rPr>
          <w:sz w:val="24"/>
          <w:highlight w:val="green"/>
        </w:rPr>
        <w:t xml:space="preserve">Order No. 605, 87 FERC ¶ 61,224, p. 61,885 (1999).  Given the availability of data on curtailments and the fundamental purpose and intent of these OASIS posting requirements, it appears that the existing rules requiring transmission providers to make curtailment data available are adequate.  Customers should review that data before requesting that the Commission impose additional posting requirements.  </w:t>
      </w:r>
    </w:p>
    <w:p w:rsidR="00F435CE" w:rsidRPr="00D951EA" w:rsidRDefault="00F435CE" w:rsidP="000F2820">
      <w:pPr>
        <w:spacing w:line="240" w:lineRule="auto"/>
        <w:jc w:val="both"/>
        <w:rPr>
          <w:sz w:val="24"/>
          <w:highlight w:val="green"/>
        </w:rPr>
      </w:pPr>
      <w:r w:rsidRPr="00D951EA">
        <w:rPr>
          <w:sz w:val="24"/>
          <w:highlight w:val="green"/>
        </w:rPr>
        <w:tab/>
        <w:t xml:space="preserve">One </w:t>
      </w:r>
      <w:proofErr w:type="spellStart"/>
      <w:r w:rsidRPr="00D951EA">
        <w:rPr>
          <w:sz w:val="24"/>
          <w:highlight w:val="green"/>
        </w:rPr>
        <w:t>commentor</w:t>
      </w:r>
      <w:proofErr w:type="spellEnd"/>
      <w:r w:rsidRPr="00D951EA">
        <w:rPr>
          <w:sz w:val="24"/>
          <w:highlight w:val="green"/>
        </w:rPr>
        <w:t xml:space="preserve"> also claimed that customers should have access to “more information regarding service denials;” “more information regarding who is using the transmission system and in what manner they are using the transmission system;” and “more information regarding the dispatch of units on the transmission system.”  Cottonwood Energy Company, L.P., pp. 7-11.  According to Cottonwood, this data would help eliminate the possibility of discrimination.  Cottonwood overlooks the fact, however, that the first two types of data that it describes are available through OASIS, through NERC’s E-Tag process, and/or through Electronic Quarterly Report filings.  Indeed, the Commission’s rules require that transmission providers post information concerning service denials and retain such data in the OASIS audit logs.  As for Cottonwood’s request for dispatch information about units on the transmission system, such information is entirely unrelated to the provision of open access transmission service.  It would be inappropriate for the Commission to impose disclosure requirements about the operation of generation resources, as such a requirement would in no way relate to its regulation of transmission providers and their operations.  Moreover, information of the type that Cottonwood seeks is proprietary to the entities that are operating their resources, and hence should not be available to the public or to competitors.    </w:t>
      </w:r>
    </w:p>
    <w:p w:rsidR="00F435CE" w:rsidRDefault="00F435CE" w:rsidP="000F2820">
      <w:pPr>
        <w:spacing w:line="240" w:lineRule="auto"/>
        <w:jc w:val="both"/>
        <w:rPr>
          <w:sz w:val="24"/>
        </w:rPr>
      </w:pPr>
      <w:r w:rsidRPr="00D951EA">
        <w:rPr>
          <w:sz w:val="24"/>
          <w:highlight w:val="green"/>
        </w:rPr>
        <w:tab/>
        <w:t xml:space="preserve">Notably, at the time the Commission implemented OASIS, it believed that its Order No. 889 rules would “ensure that transmission customers have access to transmission information enabling them to obtain open access transmission service on a </w:t>
      </w:r>
      <w:r w:rsidRPr="00D951EA">
        <w:rPr>
          <w:sz w:val="24"/>
          <w:highlight w:val="green"/>
          <w:u w:val="single"/>
        </w:rPr>
        <w:t>non-discriminatory</w:t>
      </w:r>
      <w:r w:rsidRPr="00D951EA">
        <w:rPr>
          <w:sz w:val="24"/>
          <w:highlight w:val="green"/>
        </w:rPr>
        <w:t xml:space="preserve"> basis.”  Order No. 889, p. 31,590 (emphasis added).  While those rules have been effective in achieving their intended purpose, incremental additions to the information that is available through OASIS could assure customers that they have all of the information they need to make prudent decisions about transmission service and that they are being treated in a fair, equitable, and non-discriminatory way.  Even so, before determining that additional information should be disclosed to the public, the Commission should ensure that such information is not already available.  It may be determined that greater transparency can be obtained by modifying the manner in which the information is presented and/or by replacing some of the existing requirements with alternate forms of data and information.</w:t>
      </w:r>
      <w:r>
        <w:rPr>
          <w:sz w:val="24"/>
        </w:rPr>
        <w:t xml:space="preserve">  </w:t>
      </w:r>
    </w:p>
    <w:p w:rsidR="00F435CE" w:rsidRDefault="00F435CE" w:rsidP="00DE079C"/>
    <w:p w:rsidR="00F435CE" w:rsidRDefault="00F435CE">
      <w:pPr>
        <w:pStyle w:val="CommentText"/>
      </w:pPr>
    </w:p>
  </w:comment>
  <w:comment w:id="8" w:author="Pritchard, Alan C" w:date="2018-02-02T13:56:00Z" w:initials="ACP">
    <w:p w:rsidR="00F435CE" w:rsidRPr="001E7C81" w:rsidRDefault="00F435CE" w:rsidP="00DE079C">
      <w:pPr>
        <w:autoSpaceDE w:val="0"/>
        <w:autoSpaceDN w:val="0"/>
        <w:adjustRightInd w:val="0"/>
        <w:spacing w:after="0" w:line="240" w:lineRule="auto"/>
        <w:rPr>
          <w:rFonts w:ascii="Times New Roman" w:hAnsi="Times New Roman" w:cs="Times New Roman"/>
          <w:color w:val="000000"/>
          <w:sz w:val="23"/>
          <w:szCs w:val="23"/>
        </w:rPr>
      </w:pPr>
      <w:r>
        <w:rPr>
          <w:rStyle w:val="CommentReference"/>
        </w:rPr>
        <w:annotationRef/>
      </w:r>
      <w:r w:rsidRPr="001E7C81">
        <w:rPr>
          <w:rFonts w:ascii="Times New Roman" w:hAnsi="Times New Roman" w:cs="Times New Roman"/>
          <w:b/>
          <w:bCs/>
          <w:color w:val="000000"/>
          <w:sz w:val="23"/>
          <w:szCs w:val="23"/>
        </w:rPr>
        <w:t xml:space="preserve">COMMENTS OF PUBLIC SERVICE COMPANY OF NEW MEXICO </w:t>
      </w:r>
    </w:p>
    <w:p w:rsidR="00F435CE" w:rsidRDefault="00F435CE" w:rsidP="00DE079C">
      <w:pPr>
        <w:rPr>
          <w:rFonts w:ascii="Times New Roman" w:hAnsi="Times New Roman" w:cs="Times New Roman"/>
          <w:b/>
          <w:bCs/>
          <w:color w:val="000000"/>
          <w:sz w:val="23"/>
          <w:szCs w:val="23"/>
        </w:rPr>
      </w:pPr>
      <w:r w:rsidRPr="001E7C81">
        <w:rPr>
          <w:rFonts w:ascii="Times New Roman" w:hAnsi="Times New Roman" w:cs="Times New Roman"/>
          <w:b/>
          <w:bCs/>
          <w:color w:val="000000"/>
          <w:sz w:val="23"/>
          <w:szCs w:val="23"/>
        </w:rPr>
        <w:t>AND TEXAS-NEW MEXICO POWER COMPANY</w:t>
      </w:r>
    </w:p>
    <w:p w:rsidR="00F435CE" w:rsidRPr="001E7C81" w:rsidRDefault="00F435CE" w:rsidP="00DE079C">
      <w:pPr>
        <w:autoSpaceDE w:val="0"/>
        <w:autoSpaceDN w:val="0"/>
        <w:adjustRightInd w:val="0"/>
        <w:spacing w:after="0" w:line="240" w:lineRule="auto"/>
        <w:ind w:left="1440"/>
        <w:jc w:val="both"/>
        <w:rPr>
          <w:rFonts w:ascii="Times New Roman" w:hAnsi="Times New Roman" w:cs="Times New Roman"/>
          <w:color w:val="000000"/>
          <w:sz w:val="23"/>
          <w:szCs w:val="23"/>
        </w:rPr>
      </w:pPr>
      <w:r w:rsidRPr="001E7C81">
        <w:rPr>
          <w:rFonts w:ascii="Times New Roman" w:hAnsi="Times New Roman" w:cs="Times New Roman"/>
          <w:b/>
          <w:bCs/>
          <w:color w:val="000000"/>
          <w:sz w:val="23"/>
          <w:szCs w:val="23"/>
        </w:rPr>
        <w:t xml:space="preserve">(8) Transmission Curtailments (NOPR, ¶¶ 435-43) </w:t>
      </w:r>
    </w:p>
    <w:p w:rsidR="00F435CE" w:rsidRDefault="00F435CE" w:rsidP="00CB0F17">
      <w:r w:rsidRPr="001E7C81">
        <w:rPr>
          <w:rFonts w:ascii="Times New Roman" w:hAnsi="Times New Roman" w:cs="Times New Roman"/>
          <w:color w:val="000000"/>
          <w:sz w:val="23"/>
          <w:szCs w:val="23"/>
        </w:rPr>
        <w:t xml:space="preserve">PNM and TNMP agree with the Commission determination not to propose generic penalties and further agree that any penalties for improper curtailments should only be imposed in circumstances in which it can be demonstrated that the transmission provider imposed an improper curtailment with the intent to treat a customer in an unduly discriminatory or preferential manner. </w:t>
      </w:r>
      <w:r w:rsidRPr="00D951EA">
        <w:rPr>
          <w:rFonts w:ascii="Times New Roman" w:hAnsi="Times New Roman" w:cs="Times New Roman"/>
          <w:color w:val="000000"/>
          <w:sz w:val="23"/>
          <w:szCs w:val="23"/>
          <w:highlight w:val="green"/>
        </w:rPr>
        <w:t>There is sufficient information currently being provided with respect to curtailments to provide the necessary transparency that customers need. No additional requirements are necessary in this regard.</w:t>
      </w:r>
    </w:p>
  </w:comment>
  <w:comment w:id="9" w:author="Pritchard, Alan C" w:date="2018-02-02T13:56:00Z" w:initials="ACP">
    <w:p w:rsidR="00F435CE" w:rsidRPr="004E3B39" w:rsidRDefault="00F435CE" w:rsidP="001B3ADD">
      <w:pPr>
        <w:spacing w:line="240" w:lineRule="auto"/>
        <w:jc w:val="center"/>
        <w:rPr>
          <w:b/>
        </w:rPr>
      </w:pPr>
      <w:r>
        <w:rPr>
          <w:rStyle w:val="CommentReference"/>
        </w:rPr>
        <w:annotationRef/>
      </w:r>
      <w:r w:rsidRPr="004E3B39">
        <w:rPr>
          <w:b/>
        </w:rPr>
        <w:t xml:space="preserve">COMMENTS OF TRANSERV INTERNATIONAL, INC. TO </w:t>
      </w:r>
    </w:p>
    <w:p w:rsidR="00F435CE" w:rsidRPr="004E3B39" w:rsidRDefault="00F435CE" w:rsidP="001B3ADD">
      <w:pPr>
        <w:spacing w:line="240" w:lineRule="auto"/>
        <w:jc w:val="center"/>
        <w:rPr>
          <w:b/>
        </w:rPr>
      </w:pPr>
      <w:r w:rsidRPr="004E3B39">
        <w:rPr>
          <w:b/>
        </w:rPr>
        <w:t>NOTICE OF PROPOSED RULEMAKING</w:t>
      </w:r>
    </w:p>
    <w:p w:rsidR="00F435CE" w:rsidRPr="004C50AF" w:rsidRDefault="00F435CE" w:rsidP="001B3ADD">
      <w:pPr>
        <w:numPr>
          <w:ilvl w:val="0"/>
          <w:numId w:val="3"/>
        </w:numPr>
        <w:tabs>
          <w:tab w:val="num" w:pos="2160"/>
        </w:tabs>
        <w:spacing w:after="0" w:line="240" w:lineRule="auto"/>
        <w:rPr>
          <w:u w:val="single"/>
        </w:rPr>
      </w:pPr>
      <w:r>
        <w:rPr>
          <w:u w:val="single"/>
        </w:rPr>
        <w:t xml:space="preserve"> </w:t>
      </w:r>
      <w:r w:rsidRPr="004C50AF">
        <w:rPr>
          <w:u w:val="single"/>
        </w:rPr>
        <w:t>Transmission Curtailments</w:t>
      </w:r>
    </w:p>
    <w:p w:rsidR="00F435CE" w:rsidRDefault="00F435CE" w:rsidP="00CB0F17">
      <w:pPr>
        <w:spacing w:line="240" w:lineRule="auto"/>
        <w:ind w:firstLine="720"/>
        <w:jc w:val="both"/>
      </w:pPr>
      <w:proofErr w:type="spellStart"/>
      <w:r w:rsidRPr="00D951EA">
        <w:rPr>
          <w:highlight w:val="green"/>
        </w:rPr>
        <w:t>TranServ</w:t>
      </w:r>
      <w:proofErr w:type="spellEnd"/>
      <w:r w:rsidRPr="00D951EA">
        <w:rPr>
          <w:highlight w:val="green"/>
        </w:rPr>
        <w:t xml:space="preserve"> believes the current OASIS posting requirements on curtailments are of sufficient detail to provide transmission customers with the pertinent information.  If specific additional information is needed by the customer, a request for a NAESB standard should be submitted for evaluation by the WEQ.</w:t>
      </w:r>
    </w:p>
  </w:comment>
  <w:comment w:id="10" w:author="Pritchard, Alan C" w:date="2018-02-02T13:56:00Z" w:initials="ACP">
    <w:p w:rsidR="00F435CE" w:rsidRDefault="00F435CE" w:rsidP="00DE079C">
      <w:pPr>
        <w:autoSpaceDE w:val="0"/>
        <w:autoSpaceDN w:val="0"/>
        <w:adjustRightInd w:val="0"/>
        <w:spacing w:after="0" w:line="240" w:lineRule="auto"/>
        <w:rPr>
          <w:rFonts w:ascii="Times New Roman" w:hAnsi="Times New Roman" w:cs="Times New Roman"/>
          <w:b/>
          <w:bCs/>
          <w:sz w:val="24"/>
          <w:szCs w:val="24"/>
        </w:rPr>
      </w:pPr>
      <w:r>
        <w:rPr>
          <w:rStyle w:val="CommentReference"/>
        </w:rPr>
        <w:annotationRef/>
      </w:r>
      <w:r>
        <w:rPr>
          <w:rFonts w:ascii="Times New Roman" w:hAnsi="Times New Roman" w:cs="Times New Roman"/>
          <w:b/>
          <w:bCs/>
          <w:sz w:val="24"/>
          <w:szCs w:val="24"/>
        </w:rPr>
        <w:t>COMMENTS OF NEVADA POWER COMPANY AND SIERRA PACIFIC POWER COMPANY TO THE COMMISSION’S NOTICE OF PROPOSED RULEMAKING</w:t>
      </w:r>
    </w:p>
    <w:p w:rsidR="00F435CE" w:rsidRDefault="00F435CE" w:rsidP="00DE079C">
      <w:r>
        <w:rPr>
          <w:rFonts w:ascii="Times New Roman" w:hAnsi="Times New Roman" w:cs="Times New Roman"/>
          <w:sz w:val="24"/>
          <w:szCs w:val="24"/>
        </w:rPr>
        <w:t>August 7, 2006</w:t>
      </w:r>
    </w:p>
    <w:p w:rsidR="00F435CE" w:rsidRDefault="00F435CE" w:rsidP="00DE079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8. Transmission Curtailments</w:t>
      </w:r>
    </w:p>
    <w:p w:rsidR="00F435CE" w:rsidRDefault="00F435CE" w:rsidP="00DE07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Commission seeks comment on whether additional requirements regarding</w:t>
      </w:r>
      <w:r w:rsidR="002107AB">
        <w:rPr>
          <w:rFonts w:ascii="Times New Roman" w:hAnsi="Times New Roman" w:cs="Times New Roman"/>
          <w:sz w:val="24"/>
          <w:szCs w:val="24"/>
        </w:rPr>
        <w:t xml:space="preserve"> </w:t>
      </w:r>
      <w:r>
        <w:rPr>
          <w:rFonts w:ascii="Times New Roman" w:hAnsi="Times New Roman" w:cs="Times New Roman"/>
          <w:sz w:val="24"/>
          <w:szCs w:val="24"/>
        </w:rPr>
        <w:t>the posting of transmission curtailment information on OASIS would improve the</w:t>
      </w:r>
      <w:r w:rsidR="002107AB">
        <w:rPr>
          <w:rFonts w:ascii="Times New Roman" w:hAnsi="Times New Roman" w:cs="Times New Roman"/>
          <w:sz w:val="24"/>
          <w:szCs w:val="24"/>
        </w:rPr>
        <w:t xml:space="preserve"> </w:t>
      </w:r>
      <w:r>
        <w:rPr>
          <w:rFonts w:ascii="Times New Roman" w:hAnsi="Times New Roman" w:cs="Times New Roman"/>
          <w:sz w:val="24"/>
          <w:szCs w:val="24"/>
        </w:rPr>
        <w:t>transparency of transmission curtailment information and the ability of customers to</w:t>
      </w:r>
      <w:r w:rsidR="002107AB">
        <w:rPr>
          <w:rFonts w:ascii="Times New Roman" w:hAnsi="Times New Roman" w:cs="Times New Roman"/>
          <w:sz w:val="24"/>
          <w:szCs w:val="24"/>
        </w:rPr>
        <w:t xml:space="preserve"> </w:t>
      </w:r>
      <w:r>
        <w:rPr>
          <w:rFonts w:ascii="Times New Roman" w:hAnsi="Times New Roman" w:cs="Times New Roman"/>
          <w:sz w:val="24"/>
          <w:szCs w:val="24"/>
        </w:rPr>
        <w:t>make use of that information.</w:t>
      </w:r>
    </w:p>
    <w:p w:rsidR="00F435CE" w:rsidRDefault="00F435CE" w:rsidP="00DE079C">
      <w:pPr>
        <w:autoSpaceDE w:val="0"/>
        <w:autoSpaceDN w:val="0"/>
        <w:adjustRightInd w:val="0"/>
        <w:spacing w:after="0" w:line="240" w:lineRule="auto"/>
        <w:rPr>
          <w:rFonts w:ascii="Times New Roman" w:hAnsi="Times New Roman" w:cs="Times New Roman"/>
          <w:sz w:val="24"/>
          <w:szCs w:val="24"/>
        </w:rPr>
      </w:pPr>
    </w:p>
    <w:p w:rsidR="00F435CE" w:rsidRDefault="00F435CE" w:rsidP="00DE07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Nevada Companies fully support cost effective actions and activities that</w:t>
      </w:r>
      <w:r w:rsidR="002107AB">
        <w:rPr>
          <w:rFonts w:ascii="Times New Roman" w:hAnsi="Times New Roman" w:cs="Times New Roman"/>
          <w:sz w:val="24"/>
          <w:szCs w:val="24"/>
        </w:rPr>
        <w:t xml:space="preserve"> </w:t>
      </w:r>
      <w:r>
        <w:rPr>
          <w:rFonts w:ascii="Times New Roman" w:hAnsi="Times New Roman" w:cs="Times New Roman"/>
          <w:sz w:val="24"/>
          <w:szCs w:val="24"/>
        </w:rPr>
        <w:t>improve the transparency of the transmission system and this includes, of course, the</w:t>
      </w:r>
      <w:r w:rsidR="002107AB">
        <w:rPr>
          <w:rFonts w:ascii="Times New Roman" w:hAnsi="Times New Roman" w:cs="Times New Roman"/>
          <w:sz w:val="24"/>
          <w:szCs w:val="24"/>
        </w:rPr>
        <w:t xml:space="preserve"> </w:t>
      </w:r>
      <w:r>
        <w:rPr>
          <w:rFonts w:ascii="Times New Roman" w:hAnsi="Times New Roman" w:cs="Times New Roman"/>
          <w:sz w:val="24"/>
          <w:szCs w:val="24"/>
        </w:rPr>
        <w:t xml:space="preserve">posting of transmission curtailment information on OASIS. </w:t>
      </w:r>
      <w:r w:rsidRPr="00D951EA">
        <w:rPr>
          <w:rFonts w:ascii="Times New Roman" w:hAnsi="Times New Roman" w:cs="Times New Roman"/>
          <w:sz w:val="24"/>
          <w:szCs w:val="24"/>
          <w:highlight w:val="green"/>
        </w:rPr>
        <w:t>Additional reporting</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requirements should not be necessary for curtailments, however, because the reasons for</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curtailments are varied and require varying degrees of urgency when curtailing.</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Transmission providers need to be able to curtail as needed for reliability reasons as</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expressed in the OASIS Business</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Practices.</w:t>
      </w:r>
    </w:p>
    <w:p w:rsidR="00F435CE" w:rsidRDefault="00F435CE" w:rsidP="00DE079C">
      <w:pPr>
        <w:autoSpaceDE w:val="0"/>
        <w:autoSpaceDN w:val="0"/>
        <w:adjustRightInd w:val="0"/>
        <w:spacing w:after="0" w:line="240" w:lineRule="auto"/>
        <w:rPr>
          <w:rFonts w:ascii="Times New Roman" w:hAnsi="Times New Roman" w:cs="Times New Roman"/>
          <w:sz w:val="24"/>
          <w:szCs w:val="24"/>
        </w:rPr>
      </w:pPr>
    </w:p>
    <w:p w:rsidR="00F435CE" w:rsidRDefault="00F435CE" w:rsidP="00DE079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Also, because there is a fine line between transparency for the use of transmission</w:t>
      </w:r>
      <w:r w:rsidR="002107AB">
        <w:rPr>
          <w:rFonts w:ascii="Times New Roman" w:hAnsi="Times New Roman" w:cs="Times New Roman"/>
          <w:sz w:val="24"/>
          <w:szCs w:val="24"/>
        </w:rPr>
        <w:t xml:space="preserve"> </w:t>
      </w:r>
      <w:r>
        <w:rPr>
          <w:rFonts w:ascii="Times New Roman" w:hAnsi="Times New Roman" w:cs="Times New Roman"/>
          <w:sz w:val="24"/>
          <w:szCs w:val="24"/>
        </w:rPr>
        <w:t>customers and transmission customer confidentiality, additional detailed information on</w:t>
      </w:r>
      <w:r w:rsidR="002107AB">
        <w:rPr>
          <w:rFonts w:ascii="Times New Roman" w:hAnsi="Times New Roman" w:cs="Times New Roman"/>
          <w:sz w:val="24"/>
          <w:szCs w:val="24"/>
        </w:rPr>
        <w:t xml:space="preserve"> </w:t>
      </w:r>
      <w:r>
        <w:rPr>
          <w:rFonts w:ascii="Times New Roman" w:hAnsi="Times New Roman" w:cs="Times New Roman"/>
          <w:sz w:val="24"/>
          <w:szCs w:val="24"/>
        </w:rPr>
        <w:t xml:space="preserve">curtailments would seem to run counter to the confidentiality issues. </w:t>
      </w:r>
      <w:r w:rsidRPr="00D951EA">
        <w:rPr>
          <w:rFonts w:ascii="Times New Roman" w:hAnsi="Times New Roman" w:cs="Times New Roman"/>
          <w:sz w:val="24"/>
          <w:szCs w:val="24"/>
          <w:highlight w:val="green"/>
        </w:rPr>
        <w:t>As we have</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mentioned elsewhere, we would simply request that if the Commission does, in the end,</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mandate additional reporting requirements, the Commission be very explicit about what it</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is mandating in order to remove the burden of potential confidentiality problems from the</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reporting entity.</w:t>
      </w:r>
    </w:p>
    <w:p w:rsidR="00F435CE" w:rsidRDefault="00F435CE" w:rsidP="00DE079C">
      <w:pPr>
        <w:autoSpaceDE w:val="0"/>
        <w:autoSpaceDN w:val="0"/>
        <w:adjustRightInd w:val="0"/>
        <w:spacing w:after="0" w:line="240" w:lineRule="auto"/>
        <w:rPr>
          <w:rFonts w:ascii="Times New Roman" w:hAnsi="Times New Roman" w:cs="Times New Roman"/>
          <w:sz w:val="24"/>
          <w:szCs w:val="24"/>
        </w:rPr>
      </w:pPr>
    </w:p>
    <w:p w:rsidR="00F435CE" w:rsidRDefault="00F435CE" w:rsidP="001B3ADD">
      <w:pPr>
        <w:autoSpaceDE w:val="0"/>
        <w:autoSpaceDN w:val="0"/>
        <w:adjustRightInd w:val="0"/>
        <w:spacing w:after="0" w:line="240" w:lineRule="auto"/>
      </w:pPr>
      <w:r>
        <w:rPr>
          <w:rFonts w:ascii="Times New Roman" w:hAnsi="Times New Roman" w:cs="Times New Roman"/>
          <w:sz w:val="24"/>
          <w:szCs w:val="24"/>
        </w:rPr>
        <w:t>While we have no specific suggestions as to additional posting requirements, we</w:t>
      </w:r>
      <w:r w:rsidR="002107AB">
        <w:rPr>
          <w:rFonts w:ascii="Times New Roman" w:hAnsi="Times New Roman" w:cs="Times New Roman"/>
          <w:sz w:val="24"/>
          <w:szCs w:val="24"/>
        </w:rPr>
        <w:t xml:space="preserve"> </w:t>
      </w:r>
      <w:r>
        <w:rPr>
          <w:rFonts w:ascii="Times New Roman" w:hAnsi="Times New Roman" w:cs="Times New Roman"/>
          <w:sz w:val="24"/>
          <w:szCs w:val="24"/>
        </w:rPr>
        <w:t>would also point out that we have no objection to transmission providers being held</w:t>
      </w:r>
      <w:r w:rsidR="002107AB">
        <w:rPr>
          <w:rFonts w:ascii="Times New Roman" w:hAnsi="Times New Roman" w:cs="Times New Roman"/>
          <w:sz w:val="24"/>
          <w:szCs w:val="24"/>
        </w:rPr>
        <w:t xml:space="preserve"> </w:t>
      </w:r>
      <w:r>
        <w:rPr>
          <w:rFonts w:ascii="Times New Roman" w:hAnsi="Times New Roman" w:cs="Times New Roman"/>
          <w:sz w:val="24"/>
          <w:szCs w:val="24"/>
        </w:rPr>
        <w:t>accountable for the accuracy and timeliness of those postings. We also have no objection</w:t>
      </w:r>
      <w:r w:rsidR="002107AB">
        <w:rPr>
          <w:rFonts w:ascii="Times New Roman" w:hAnsi="Times New Roman" w:cs="Times New Roman"/>
          <w:sz w:val="24"/>
          <w:szCs w:val="24"/>
        </w:rPr>
        <w:t xml:space="preserve"> </w:t>
      </w:r>
      <w:r>
        <w:rPr>
          <w:rFonts w:ascii="Times New Roman" w:hAnsi="Times New Roman" w:cs="Times New Roman"/>
          <w:sz w:val="24"/>
          <w:szCs w:val="24"/>
        </w:rPr>
        <w:t>to keeping a record of those postings to later verify their accuracy. Within the constraints</w:t>
      </w:r>
      <w:r w:rsidR="002107AB">
        <w:rPr>
          <w:rFonts w:ascii="Times New Roman" w:hAnsi="Times New Roman" w:cs="Times New Roman"/>
          <w:sz w:val="24"/>
          <w:szCs w:val="24"/>
        </w:rPr>
        <w:t xml:space="preserve"> </w:t>
      </w:r>
      <w:r>
        <w:rPr>
          <w:rFonts w:ascii="Times New Roman" w:hAnsi="Times New Roman" w:cs="Times New Roman"/>
          <w:sz w:val="24"/>
          <w:szCs w:val="24"/>
        </w:rPr>
        <w:t>of reasonableness and cost effectiveness, the Nevada Companies do not oppose additional</w:t>
      </w:r>
      <w:r w:rsidR="002107AB">
        <w:rPr>
          <w:rFonts w:ascii="Times New Roman" w:hAnsi="Times New Roman" w:cs="Times New Roman"/>
          <w:sz w:val="24"/>
          <w:szCs w:val="24"/>
        </w:rPr>
        <w:t xml:space="preserve"> </w:t>
      </w:r>
      <w:r>
        <w:rPr>
          <w:rFonts w:ascii="Times New Roman" w:hAnsi="Times New Roman" w:cs="Times New Roman"/>
          <w:sz w:val="24"/>
          <w:szCs w:val="24"/>
        </w:rPr>
        <w:t>requirements designed to</w:t>
      </w:r>
      <w:r w:rsidR="002107AB">
        <w:rPr>
          <w:rFonts w:ascii="Times New Roman" w:hAnsi="Times New Roman" w:cs="Times New Roman"/>
          <w:sz w:val="24"/>
          <w:szCs w:val="24"/>
        </w:rPr>
        <w:t xml:space="preserve"> </w:t>
      </w:r>
      <w:r>
        <w:rPr>
          <w:rFonts w:ascii="Times New Roman" w:hAnsi="Times New Roman" w:cs="Times New Roman"/>
          <w:sz w:val="24"/>
          <w:szCs w:val="24"/>
        </w:rPr>
        <w:t>improve the transparency of the system.</w:t>
      </w:r>
    </w:p>
    <w:p w:rsidR="00F435CE" w:rsidRDefault="00F435CE">
      <w:pPr>
        <w:pStyle w:val="CommentText"/>
      </w:pPr>
    </w:p>
  </w:comment>
  <w:comment w:id="11" w:author="Pritchard, Alan C" w:date="2018-02-02T13:57:00Z" w:initials="ACP">
    <w:p w:rsidR="00F435CE" w:rsidRDefault="00F435CE" w:rsidP="00DE079C">
      <w:pPr>
        <w:autoSpaceDE w:val="0"/>
        <w:autoSpaceDN w:val="0"/>
        <w:adjustRightInd w:val="0"/>
        <w:spacing w:after="0" w:line="240" w:lineRule="auto"/>
        <w:rPr>
          <w:rFonts w:ascii="Arial" w:hAnsi="Arial" w:cs="Arial"/>
          <w:b/>
          <w:bCs/>
          <w:color w:val="000000"/>
          <w:sz w:val="28"/>
          <w:szCs w:val="28"/>
        </w:rPr>
      </w:pPr>
      <w:r>
        <w:rPr>
          <w:rStyle w:val="CommentReference"/>
        </w:rPr>
        <w:annotationRef/>
      </w:r>
      <w:r>
        <w:rPr>
          <w:rFonts w:ascii="Arial" w:hAnsi="Arial" w:cs="Arial"/>
          <w:b/>
          <w:bCs/>
          <w:color w:val="000000"/>
          <w:sz w:val="28"/>
          <w:szCs w:val="28"/>
        </w:rPr>
        <w:t>INITIAL COMMENTS OF POWEREX CORP.</w:t>
      </w:r>
    </w:p>
    <w:p w:rsidR="00F435CE" w:rsidRDefault="00F435CE" w:rsidP="00DE079C">
      <w:pPr>
        <w:rPr>
          <w:rFonts w:ascii="Arial" w:hAnsi="Arial" w:cs="Arial"/>
          <w:color w:val="000000"/>
          <w:sz w:val="24"/>
          <w:szCs w:val="24"/>
        </w:rPr>
      </w:pPr>
      <w:r>
        <w:rPr>
          <w:rFonts w:ascii="Arial" w:hAnsi="Arial" w:cs="Arial"/>
          <w:color w:val="000000"/>
          <w:sz w:val="24"/>
          <w:szCs w:val="24"/>
        </w:rPr>
        <w:t>August 7, 2006</w:t>
      </w:r>
    </w:p>
    <w:p w:rsidR="00F435CE" w:rsidRDefault="00F435CE" w:rsidP="00DE079C">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H. Curtailments</w:t>
      </w:r>
    </w:p>
    <w:p w:rsidR="00F435CE" w:rsidRDefault="00F435CE" w:rsidP="00DE079C">
      <w:pPr>
        <w:autoSpaceDE w:val="0"/>
        <w:autoSpaceDN w:val="0"/>
        <w:adjustRightInd w:val="0"/>
        <w:spacing w:after="0" w:line="240" w:lineRule="auto"/>
        <w:rPr>
          <w:rFonts w:ascii="Arial" w:hAnsi="Arial" w:cs="Arial"/>
          <w:sz w:val="24"/>
          <w:szCs w:val="24"/>
        </w:rPr>
      </w:pPr>
      <w:r>
        <w:rPr>
          <w:rFonts w:ascii="Arial" w:hAnsi="Arial" w:cs="Arial"/>
          <w:sz w:val="24"/>
          <w:szCs w:val="24"/>
        </w:rPr>
        <w:t>The Commission emphasized in the NOPR that transmission curtailment</w:t>
      </w:r>
      <w:r w:rsidR="002107AB">
        <w:rPr>
          <w:rFonts w:ascii="Arial" w:hAnsi="Arial" w:cs="Arial"/>
          <w:sz w:val="24"/>
          <w:szCs w:val="24"/>
        </w:rPr>
        <w:t xml:space="preserve"> </w:t>
      </w:r>
      <w:r>
        <w:rPr>
          <w:rFonts w:ascii="Arial" w:hAnsi="Arial" w:cs="Arial"/>
          <w:sz w:val="24"/>
          <w:szCs w:val="24"/>
        </w:rPr>
        <w:t>information is required by regulation to be posted on OASIS. NOPR at PP 441-42.</w:t>
      </w:r>
      <w:r w:rsidR="002107AB">
        <w:rPr>
          <w:rFonts w:ascii="Arial" w:hAnsi="Arial" w:cs="Arial"/>
          <w:sz w:val="24"/>
          <w:szCs w:val="24"/>
        </w:rPr>
        <w:t xml:space="preserve"> </w:t>
      </w:r>
      <w:r>
        <w:rPr>
          <w:rFonts w:ascii="Arial" w:hAnsi="Arial" w:cs="Arial"/>
          <w:sz w:val="24"/>
          <w:szCs w:val="24"/>
        </w:rPr>
        <w:t>However, the Commission declined to propose generic penalties for improper</w:t>
      </w:r>
      <w:r w:rsidR="002107AB">
        <w:rPr>
          <w:rFonts w:ascii="Arial" w:hAnsi="Arial" w:cs="Arial"/>
          <w:sz w:val="24"/>
          <w:szCs w:val="24"/>
        </w:rPr>
        <w:t xml:space="preserve"> </w:t>
      </w:r>
      <w:r>
        <w:rPr>
          <w:rFonts w:ascii="Arial" w:hAnsi="Arial" w:cs="Arial"/>
          <w:sz w:val="24"/>
          <w:szCs w:val="24"/>
        </w:rPr>
        <w:t>transmission curtailments in the present rulemaking.</w:t>
      </w:r>
    </w:p>
    <w:p w:rsidR="00F435CE" w:rsidRDefault="00F435CE" w:rsidP="00DE079C">
      <w:pPr>
        <w:autoSpaceDE w:val="0"/>
        <w:autoSpaceDN w:val="0"/>
        <w:adjustRightInd w:val="0"/>
        <w:spacing w:after="0" w:line="240" w:lineRule="auto"/>
        <w:rPr>
          <w:rFonts w:ascii="Arial" w:hAnsi="Arial" w:cs="Arial"/>
          <w:sz w:val="24"/>
          <w:szCs w:val="24"/>
        </w:rPr>
      </w:pPr>
    </w:p>
    <w:p w:rsidR="00F435CE" w:rsidRPr="00D951EA" w:rsidRDefault="00F435CE" w:rsidP="00DE079C">
      <w:pPr>
        <w:autoSpaceDE w:val="0"/>
        <w:autoSpaceDN w:val="0"/>
        <w:adjustRightInd w:val="0"/>
        <w:spacing w:after="0" w:line="240" w:lineRule="auto"/>
        <w:rPr>
          <w:rFonts w:ascii="Arial" w:hAnsi="Arial" w:cs="Arial"/>
          <w:sz w:val="24"/>
          <w:szCs w:val="24"/>
          <w:highlight w:val="green"/>
        </w:rPr>
      </w:pPr>
      <w:r w:rsidRPr="00C3788C">
        <w:rPr>
          <w:rFonts w:ascii="Arial" w:hAnsi="Arial" w:cs="Arial"/>
          <w:sz w:val="24"/>
          <w:szCs w:val="24"/>
        </w:rPr>
        <w:t xml:space="preserve">In </w:t>
      </w:r>
      <w:proofErr w:type="spellStart"/>
      <w:r w:rsidRPr="00C3788C">
        <w:rPr>
          <w:rFonts w:ascii="Arial" w:hAnsi="Arial" w:cs="Arial"/>
          <w:sz w:val="24"/>
          <w:szCs w:val="24"/>
        </w:rPr>
        <w:t>Powerex's</w:t>
      </w:r>
      <w:proofErr w:type="spellEnd"/>
      <w:r w:rsidRPr="00C3788C">
        <w:rPr>
          <w:rFonts w:ascii="Arial" w:hAnsi="Arial" w:cs="Arial"/>
          <w:sz w:val="24"/>
          <w:szCs w:val="24"/>
        </w:rPr>
        <w:t xml:space="preserve"> experience, inconsistent communication and implementation of</w:t>
      </w:r>
      <w:r w:rsidR="002107AB" w:rsidRPr="00C3788C">
        <w:rPr>
          <w:rFonts w:ascii="Arial" w:hAnsi="Arial" w:cs="Arial"/>
          <w:sz w:val="24"/>
          <w:szCs w:val="24"/>
        </w:rPr>
        <w:t xml:space="preserve"> </w:t>
      </w:r>
      <w:r w:rsidRPr="00C3788C">
        <w:rPr>
          <w:rFonts w:ascii="Arial" w:hAnsi="Arial" w:cs="Arial"/>
          <w:sz w:val="24"/>
          <w:szCs w:val="24"/>
        </w:rPr>
        <w:t>curtailment procedures, along with the use of discretionary and arbitrary curtailment</w:t>
      </w:r>
      <w:r w:rsidR="002107AB" w:rsidRPr="00C3788C">
        <w:rPr>
          <w:rFonts w:ascii="Arial" w:hAnsi="Arial" w:cs="Arial"/>
          <w:sz w:val="24"/>
          <w:szCs w:val="24"/>
        </w:rPr>
        <w:t xml:space="preserve"> </w:t>
      </w:r>
      <w:r w:rsidRPr="00C3788C">
        <w:rPr>
          <w:rFonts w:ascii="Arial" w:hAnsi="Arial" w:cs="Arial"/>
          <w:sz w:val="24"/>
          <w:szCs w:val="24"/>
        </w:rPr>
        <w:t>procedures in some circumstances and a lack of incentives to curtail only to the extent</w:t>
      </w:r>
      <w:r w:rsidR="002107AB" w:rsidRPr="00C3788C">
        <w:rPr>
          <w:rFonts w:ascii="Arial" w:hAnsi="Arial" w:cs="Arial"/>
          <w:sz w:val="24"/>
          <w:szCs w:val="24"/>
        </w:rPr>
        <w:t xml:space="preserve"> </w:t>
      </w:r>
      <w:r w:rsidRPr="00C3788C">
        <w:rPr>
          <w:rFonts w:ascii="Arial" w:hAnsi="Arial" w:cs="Arial"/>
          <w:sz w:val="24"/>
          <w:szCs w:val="24"/>
        </w:rPr>
        <w:t xml:space="preserve">necessary, present significant concerns. </w:t>
      </w:r>
      <w:proofErr w:type="spellStart"/>
      <w:r w:rsidRPr="00C3788C">
        <w:rPr>
          <w:rFonts w:ascii="Arial" w:hAnsi="Arial" w:cs="Arial"/>
          <w:sz w:val="24"/>
          <w:szCs w:val="24"/>
        </w:rPr>
        <w:t>Powerex</w:t>
      </w:r>
      <w:proofErr w:type="spellEnd"/>
      <w:r w:rsidR="002107AB" w:rsidRPr="00C3788C">
        <w:rPr>
          <w:rFonts w:ascii="Arial" w:hAnsi="Arial" w:cs="Arial"/>
          <w:sz w:val="24"/>
          <w:szCs w:val="24"/>
        </w:rPr>
        <w:t xml:space="preserve"> </w:t>
      </w:r>
      <w:r w:rsidRPr="00C3788C">
        <w:rPr>
          <w:rFonts w:ascii="Arial" w:hAnsi="Arial" w:cs="Arial"/>
          <w:sz w:val="24"/>
          <w:szCs w:val="24"/>
        </w:rPr>
        <w:t>accordingly supports the</w:t>
      </w:r>
      <w:r w:rsidR="002107AB" w:rsidRPr="00C3788C">
        <w:rPr>
          <w:rFonts w:ascii="Arial" w:hAnsi="Arial" w:cs="Arial"/>
          <w:sz w:val="24"/>
          <w:szCs w:val="24"/>
        </w:rPr>
        <w:t xml:space="preserve"> </w:t>
      </w:r>
      <w:r w:rsidRPr="00C3788C">
        <w:rPr>
          <w:rFonts w:ascii="Arial" w:hAnsi="Arial" w:cs="Arial"/>
          <w:sz w:val="24"/>
          <w:szCs w:val="24"/>
        </w:rPr>
        <w:t xml:space="preserve">Commission's proposals, but believes additional steps are necessary. </w:t>
      </w:r>
      <w:r w:rsidRPr="00D951EA">
        <w:rPr>
          <w:rFonts w:ascii="Arial" w:hAnsi="Arial" w:cs="Arial"/>
          <w:sz w:val="24"/>
          <w:szCs w:val="24"/>
          <w:highlight w:val="green"/>
        </w:rPr>
        <w:t>In particular,</w:t>
      </w:r>
      <w:r w:rsidR="002107AB" w:rsidRPr="00D951EA">
        <w:rPr>
          <w:rFonts w:ascii="Arial" w:hAnsi="Arial" w:cs="Arial"/>
          <w:sz w:val="24"/>
          <w:szCs w:val="24"/>
          <w:highlight w:val="green"/>
        </w:rPr>
        <w:t xml:space="preserve"> </w:t>
      </w:r>
      <w:proofErr w:type="spellStart"/>
      <w:r w:rsidRPr="00D951EA">
        <w:rPr>
          <w:rFonts w:ascii="Arial" w:hAnsi="Arial" w:cs="Arial"/>
          <w:sz w:val="24"/>
          <w:szCs w:val="24"/>
          <w:highlight w:val="green"/>
        </w:rPr>
        <w:t>Powerex</w:t>
      </w:r>
      <w:proofErr w:type="spellEnd"/>
      <w:r w:rsidRPr="00D951EA">
        <w:rPr>
          <w:rFonts w:ascii="Arial" w:hAnsi="Arial" w:cs="Arial"/>
          <w:sz w:val="24"/>
          <w:szCs w:val="24"/>
          <w:highlight w:val="green"/>
        </w:rPr>
        <w:t xml:space="preserve"> recommends three additional measures, as</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described below.</w:t>
      </w:r>
    </w:p>
    <w:p w:rsidR="00F435CE" w:rsidRPr="00D951EA" w:rsidRDefault="00F435CE" w:rsidP="00DE079C">
      <w:pPr>
        <w:autoSpaceDE w:val="0"/>
        <w:autoSpaceDN w:val="0"/>
        <w:adjustRightInd w:val="0"/>
        <w:spacing w:after="0" w:line="240" w:lineRule="auto"/>
        <w:rPr>
          <w:rFonts w:ascii="Arial" w:hAnsi="Arial" w:cs="Arial"/>
          <w:sz w:val="24"/>
          <w:szCs w:val="24"/>
          <w:highlight w:val="green"/>
        </w:rPr>
      </w:pPr>
    </w:p>
    <w:p w:rsidR="00F435CE" w:rsidRPr="00D951EA" w:rsidRDefault="00F435CE" w:rsidP="00DE079C">
      <w:pPr>
        <w:autoSpaceDE w:val="0"/>
        <w:autoSpaceDN w:val="0"/>
        <w:adjustRightInd w:val="0"/>
        <w:spacing w:after="0" w:line="240" w:lineRule="auto"/>
        <w:rPr>
          <w:rFonts w:ascii="Arial" w:hAnsi="Arial" w:cs="Arial"/>
          <w:sz w:val="24"/>
          <w:szCs w:val="24"/>
          <w:highlight w:val="green"/>
        </w:rPr>
      </w:pPr>
      <w:r w:rsidRPr="00D951EA">
        <w:rPr>
          <w:rFonts w:ascii="Arial" w:hAnsi="Arial" w:cs="Arial"/>
          <w:sz w:val="24"/>
          <w:szCs w:val="24"/>
          <w:highlight w:val="green"/>
          <w:u w:val="single"/>
        </w:rPr>
        <w:t>Early Notice of Curtailment.</w:t>
      </w:r>
      <w:r w:rsidRPr="00D951EA">
        <w:rPr>
          <w:rFonts w:ascii="Arial" w:hAnsi="Arial" w:cs="Arial"/>
          <w:sz w:val="24"/>
          <w:szCs w:val="24"/>
          <w:highlight w:val="green"/>
        </w:rPr>
        <w:t xml:space="preserve"> </w:t>
      </w:r>
      <w:proofErr w:type="spellStart"/>
      <w:r w:rsidRPr="00D951EA">
        <w:rPr>
          <w:rFonts w:ascii="Arial" w:hAnsi="Arial" w:cs="Arial"/>
          <w:sz w:val="24"/>
          <w:szCs w:val="24"/>
          <w:highlight w:val="green"/>
        </w:rPr>
        <w:t>Powerex</w:t>
      </w:r>
      <w:proofErr w:type="spellEnd"/>
      <w:r w:rsidRPr="00D951EA">
        <w:rPr>
          <w:rFonts w:ascii="Arial" w:hAnsi="Arial" w:cs="Arial"/>
          <w:sz w:val="24"/>
          <w:szCs w:val="24"/>
          <w:highlight w:val="green"/>
        </w:rPr>
        <w:t xml:space="preserve"> recommends that the Commission take</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further steps to assure that all transmission providers appropriately inform transmission</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customers of curtailments and recall of transmission service via their</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OASIS sites. On</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most current OASIS sites, there is a "recall" transmission type that could be, and in</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some cases is, utilized to communicate the need to curtail transmission. Such a</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centralized method of informing customers of curtailments would be far more preferable</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to the diverse methods transmission providers currently use.</w:t>
      </w:r>
    </w:p>
    <w:p w:rsidR="00F435CE" w:rsidRPr="00D951EA" w:rsidRDefault="00F435CE" w:rsidP="00DE079C">
      <w:pPr>
        <w:autoSpaceDE w:val="0"/>
        <w:autoSpaceDN w:val="0"/>
        <w:adjustRightInd w:val="0"/>
        <w:spacing w:after="0" w:line="240" w:lineRule="auto"/>
        <w:rPr>
          <w:rFonts w:ascii="Arial" w:hAnsi="Arial" w:cs="Arial"/>
          <w:sz w:val="24"/>
          <w:szCs w:val="24"/>
          <w:highlight w:val="green"/>
        </w:rPr>
      </w:pPr>
    </w:p>
    <w:p w:rsidR="00F435CE" w:rsidRPr="00D951EA" w:rsidRDefault="00F435CE" w:rsidP="00DE079C">
      <w:pPr>
        <w:autoSpaceDE w:val="0"/>
        <w:autoSpaceDN w:val="0"/>
        <w:adjustRightInd w:val="0"/>
        <w:spacing w:after="0" w:line="240" w:lineRule="auto"/>
        <w:rPr>
          <w:rFonts w:ascii="Arial" w:hAnsi="Arial" w:cs="Arial"/>
          <w:sz w:val="24"/>
          <w:szCs w:val="24"/>
          <w:highlight w:val="green"/>
        </w:rPr>
      </w:pPr>
      <w:r w:rsidRPr="00D951EA">
        <w:rPr>
          <w:rFonts w:ascii="Arial" w:hAnsi="Arial" w:cs="Arial"/>
          <w:sz w:val="24"/>
          <w:szCs w:val="24"/>
          <w:highlight w:val="green"/>
        </w:rPr>
        <w:t>At present, transmission providers communicate curtailments to customers via</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numerous methods, including: emails,</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telephone calls, or faxes from providers, or</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simply a posting about the curtailments via a link on the provider's website. Use of such</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inconsistent methods creates confusion for customers and fails to provide customers</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with a consistent and uniform way of obtaining information on curtailments. By utilizing</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the "recall" function on their OASIS sites,</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transmission providers could standardize the</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provision of curtailment information in a centralized location that is easily and uniformly</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accessible to customers. Providing the curtailment information in such a consistent</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fashion would eliminate much of the confusion and uncertainty currently faced by</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customers.</w:t>
      </w:r>
    </w:p>
    <w:p w:rsidR="00F435CE" w:rsidRPr="00D951EA" w:rsidRDefault="00F435CE" w:rsidP="00DE079C">
      <w:pPr>
        <w:autoSpaceDE w:val="0"/>
        <w:autoSpaceDN w:val="0"/>
        <w:adjustRightInd w:val="0"/>
        <w:spacing w:after="0" w:line="240" w:lineRule="auto"/>
        <w:rPr>
          <w:rFonts w:ascii="Arial" w:hAnsi="Arial" w:cs="Arial"/>
          <w:sz w:val="24"/>
          <w:szCs w:val="24"/>
          <w:highlight w:val="green"/>
        </w:rPr>
      </w:pPr>
    </w:p>
    <w:p w:rsidR="00F435CE" w:rsidRPr="00D951EA" w:rsidRDefault="00F435CE" w:rsidP="00DE079C">
      <w:pPr>
        <w:autoSpaceDE w:val="0"/>
        <w:autoSpaceDN w:val="0"/>
        <w:adjustRightInd w:val="0"/>
        <w:spacing w:after="0" w:line="240" w:lineRule="auto"/>
        <w:rPr>
          <w:rFonts w:ascii="Arial" w:hAnsi="Arial" w:cs="Arial"/>
          <w:sz w:val="24"/>
          <w:szCs w:val="24"/>
          <w:highlight w:val="green"/>
        </w:rPr>
      </w:pPr>
      <w:r w:rsidRPr="00D951EA">
        <w:rPr>
          <w:rFonts w:ascii="Arial" w:hAnsi="Arial" w:cs="Arial"/>
          <w:sz w:val="24"/>
          <w:szCs w:val="24"/>
          <w:highlight w:val="green"/>
          <w:u w:val="single"/>
        </w:rPr>
        <w:t>Credits for Curtailed Service.</w:t>
      </w:r>
      <w:r w:rsidRPr="00D951EA">
        <w:rPr>
          <w:rFonts w:ascii="Arial" w:hAnsi="Arial" w:cs="Arial"/>
          <w:sz w:val="24"/>
          <w:szCs w:val="24"/>
          <w:highlight w:val="green"/>
        </w:rPr>
        <w:t xml:space="preserve"> In addition, </w:t>
      </w:r>
      <w:proofErr w:type="spellStart"/>
      <w:r w:rsidRPr="00D951EA">
        <w:rPr>
          <w:rFonts w:ascii="Arial" w:hAnsi="Arial" w:cs="Arial"/>
          <w:sz w:val="24"/>
          <w:szCs w:val="24"/>
          <w:highlight w:val="green"/>
        </w:rPr>
        <w:t>Powerex</w:t>
      </w:r>
      <w:proofErr w:type="spellEnd"/>
      <w:r w:rsidRPr="00D951EA">
        <w:rPr>
          <w:rFonts w:ascii="Arial" w:hAnsi="Arial" w:cs="Arial"/>
          <w:sz w:val="24"/>
          <w:szCs w:val="24"/>
          <w:highlight w:val="green"/>
        </w:rPr>
        <w:t xml:space="preserve"> supports the addition of an</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OATT requirement for transmission providers to credit customers when their non-firm</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PTP transmission service is interrupted. Crediting eliminates the incentive transmission</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providers currently have to sell non-firm service to collect revenues even though the</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providers are aware that customers will not receive the requested non-firm service due</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to a planned outage unknown to the customers. In addition, non-firm customers should</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not be required to place a schedule for non-firm PTP service in order to qualify for a</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credit when it is readily apparent that the non-firm service schedule will not be granted</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due to the outage. Having to place a non-firm schedule in this situation increases</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administrative burdens on both the transmission provider and customer and serves no</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useful purpose if there is no doubt that the schedule will be denied.</w:t>
      </w:r>
    </w:p>
    <w:p w:rsidR="00F435CE" w:rsidRPr="00D951EA" w:rsidRDefault="00F435CE" w:rsidP="00DE079C">
      <w:pPr>
        <w:autoSpaceDE w:val="0"/>
        <w:autoSpaceDN w:val="0"/>
        <w:adjustRightInd w:val="0"/>
        <w:spacing w:after="0" w:line="240" w:lineRule="auto"/>
        <w:rPr>
          <w:rFonts w:ascii="Arial" w:hAnsi="Arial" w:cs="Arial"/>
          <w:i/>
          <w:iCs/>
          <w:sz w:val="24"/>
          <w:szCs w:val="24"/>
          <w:highlight w:val="green"/>
        </w:rPr>
      </w:pPr>
    </w:p>
    <w:p w:rsidR="00F435CE" w:rsidRDefault="00F435CE" w:rsidP="00DE079C">
      <w:pPr>
        <w:autoSpaceDE w:val="0"/>
        <w:autoSpaceDN w:val="0"/>
        <w:adjustRightInd w:val="0"/>
        <w:spacing w:after="0" w:line="240" w:lineRule="auto"/>
        <w:rPr>
          <w:rFonts w:ascii="Arial" w:hAnsi="Arial" w:cs="Arial"/>
          <w:sz w:val="16"/>
          <w:szCs w:val="16"/>
        </w:rPr>
      </w:pPr>
      <w:r w:rsidRPr="00D951EA">
        <w:rPr>
          <w:rFonts w:ascii="Arial" w:hAnsi="Arial" w:cs="Arial"/>
          <w:i/>
          <w:iCs/>
          <w:sz w:val="24"/>
          <w:szCs w:val="24"/>
          <w:highlight w:val="green"/>
          <w:u w:val="single"/>
        </w:rPr>
        <w:t xml:space="preserve">Pro Rata </w:t>
      </w:r>
      <w:r w:rsidRPr="00D951EA">
        <w:rPr>
          <w:rFonts w:ascii="Arial" w:hAnsi="Arial" w:cs="Arial"/>
          <w:sz w:val="24"/>
          <w:szCs w:val="24"/>
          <w:highlight w:val="green"/>
          <w:u w:val="single"/>
        </w:rPr>
        <w:t>Curtailment Based on Reservation Rather than Schedule.</w:t>
      </w:r>
      <w:r w:rsidRPr="00D951EA">
        <w:rPr>
          <w:rFonts w:ascii="Arial" w:hAnsi="Arial" w:cs="Arial"/>
          <w:sz w:val="24"/>
          <w:szCs w:val="24"/>
          <w:highlight w:val="green"/>
        </w:rPr>
        <w:t xml:space="preserve"> To remove</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the variation that exists in the manner in which transmission providers implement the</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 xml:space="preserve">Commission's </w:t>
      </w:r>
      <w:r w:rsidRPr="00D951EA">
        <w:rPr>
          <w:rFonts w:ascii="Arial" w:hAnsi="Arial" w:cs="Arial"/>
          <w:i/>
          <w:iCs/>
          <w:sz w:val="24"/>
          <w:szCs w:val="24"/>
          <w:highlight w:val="green"/>
        </w:rPr>
        <w:t xml:space="preserve">pro rata </w:t>
      </w:r>
      <w:r w:rsidRPr="00D951EA">
        <w:rPr>
          <w:rFonts w:ascii="Arial" w:hAnsi="Arial" w:cs="Arial"/>
          <w:sz w:val="24"/>
          <w:szCs w:val="24"/>
          <w:highlight w:val="green"/>
        </w:rPr>
        <w:t xml:space="preserve">curtailment policy, </w:t>
      </w:r>
      <w:proofErr w:type="spellStart"/>
      <w:r w:rsidRPr="00D951EA">
        <w:rPr>
          <w:rFonts w:ascii="Arial" w:hAnsi="Arial" w:cs="Arial"/>
          <w:sz w:val="24"/>
          <w:szCs w:val="24"/>
          <w:highlight w:val="green"/>
        </w:rPr>
        <w:t>Powerex</w:t>
      </w:r>
      <w:proofErr w:type="spellEnd"/>
      <w:r w:rsidRPr="00D951EA">
        <w:rPr>
          <w:rFonts w:ascii="Arial" w:hAnsi="Arial" w:cs="Arial"/>
          <w:sz w:val="24"/>
          <w:szCs w:val="24"/>
          <w:highlight w:val="green"/>
        </w:rPr>
        <w:t xml:space="preserve"> recommends the </w:t>
      </w:r>
      <w:r w:rsidRPr="00D951EA">
        <w:rPr>
          <w:rFonts w:ascii="Arial" w:hAnsi="Arial" w:cs="Arial"/>
          <w:i/>
          <w:iCs/>
          <w:sz w:val="24"/>
          <w:szCs w:val="24"/>
          <w:highlight w:val="green"/>
        </w:rPr>
        <w:t xml:space="preserve">pro forma </w:t>
      </w:r>
      <w:r w:rsidRPr="00D951EA">
        <w:rPr>
          <w:rFonts w:ascii="Arial" w:hAnsi="Arial" w:cs="Arial"/>
          <w:sz w:val="24"/>
          <w:szCs w:val="24"/>
          <w:highlight w:val="green"/>
        </w:rPr>
        <w:t>tariff be</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 xml:space="preserve">modified so that </w:t>
      </w:r>
      <w:r w:rsidRPr="00D951EA">
        <w:rPr>
          <w:rFonts w:ascii="Arial" w:hAnsi="Arial" w:cs="Arial"/>
          <w:i/>
          <w:iCs/>
          <w:sz w:val="24"/>
          <w:szCs w:val="24"/>
          <w:highlight w:val="green"/>
        </w:rPr>
        <w:t xml:space="preserve">pro rata </w:t>
      </w:r>
      <w:r w:rsidRPr="00D951EA">
        <w:rPr>
          <w:rFonts w:ascii="Arial" w:hAnsi="Arial" w:cs="Arial"/>
          <w:sz w:val="24"/>
          <w:szCs w:val="24"/>
          <w:highlight w:val="green"/>
        </w:rPr>
        <w:t>curtailments made prior to the energy scheduling and tagging</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deadline (</w:t>
      </w:r>
      <w:r w:rsidRPr="00D951EA">
        <w:rPr>
          <w:rFonts w:ascii="Arial" w:hAnsi="Arial" w:cs="Arial"/>
          <w:i/>
          <w:iCs/>
          <w:sz w:val="24"/>
          <w:szCs w:val="24"/>
          <w:highlight w:val="green"/>
        </w:rPr>
        <w:t>e.g.</w:t>
      </w:r>
      <w:r w:rsidRPr="00D951EA">
        <w:rPr>
          <w:rFonts w:ascii="Arial" w:hAnsi="Arial" w:cs="Arial"/>
          <w:sz w:val="24"/>
          <w:szCs w:val="24"/>
          <w:highlight w:val="green"/>
        </w:rPr>
        <w:t>, 20 minutes before the operating hour) are based on customers' capacity</w:t>
      </w:r>
      <w:r w:rsidR="002107AB" w:rsidRPr="00D951EA">
        <w:rPr>
          <w:rFonts w:ascii="Arial" w:hAnsi="Arial" w:cs="Arial"/>
          <w:sz w:val="24"/>
          <w:szCs w:val="24"/>
          <w:highlight w:val="green"/>
        </w:rPr>
        <w:t xml:space="preserve"> </w:t>
      </w:r>
      <w:r w:rsidRPr="00D951EA">
        <w:rPr>
          <w:rFonts w:ascii="Arial" w:hAnsi="Arial" w:cs="Arial"/>
          <w:sz w:val="24"/>
          <w:szCs w:val="24"/>
          <w:highlight w:val="green"/>
        </w:rPr>
        <w:t>rights (</w:t>
      </w:r>
      <w:r w:rsidRPr="00D951EA">
        <w:rPr>
          <w:rFonts w:ascii="Arial" w:hAnsi="Arial" w:cs="Arial"/>
          <w:i/>
          <w:iCs/>
          <w:sz w:val="24"/>
          <w:szCs w:val="24"/>
          <w:highlight w:val="green"/>
        </w:rPr>
        <w:t>i.e.</w:t>
      </w:r>
      <w:r w:rsidRPr="00D951EA">
        <w:rPr>
          <w:rFonts w:ascii="Arial" w:hAnsi="Arial" w:cs="Arial"/>
          <w:sz w:val="24"/>
          <w:szCs w:val="24"/>
          <w:highlight w:val="green"/>
        </w:rPr>
        <w:t>, Reserved Capacity).</w:t>
      </w:r>
      <w:r w:rsidRPr="00D951EA">
        <w:rPr>
          <w:rFonts w:ascii="Arial" w:hAnsi="Arial" w:cs="Arial"/>
          <w:b/>
          <w:szCs w:val="16"/>
          <w:highlight w:val="green"/>
          <w:vertAlign w:val="superscript"/>
        </w:rPr>
        <w:t>9</w:t>
      </w:r>
    </w:p>
    <w:p w:rsidR="00F435CE" w:rsidRDefault="00F435CE" w:rsidP="00DE079C">
      <w:pPr>
        <w:autoSpaceDE w:val="0"/>
        <w:autoSpaceDN w:val="0"/>
        <w:adjustRightInd w:val="0"/>
        <w:spacing w:after="0" w:line="240" w:lineRule="auto"/>
        <w:rPr>
          <w:rFonts w:ascii="Arial" w:hAnsi="Arial" w:cs="Arial"/>
          <w:sz w:val="24"/>
          <w:szCs w:val="24"/>
        </w:rPr>
      </w:pPr>
    </w:p>
    <w:p w:rsidR="00F435CE" w:rsidRDefault="00F435CE" w:rsidP="00DE079C">
      <w:pPr>
        <w:autoSpaceDE w:val="0"/>
        <w:autoSpaceDN w:val="0"/>
        <w:adjustRightInd w:val="0"/>
        <w:spacing w:after="0" w:line="240" w:lineRule="auto"/>
        <w:rPr>
          <w:rFonts w:ascii="Arial" w:hAnsi="Arial" w:cs="Arial"/>
          <w:i/>
          <w:iCs/>
          <w:sz w:val="24"/>
          <w:szCs w:val="24"/>
        </w:rPr>
      </w:pPr>
      <w:r>
        <w:rPr>
          <w:rFonts w:ascii="Arial" w:hAnsi="Arial" w:cs="Arial"/>
          <w:sz w:val="24"/>
          <w:szCs w:val="24"/>
        </w:rPr>
        <w:t xml:space="preserve">Specifically, </w:t>
      </w:r>
      <w:proofErr w:type="spellStart"/>
      <w:r>
        <w:rPr>
          <w:rFonts w:ascii="Arial" w:hAnsi="Arial" w:cs="Arial"/>
          <w:sz w:val="24"/>
          <w:szCs w:val="24"/>
        </w:rPr>
        <w:t>Powerex</w:t>
      </w:r>
      <w:proofErr w:type="spellEnd"/>
      <w:r>
        <w:rPr>
          <w:rFonts w:ascii="Arial" w:hAnsi="Arial" w:cs="Arial"/>
          <w:sz w:val="24"/>
          <w:szCs w:val="24"/>
        </w:rPr>
        <w:t xml:space="preserve"> proposes a two-stage process to support an equitable and</w:t>
      </w:r>
      <w:r w:rsidR="002107AB">
        <w:rPr>
          <w:rFonts w:ascii="Arial" w:hAnsi="Arial" w:cs="Arial"/>
          <w:sz w:val="24"/>
          <w:szCs w:val="24"/>
        </w:rPr>
        <w:t xml:space="preserve"> </w:t>
      </w:r>
      <w:r>
        <w:rPr>
          <w:rFonts w:ascii="Arial" w:hAnsi="Arial" w:cs="Arial"/>
          <w:sz w:val="24"/>
          <w:szCs w:val="24"/>
        </w:rPr>
        <w:t>economically efficient curtailment procedure in the time prior to the energy scheduling</w:t>
      </w:r>
      <w:r w:rsidR="002107AB">
        <w:rPr>
          <w:rFonts w:ascii="Arial" w:hAnsi="Arial" w:cs="Arial"/>
          <w:sz w:val="24"/>
          <w:szCs w:val="24"/>
        </w:rPr>
        <w:t xml:space="preserve"> </w:t>
      </w:r>
      <w:r>
        <w:rPr>
          <w:rFonts w:ascii="Arial" w:hAnsi="Arial" w:cs="Arial"/>
          <w:sz w:val="24"/>
          <w:szCs w:val="24"/>
        </w:rPr>
        <w:t xml:space="preserve">deadline. First, transmission should be cut on a </w:t>
      </w:r>
      <w:r>
        <w:rPr>
          <w:rFonts w:ascii="Arial" w:hAnsi="Arial" w:cs="Arial"/>
          <w:i/>
          <w:iCs/>
          <w:sz w:val="24"/>
          <w:szCs w:val="24"/>
        </w:rPr>
        <w:t xml:space="preserve">pro rata </w:t>
      </w:r>
      <w:r>
        <w:rPr>
          <w:rFonts w:ascii="Arial" w:hAnsi="Arial" w:cs="Arial"/>
          <w:sz w:val="24"/>
          <w:szCs w:val="24"/>
        </w:rPr>
        <w:t>basis based on reservation</w:t>
      </w:r>
      <w:r w:rsidR="002107AB">
        <w:rPr>
          <w:rFonts w:ascii="Arial" w:hAnsi="Arial" w:cs="Arial"/>
          <w:sz w:val="24"/>
          <w:szCs w:val="24"/>
        </w:rPr>
        <w:t xml:space="preserve"> </w:t>
      </w:r>
      <w:r>
        <w:rPr>
          <w:rFonts w:ascii="Arial" w:hAnsi="Arial" w:cs="Arial"/>
          <w:sz w:val="24"/>
          <w:szCs w:val="24"/>
        </w:rPr>
        <w:t>capacity. Second, the transmission provider should compare individual schedules to</w:t>
      </w:r>
      <w:r w:rsidR="002107AB">
        <w:rPr>
          <w:rFonts w:ascii="Arial" w:hAnsi="Arial" w:cs="Arial"/>
          <w:sz w:val="24"/>
          <w:szCs w:val="24"/>
        </w:rPr>
        <w:t xml:space="preserve"> </w:t>
      </w:r>
      <w:r>
        <w:rPr>
          <w:rFonts w:ascii="Arial" w:hAnsi="Arial" w:cs="Arial"/>
          <w:sz w:val="24"/>
          <w:szCs w:val="24"/>
        </w:rPr>
        <w:t>reduced/curtailed rights. If scheduled quantities fall within a</w:t>
      </w:r>
      <w:r w:rsidR="002107AB">
        <w:rPr>
          <w:rFonts w:ascii="Arial" w:hAnsi="Arial" w:cs="Arial"/>
          <w:sz w:val="24"/>
          <w:szCs w:val="24"/>
        </w:rPr>
        <w:t xml:space="preserve"> </w:t>
      </w:r>
      <w:r>
        <w:rPr>
          <w:rFonts w:ascii="Arial" w:hAnsi="Arial" w:cs="Arial"/>
          <w:sz w:val="24"/>
          <w:szCs w:val="24"/>
        </w:rPr>
        <w:t>customer's reduced rights</w:t>
      </w:r>
      <w:r w:rsidR="002107AB">
        <w:rPr>
          <w:rFonts w:ascii="Arial" w:hAnsi="Arial" w:cs="Arial"/>
          <w:sz w:val="24"/>
          <w:szCs w:val="24"/>
        </w:rPr>
        <w:t xml:space="preserve"> </w:t>
      </w:r>
      <w:r>
        <w:rPr>
          <w:rFonts w:ascii="Arial" w:hAnsi="Arial" w:cs="Arial"/>
          <w:sz w:val="24"/>
          <w:szCs w:val="24"/>
        </w:rPr>
        <w:t>(for example, if a customer with</w:t>
      </w:r>
      <w:r w:rsidR="002107AB">
        <w:rPr>
          <w:rFonts w:ascii="Arial" w:hAnsi="Arial" w:cs="Arial"/>
          <w:sz w:val="24"/>
          <w:szCs w:val="24"/>
        </w:rPr>
        <w:t xml:space="preserve"> </w:t>
      </w:r>
      <w:r>
        <w:rPr>
          <w:rFonts w:ascii="Arial" w:hAnsi="Arial" w:cs="Arial"/>
          <w:sz w:val="24"/>
          <w:szCs w:val="24"/>
        </w:rPr>
        <w:t xml:space="preserve">100 MW reserved, but subject to a 30 percent </w:t>
      </w:r>
      <w:r>
        <w:rPr>
          <w:rFonts w:ascii="Arial" w:hAnsi="Arial" w:cs="Arial"/>
          <w:i/>
          <w:iCs/>
          <w:sz w:val="24"/>
          <w:szCs w:val="24"/>
        </w:rPr>
        <w:t>pro rata</w:t>
      </w:r>
      <w:r w:rsidR="002107AB">
        <w:rPr>
          <w:rFonts w:ascii="Arial" w:hAnsi="Arial" w:cs="Arial"/>
          <w:i/>
          <w:iCs/>
          <w:sz w:val="24"/>
          <w:szCs w:val="24"/>
        </w:rPr>
        <w:t xml:space="preserve"> </w:t>
      </w:r>
      <w:r>
        <w:rPr>
          <w:rFonts w:ascii="Arial" w:hAnsi="Arial" w:cs="Arial"/>
          <w:sz w:val="24"/>
          <w:szCs w:val="24"/>
        </w:rPr>
        <w:t>curtailment, has scheduled only 50 MW), that schedule should flow uncut. After</w:t>
      </w:r>
      <w:r w:rsidR="002107AB">
        <w:rPr>
          <w:rFonts w:ascii="Arial" w:hAnsi="Arial" w:cs="Arial"/>
          <w:sz w:val="24"/>
          <w:szCs w:val="24"/>
        </w:rPr>
        <w:t xml:space="preserve"> </w:t>
      </w:r>
      <w:r>
        <w:rPr>
          <w:rFonts w:ascii="Arial" w:hAnsi="Arial" w:cs="Arial"/>
          <w:sz w:val="24"/>
          <w:szCs w:val="24"/>
        </w:rPr>
        <w:t xml:space="preserve">calculating the total capacity scheduled following the application of the </w:t>
      </w:r>
      <w:r>
        <w:rPr>
          <w:rFonts w:ascii="Arial" w:hAnsi="Arial" w:cs="Arial"/>
          <w:i/>
          <w:iCs/>
          <w:sz w:val="24"/>
          <w:szCs w:val="24"/>
        </w:rPr>
        <w:t>pro rata</w:t>
      </w:r>
    </w:p>
    <w:p w:rsidR="00F435CE" w:rsidRDefault="00F435CE" w:rsidP="00DE079C">
      <w:pPr>
        <w:autoSpaceDE w:val="0"/>
        <w:autoSpaceDN w:val="0"/>
        <w:adjustRightInd w:val="0"/>
        <w:spacing w:after="0" w:line="240" w:lineRule="auto"/>
        <w:rPr>
          <w:rFonts w:ascii="Arial" w:hAnsi="Arial" w:cs="Arial"/>
          <w:sz w:val="24"/>
          <w:szCs w:val="24"/>
        </w:rPr>
      </w:pPr>
      <w:r>
        <w:rPr>
          <w:rFonts w:ascii="Arial" w:hAnsi="Arial" w:cs="Arial"/>
          <w:sz w:val="24"/>
          <w:szCs w:val="24"/>
        </w:rPr>
        <w:t>curtailment, if excess transmission exists it should be</w:t>
      </w:r>
      <w:r w:rsidR="002107AB">
        <w:rPr>
          <w:rFonts w:ascii="Arial" w:hAnsi="Arial" w:cs="Arial"/>
          <w:sz w:val="24"/>
          <w:szCs w:val="24"/>
        </w:rPr>
        <w:t xml:space="preserve"> </w:t>
      </w:r>
      <w:r>
        <w:rPr>
          <w:rFonts w:ascii="Arial" w:hAnsi="Arial" w:cs="Arial"/>
          <w:sz w:val="24"/>
          <w:szCs w:val="24"/>
        </w:rPr>
        <w:t xml:space="preserve">allocated back on a </w:t>
      </w:r>
      <w:r>
        <w:rPr>
          <w:rFonts w:ascii="Arial" w:hAnsi="Arial" w:cs="Arial"/>
          <w:i/>
          <w:iCs/>
          <w:sz w:val="24"/>
          <w:szCs w:val="24"/>
        </w:rPr>
        <w:t xml:space="preserve">pro rata </w:t>
      </w:r>
      <w:r>
        <w:rPr>
          <w:rFonts w:ascii="Arial" w:hAnsi="Arial" w:cs="Arial"/>
          <w:sz w:val="24"/>
          <w:szCs w:val="24"/>
        </w:rPr>
        <w:t>basis</w:t>
      </w:r>
      <w:r w:rsidR="002107AB">
        <w:rPr>
          <w:rFonts w:ascii="Arial" w:hAnsi="Arial" w:cs="Arial"/>
          <w:sz w:val="24"/>
          <w:szCs w:val="24"/>
        </w:rPr>
        <w:t xml:space="preserve"> </w:t>
      </w:r>
      <w:r>
        <w:rPr>
          <w:rFonts w:ascii="Arial" w:hAnsi="Arial" w:cs="Arial"/>
          <w:sz w:val="24"/>
          <w:szCs w:val="24"/>
        </w:rPr>
        <w:t>to transmission customers whose schedules were cut. For example:</w:t>
      </w:r>
    </w:p>
    <w:p w:rsidR="00F435CE" w:rsidRDefault="00F435CE" w:rsidP="00DE079C">
      <w:pPr>
        <w:autoSpaceDE w:val="0"/>
        <w:autoSpaceDN w:val="0"/>
        <w:adjustRightInd w:val="0"/>
        <w:spacing w:after="0" w:line="240" w:lineRule="auto"/>
        <w:ind w:left="720"/>
        <w:rPr>
          <w:rFonts w:ascii="Arial" w:hAnsi="Arial" w:cs="Arial"/>
          <w:sz w:val="24"/>
          <w:szCs w:val="24"/>
        </w:rPr>
      </w:pPr>
    </w:p>
    <w:p w:rsidR="00F435CE" w:rsidRDefault="00F435CE" w:rsidP="00DE079C">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Transmission customers A, B and C each have 100 MW reservations.</w:t>
      </w:r>
      <w:r w:rsidR="002107AB">
        <w:rPr>
          <w:rFonts w:ascii="Arial" w:hAnsi="Arial" w:cs="Arial"/>
          <w:sz w:val="24"/>
          <w:szCs w:val="24"/>
        </w:rPr>
        <w:t xml:space="preserve"> </w:t>
      </w:r>
      <w:r>
        <w:rPr>
          <w:rFonts w:ascii="Arial" w:hAnsi="Arial" w:cs="Arial"/>
          <w:sz w:val="24"/>
          <w:szCs w:val="24"/>
        </w:rPr>
        <w:t>A schedules 50 MW; B and C each schedule 75 MW.</w:t>
      </w:r>
    </w:p>
    <w:p w:rsidR="00F435CE" w:rsidRDefault="00F435CE" w:rsidP="00DE079C">
      <w:pPr>
        <w:autoSpaceDE w:val="0"/>
        <w:autoSpaceDN w:val="0"/>
        <w:adjustRightInd w:val="0"/>
        <w:spacing w:after="0" w:line="240" w:lineRule="auto"/>
        <w:ind w:left="720"/>
        <w:rPr>
          <w:rFonts w:ascii="Arial" w:hAnsi="Arial" w:cs="Arial"/>
          <w:sz w:val="24"/>
          <w:szCs w:val="24"/>
        </w:rPr>
      </w:pPr>
    </w:p>
    <w:p w:rsidR="00F435CE" w:rsidRDefault="00F435CE" w:rsidP="00DE079C">
      <w:pPr>
        <w:autoSpaceDE w:val="0"/>
        <w:autoSpaceDN w:val="0"/>
        <w:adjustRightInd w:val="0"/>
        <w:spacing w:after="0" w:line="240" w:lineRule="auto"/>
        <w:ind w:left="720"/>
        <w:rPr>
          <w:rFonts w:ascii="Arial" w:hAnsi="Arial" w:cs="Arial"/>
          <w:sz w:val="24"/>
          <w:szCs w:val="24"/>
        </w:rPr>
      </w:pPr>
      <w:r w:rsidRPr="006A5EA8">
        <w:rPr>
          <w:rFonts w:ascii="Arial" w:hAnsi="Arial" w:cs="Arial"/>
          <w:sz w:val="24"/>
          <w:szCs w:val="24"/>
          <w:u w:val="single"/>
        </w:rPr>
        <w:t>Scenario One:</w:t>
      </w:r>
      <w:r>
        <w:rPr>
          <w:rFonts w:ascii="Arial" w:hAnsi="Arial" w:cs="Arial"/>
          <w:sz w:val="24"/>
          <w:szCs w:val="24"/>
        </w:rPr>
        <w:t xml:space="preserve"> Transmission constraint reduces available capacity to</w:t>
      </w:r>
      <w:r w:rsidR="002107AB">
        <w:rPr>
          <w:rFonts w:ascii="Arial" w:hAnsi="Arial" w:cs="Arial"/>
          <w:sz w:val="24"/>
          <w:szCs w:val="24"/>
        </w:rPr>
        <w:t xml:space="preserve"> </w:t>
      </w:r>
      <w:r>
        <w:rPr>
          <w:rFonts w:ascii="Arial" w:hAnsi="Arial" w:cs="Arial"/>
          <w:sz w:val="24"/>
          <w:szCs w:val="24"/>
        </w:rPr>
        <w:t>150 MW. All three transmission customers are pro rata curtailed to 50</w:t>
      </w:r>
      <w:r w:rsidR="002107AB">
        <w:rPr>
          <w:rFonts w:ascii="Arial" w:hAnsi="Arial" w:cs="Arial"/>
          <w:sz w:val="24"/>
          <w:szCs w:val="24"/>
        </w:rPr>
        <w:t xml:space="preserve"> </w:t>
      </w:r>
      <w:proofErr w:type="spellStart"/>
      <w:r>
        <w:rPr>
          <w:rFonts w:ascii="Arial" w:hAnsi="Arial" w:cs="Arial"/>
          <w:sz w:val="24"/>
          <w:szCs w:val="24"/>
        </w:rPr>
        <w:t>MW.Customer</w:t>
      </w:r>
      <w:proofErr w:type="spellEnd"/>
      <w:r>
        <w:rPr>
          <w:rFonts w:ascii="Arial" w:hAnsi="Arial" w:cs="Arial"/>
          <w:sz w:val="24"/>
          <w:szCs w:val="24"/>
        </w:rPr>
        <w:t xml:space="preserve"> A's schedule flows uncut; B and C's schedules are</w:t>
      </w:r>
    </w:p>
    <w:p w:rsidR="00F435CE" w:rsidRDefault="00F435CE" w:rsidP="00DE079C">
      <w:pPr>
        <w:autoSpaceDE w:val="0"/>
        <w:autoSpaceDN w:val="0"/>
        <w:adjustRightInd w:val="0"/>
        <w:spacing w:after="0" w:line="240" w:lineRule="auto"/>
        <w:ind w:left="720"/>
        <w:rPr>
          <w:rFonts w:ascii="Arial" w:hAnsi="Arial" w:cs="Arial"/>
          <w:sz w:val="24"/>
          <w:szCs w:val="24"/>
        </w:rPr>
      </w:pPr>
      <w:r>
        <w:rPr>
          <w:rFonts w:ascii="Arial" w:hAnsi="Arial" w:cs="Arial"/>
          <w:sz w:val="24"/>
          <w:szCs w:val="24"/>
        </w:rPr>
        <w:t>reduced to 50 MW each.</w:t>
      </w:r>
    </w:p>
    <w:p w:rsidR="00F435CE" w:rsidRDefault="00F435CE" w:rsidP="00DE079C">
      <w:pPr>
        <w:autoSpaceDE w:val="0"/>
        <w:autoSpaceDN w:val="0"/>
        <w:adjustRightInd w:val="0"/>
        <w:spacing w:after="0" w:line="240" w:lineRule="auto"/>
        <w:ind w:left="720"/>
        <w:rPr>
          <w:rFonts w:ascii="Arial" w:hAnsi="Arial" w:cs="Arial"/>
          <w:sz w:val="24"/>
          <w:szCs w:val="24"/>
        </w:rPr>
      </w:pPr>
    </w:p>
    <w:p w:rsidR="00F435CE" w:rsidRDefault="00F435CE" w:rsidP="00DE079C">
      <w:pPr>
        <w:autoSpaceDE w:val="0"/>
        <w:autoSpaceDN w:val="0"/>
        <w:adjustRightInd w:val="0"/>
        <w:spacing w:after="0" w:line="240" w:lineRule="auto"/>
        <w:ind w:left="720"/>
        <w:rPr>
          <w:rFonts w:ascii="Arial" w:hAnsi="Arial" w:cs="Arial"/>
          <w:sz w:val="24"/>
          <w:szCs w:val="24"/>
        </w:rPr>
      </w:pPr>
      <w:r w:rsidRPr="006A5EA8">
        <w:rPr>
          <w:rFonts w:ascii="Arial" w:hAnsi="Arial" w:cs="Arial"/>
          <w:sz w:val="24"/>
          <w:szCs w:val="24"/>
          <w:u w:val="single"/>
        </w:rPr>
        <w:t>Scenario Two:</w:t>
      </w:r>
      <w:r>
        <w:rPr>
          <w:rFonts w:ascii="Arial" w:hAnsi="Arial" w:cs="Arial"/>
          <w:sz w:val="24"/>
          <w:szCs w:val="24"/>
        </w:rPr>
        <w:t xml:space="preserve"> Transmission constraint reduces available capacity to</w:t>
      </w:r>
      <w:r w:rsidR="002107AB">
        <w:rPr>
          <w:rFonts w:ascii="Arial" w:hAnsi="Arial" w:cs="Arial"/>
          <w:sz w:val="24"/>
          <w:szCs w:val="24"/>
        </w:rPr>
        <w:t xml:space="preserve"> </w:t>
      </w:r>
      <w:r>
        <w:rPr>
          <w:rFonts w:ascii="Arial" w:hAnsi="Arial" w:cs="Arial"/>
          <w:sz w:val="24"/>
          <w:szCs w:val="24"/>
        </w:rPr>
        <w:t xml:space="preserve">180 </w:t>
      </w:r>
      <w:proofErr w:type="spellStart"/>
      <w:r>
        <w:rPr>
          <w:rFonts w:ascii="Arial" w:hAnsi="Arial" w:cs="Arial"/>
          <w:sz w:val="24"/>
          <w:szCs w:val="24"/>
        </w:rPr>
        <w:t>MW.All</w:t>
      </w:r>
      <w:proofErr w:type="spellEnd"/>
      <w:r>
        <w:rPr>
          <w:rFonts w:ascii="Arial" w:hAnsi="Arial" w:cs="Arial"/>
          <w:sz w:val="24"/>
          <w:szCs w:val="24"/>
        </w:rPr>
        <w:t xml:space="preserve"> three transmission customers are pro rata curtailed to 60</w:t>
      </w:r>
      <w:r w:rsidR="002107AB">
        <w:rPr>
          <w:rFonts w:ascii="Arial" w:hAnsi="Arial" w:cs="Arial"/>
          <w:sz w:val="24"/>
          <w:szCs w:val="24"/>
        </w:rPr>
        <w:t xml:space="preserve"> </w:t>
      </w:r>
      <w:r>
        <w:rPr>
          <w:rFonts w:ascii="Arial" w:hAnsi="Arial" w:cs="Arial"/>
          <w:sz w:val="24"/>
          <w:szCs w:val="24"/>
        </w:rPr>
        <w:t>MW. Customer A's schedule of 50 MW flows uncut. Customer B and C</w:t>
      </w:r>
      <w:r w:rsidR="002107AB">
        <w:rPr>
          <w:rFonts w:ascii="Arial" w:hAnsi="Arial" w:cs="Arial"/>
          <w:sz w:val="24"/>
          <w:szCs w:val="24"/>
        </w:rPr>
        <w:t xml:space="preserve"> </w:t>
      </w:r>
      <w:r>
        <w:rPr>
          <w:rFonts w:ascii="Arial" w:hAnsi="Arial" w:cs="Arial"/>
          <w:sz w:val="24"/>
          <w:szCs w:val="24"/>
        </w:rPr>
        <w:t>must reduce their schedules to 60 MW, but A's unscheduled 10 MW is</w:t>
      </w:r>
      <w:r w:rsidR="002107AB">
        <w:rPr>
          <w:rFonts w:ascii="Arial" w:hAnsi="Arial" w:cs="Arial"/>
          <w:sz w:val="24"/>
          <w:szCs w:val="24"/>
        </w:rPr>
        <w:t xml:space="preserve"> </w:t>
      </w:r>
      <w:r>
        <w:rPr>
          <w:rFonts w:ascii="Arial" w:hAnsi="Arial" w:cs="Arial"/>
          <w:sz w:val="24"/>
          <w:szCs w:val="24"/>
        </w:rPr>
        <w:t>reallocated to B and C. Customers B and C flow schedules of 65 MW.</w:t>
      </w:r>
    </w:p>
    <w:p w:rsidR="00F435CE" w:rsidRDefault="00F435CE" w:rsidP="00DE079C">
      <w:pPr>
        <w:autoSpaceDE w:val="0"/>
        <w:autoSpaceDN w:val="0"/>
        <w:adjustRightInd w:val="0"/>
        <w:spacing w:after="0" w:line="240" w:lineRule="auto"/>
        <w:ind w:left="720"/>
        <w:rPr>
          <w:rFonts w:ascii="Arial" w:hAnsi="Arial" w:cs="Arial"/>
          <w:sz w:val="24"/>
          <w:szCs w:val="24"/>
        </w:rPr>
      </w:pPr>
    </w:p>
    <w:p w:rsidR="00F435CE" w:rsidRDefault="00F435CE" w:rsidP="00DE079C">
      <w:pPr>
        <w:autoSpaceDE w:val="0"/>
        <w:autoSpaceDN w:val="0"/>
        <w:adjustRightInd w:val="0"/>
        <w:spacing w:after="0" w:line="240" w:lineRule="auto"/>
        <w:rPr>
          <w:rFonts w:ascii="Arial" w:hAnsi="Arial" w:cs="Arial"/>
          <w:sz w:val="24"/>
          <w:szCs w:val="24"/>
        </w:rPr>
      </w:pPr>
      <w:r>
        <w:rPr>
          <w:rFonts w:ascii="Arial" w:hAnsi="Arial" w:cs="Arial"/>
          <w:sz w:val="24"/>
          <w:szCs w:val="24"/>
        </w:rPr>
        <w:t>Under Scenario Two, above, the unscheduled 10 MW of Customer A is</w:t>
      </w:r>
      <w:r w:rsidR="002107AB">
        <w:rPr>
          <w:rFonts w:ascii="Arial" w:hAnsi="Arial" w:cs="Arial"/>
          <w:sz w:val="24"/>
          <w:szCs w:val="24"/>
        </w:rPr>
        <w:t xml:space="preserve"> </w:t>
      </w:r>
      <w:r>
        <w:rPr>
          <w:rFonts w:ascii="Arial" w:hAnsi="Arial" w:cs="Arial"/>
          <w:sz w:val="24"/>
          <w:szCs w:val="24"/>
        </w:rPr>
        <w:t>reallocated to Customers B and C resulting in full utilization of available capacity, while</w:t>
      </w:r>
      <w:r w:rsidR="002107AB">
        <w:rPr>
          <w:rFonts w:ascii="Arial" w:hAnsi="Arial" w:cs="Arial"/>
          <w:sz w:val="24"/>
          <w:szCs w:val="24"/>
        </w:rPr>
        <w:t xml:space="preserve"> </w:t>
      </w:r>
      <w:r>
        <w:rPr>
          <w:rFonts w:ascii="Arial" w:hAnsi="Arial" w:cs="Arial"/>
          <w:sz w:val="24"/>
          <w:szCs w:val="24"/>
        </w:rPr>
        <w:t>at the same time, preserving the reserved capacity rights of all customers. Hence, such</w:t>
      </w:r>
      <w:r w:rsidR="002107AB">
        <w:rPr>
          <w:rFonts w:ascii="Arial" w:hAnsi="Arial" w:cs="Arial"/>
          <w:sz w:val="24"/>
          <w:szCs w:val="24"/>
        </w:rPr>
        <w:t xml:space="preserve"> </w:t>
      </w:r>
      <w:r>
        <w:rPr>
          <w:rFonts w:ascii="Arial" w:hAnsi="Arial" w:cs="Arial"/>
          <w:sz w:val="24"/>
          <w:szCs w:val="24"/>
        </w:rPr>
        <w:t>a structure most fairly allocates curtailments</w:t>
      </w:r>
      <w:r w:rsidR="002107AB">
        <w:rPr>
          <w:rFonts w:ascii="Arial" w:hAnsi="Arial" w:cs="Arial"/>
          <w:sz w:val="24"/>
          <w:szCs w:val="24"/>
        </w:rPr>
        <w:t xml:space="preserve"> </w:t>
      </w:r>
      <w:r>
        <w:rPr>
          <w:rFonts w:ascii="Arial" w:hAnsi="Arial" w:cs="Arial"/>
          <w:sz w:val="24"/>
          <w:szCs w:val="24"/>
        </w:rPr>
        <w:t>based upon rights to use capacity, keeps</w:t>
      </w:r>
      <w:r w:rsidR="002107AB">
        <w:rPr>
          <w:rFonts w:ascii="Arial" w:hAnsi="Arial" w:cs="Arial"/>
          <w:sz w:val="24"/>
          <w:szCs w:val="24"/>
        </w:rPr>
        <w:t xml:space="preserve"> </w:t>
      </w:r>
      <w:r>
        <w:rPr>
          <w:rFonts w:ascii="Arial" w:hAnsi="Arial" w:cs="Arial"/>
          <w:sz w:val="24"/>
          <w:szCs w:val="24"/>
        </w:rPr>
        <w:t>the transmission system as fully utilized as possible, and at the same time does not</w:t>
      </w:r>
      <w:r w:rsidR="002107AB">
        <w:rPr>
          <w:rFonts w:ascii="Arial" w:hAnsi="Arial" w:cs="Arial"/>
          <w:sz w:val="24"/>
          <w:szCs w:val="24"/>
        </w:rPr>
        <w:t xml:space="preserve"> </w:t>
      </w:r>
      <w:r>
        <w:rPr>
          <w:rFonts w:ascii="Arial" w:hAnsi="Arial" w:cs="Arial"/>
          <w:sz w:val="24"/>
          <w:szCs w:val="24"/>
        </w:rPr>
        <w:t>provide incentives for existing transmission customers to wait until schedules are due, in</w:t>
      </w:r>
      <w:r w:rsidR="002107AB">
        <w:rPr>
          <w:rFonts w:ascii="Arial" w:hAnsi="Arial" w:cs="Arial"/>
          <w:sz w:val="24"/>
          <w:szCs w:val="24"/>
        </w:rPr>
        <w:t xml:space="preserve"> </w:t>
      </w:r>
      <w:r>
        <w:rPr>
          <w:rFonts w:ascii="Arial" w:hAnsi="Arial" w:cs="Arial"/>
          <w:sz w:val="24"/>
          <w:szCs w:val="24"/>
        </w:rPr>
        <w:t>the hope of avoiding curtailment in the pre-schedule period.</w:t>
      </w:r>
    </w:p>
    <w:p w:rsidR="00F435CE" w:rsidRDefault="00F435CE" w:rsidP="00DE079C">
      <w:pPr>
        <w:autoSpaceDE w:val="0"/>
        <w:autoSpaceDN w:val="0"/>
        <w:adjustRightInd w:val="0"/>
        <w:spacing w:after="0" w:line="240" w:lineRule="auto"/>
        <w:rPr>
          <w:rFonts w:ascii="Arial" w:hAnsi="Arial" w:cs="Arial"/>
          <w:sz w:val="24"/>
          <w:szCs w:val="24"/>
        </w:rPr>
      </w:pPr>
    </w:p>
    <w:p w:rsidR="00F435CE" w:rsidRDefault="00F435CE" w:rsidP="00C3788C">
      <w:pPr>
        <w:autoSpaceDE w:val="0"/>
        <w:autoSpaceDN w:val="0"/>
        <w:adjustRightInd w:val="0"/>
        <w:spacing w:after="0" w:line="240" w:lineRule="auto"/>
        <w:rPr>
          <w:rFonts w:ascii="Arial" w:hAnsi="Arial" w:cs="Arial"/>
          <w:sz w:val="24"/>
          <w:szCs w:val="24"/>
        </w:rPr>
      </w:pPr>
      <w:r>
        <w:rPr>
          <w:rFonts w:ascii="Arial" w:hAnsi="Arial" w:cs="Arial"/>
          <w:sz w:val="24"/>
          <w:szCs w:val="24"/>
        </w:rPr>
        <w:t>At the time Order No. 888 was issued, transmission</w:t>
      </w:r>
      <w:r w:rsidR="002107AB">
        <w:rPr>
          <w:rFonts w:ascii="Arial" w:hAnsi="Arial" w:cs="Arial"/>
          <w:sz w:val="24"/>
          <w:szCs w:val="24"/>
        </w:rPr>
        <w:t xml:space="preserve"> </w:t>
      </w:r>
      <w:r>
        <w:rPr>
          <w:rFonts w:ascii="Arial" w:hAnsi="Arial" w:cs="Arial"/>
          <w:sz w:val="24"/>
          <w:szCs w:val="24"/>
        </w:rPr>
        <w:t>curtailment implementation</w:t>
      </w:r>
      <w:r w:rsidR="002107AB">
        <w:rPr>
          <w:rFonts w:ascii="Arial" w:hAnsi="Arial" w:cs="Arial"/>
          <w:sz w:val="24"/>
          <w:szCs w:val="24"/>
        </w:rPr>
        <w:t xml:space="preserve"> </w:t>
      </w:r>
      <w:r>
        <w:rPr>
          <w:rFonts w:ascii="Arial" w:hAnsi="Arial" w:cs="Arial"/>
          <w:sz w:val="24"/>
          <w:szCs w:val="24"/>
        </w:rPr>
        <w:t>procedures were left in large part to transmission provider discretion, and transparency</w:t>
      </w:r>
      <w:r w:rsidR="002107AB">
        <w:rPr>
          <w:rFonts w:ascii="Arial" w:hAnsi="Arial" w:cs="Arial"/>
          <w:sz w:val="24"/>
          <w:szCs w:val="24"/>
        </w:rPr>
        <w:t xml:space="preserve"> </w:t>
      </w:r>
      <w:r>
        <w:rPr>
          <w:rFonts w:ascii="Arial" w:hAnsi="Arial" w:cs="Arial"/>
          <w:sz w:val="24"/>
          <w:szCs w:val="24"/>
        </w:rPr>
        <w:t>and predictability problems were not necessarily anticipated. Experience over the last</w:t>
      </w:r>
      <w:r w:rsidR="002107AB">
        <w:rPr>
          <w:rFonts w:ascii="Arial" w:hAnsi="Arial" w:cs="Arial"/>
          <w:sz w:val="24"/>
          <w:szCs w:val="24"/>
        </w:rPr>
        <w:t xml:space="preserve"> </w:t>
      </w:r>
      <w:r>
        <w:rPr>
          <w:rFonts w:ascii="Arial" w:hAnsi="Arial" w:cs="Arial"/>
          <w:sz w:val="24"/>
          <w:szCs w:val="24"/>
        </w:rPr>
        <w:t>decade can be applied by the Commission to make the curtailment process more</w:t>
      </w:r>
      <w:r w:rsidR="002107AB">
        <w:rPr>
          <w:rFonts w:ascii="Arial" w:hAnsi="Arial" w:cs="Arial"/>
          <w:sz w:val="24"/>
          <w:szCs w:val="24"/>
        </w:rPr>
        <w:t xml:space="preserve"> </w:t>
      </w:r>
      <w:r>
        <w:rPr>
          <w:rFonts w:ascii="Arial" w:hAnsi="Arial" w:cs="Arial"/>
          <w:sz w:val="24"/>
          <w:szCs w:val="24"/>
        </w:rPr>
        <w:t xml:space="preserve">transparent, more rational, and more efficient. </w:t>
      </w:r>
      <w:proofErr w:type="spellStart"/>
      <w:r>
        <w:rPr>
          <w:rFonts w:ascii="Arial" w:hAnsi="Arial" w:cs="Arial"/>
          <w:sz w:val="24"/>
          <w:szCs w:val="24"/>
        </w:rPr>
        <w:t>Powerex</w:t>
      </w:r>
      <w:proofErr w:type="spellEnd"/>
      <w:r>
        <w:rPr>
          <w:rFonts w:ascii="Arial" w:hAnsi="Arial" w:cs="Arial"/>
          <w:sz w:val="24"/>
          <w:szCs w:val="24"/>
        </w:rPr>
        <w:t xml:space="preserve"> therefore urges the</w:t>
      </w:r>
      <w:r w:rsidR="002107AB">
        <w:rPr>
          <w:rFonts w:ascii="Arial" w:hAnsi="Arial" w:cs="Arial"/>
          <w:sz w:val="24"/>
          <w:szCs w:val="24"/>
        </w:rPr>
        <w:t xml:space="preserve"> </w:t>
      </w:r>
      <w:r>
        <w:rPr>
          <w:rFonts w:ascii="Arial" w:hAnsi="Arial" w:cs="Arial"/>
          <w:sz w:val="24"/>
          <w:szCs w:val="24"/>
        </w:rPr>
        <w:t>Commission to consider and adopt the proposals outlined above.</w:t>
      </w:r>
    </w:p>
    <w:p w:rsidR="00C3788C" w:rsidRDefault="00C3788C" w:rsidP="00C3788C">
      <w:pPr>
        <w:autoSpaceDE w:val="0"/>
        <w:autoSpaceDN w:val="0"/>
        <w:adjustRightInd w:val="0"/>
        <w:spacing w:after="0" w:line="240" w:lineRule="auto"/>
        <w:rPr>
          <w:rFonts w:ascii="Arial" w:hAnsi="Arial" w:cs="Arial"/>
          <w:sz w:val="24"/>
          <w:szCs w:val="24"/>
        </w:rPr>
      </w:pPr>
    </w:p>
    <w:p w:rsidR="00F435CE" w:rsidRDefault="00F435CE" w:rsidP="00DE079C">
      <w:pPr>
        <w:autoSpaceDE w:val="0"/>
        <w:autoSpaceDN w:val="0"/>
        <w:adjustRightInd w:val="0"/>
        <w:spacing w:after="0" w:line="240" w:lineRule="auto"/>
        <w:rPr>
          <w:rFonts w:ascii="Arial" w:hAnsi="Arial" w:cs="Arial"/>
        </w:rPr>
      </w:pPr>
      <w:r w:rsidRPr="006A5EA8">
        <w:rPr>
          <w:rFonts w:ascii="Arial" w:hAnsi="Arial" w:cs="Arial"/>
          <w:b/>
          <w:sz w:val="20"/>
          <w:szCs w:val="14"/>
          <w:vertAlign w:val="superscript"/>
        </w:rPr>
        <w:t>9</w:t>
      </w:r>
      <w:r>
        <w:rPr>
          <w:rFonts w:ascii="Arial" w:hAnsi="Arial" w:cs="Arial"/>
          <w:sz w:val="14"/>
          <w:szCs w:val="14"/>
        </w:rPr>
        <w:t xml:space="preserve"> </w:t>
      </w:r>
      <w:proofErr w:type="spellStart"/>
      <w:r>
        <w:rPr>
          <w:rFonts w:ascii="Arial" w:hAnsi="Arial" w:cs="Arial"/>
        </w:rPr>
        <w:t>Powerex</w:t>
      </w:r>
      <w:proofErr w:type="spellEnd"/>
      <w:r>
        <w:rPr>
          <w:rFonts w:ascii="Arial" w:hAnsi="Arial" w:cs="Arial"/>
        </w:rPr>
        <w:t xml:space="preserve"> notes that curtailment within the hour, due to the limited time available to</w:t>
      </w:r>
      <w:r w:rsidR="002107AB">
        <w:rPr>
          <w:rFonts w:ascii="Arial" w:hAnsi="Arial" w:cs="Arial"/>
        </w:rPr>
        <w:t xml:space="preserve"> </w:t>
      </w:r>
      <w:r>
        <w:rPr>
          <w:rFonts w:ascii="Arial" w:hAnsi="Arial" w:cs="Arial"/>
        </w:rPr>
        <w:t>affect relief, should continue to be allocated based on actual schedules.</w:t>
      </w:r>
    </w:p>
    <w:p w:rsidR="00F435CE" w:rsidRDefault="00F435CE">
      <w:pPr>
        <w:pStyle w:val="CommentText"/>
      </w:pPr>
    </w:p>
  </w:comment>
  <w:comment w:id="12" w:author="Pritchard, Alan C" w:date="2018-02-02T13:57:00Z" w:initials="ACP">
    <w:p w:rsidR="00F435CE" w:rsidRDefault="00F435CE" w:rsidP="00C3788C">
      <w:pPr>
        <w:pStyle w:val="Heading1"/>
        <w:numPr>
          <w:ilvl w:val="0"/>
          <w:numId w:val="0"/>
        </w:numPr>
        <w:ind w:left="1440"/>
      </w:pPr>
      <w:r>
        <w:rPr>
          <w:rStyle w:val="CommentReference"/>
        </w:rPr>
        <w:annotationRef/>
      </w:r>
      <w:r w:rsidRPr="00C3788C">
        <w:rPr>
          <w:w w:val="105"/>
          <w:u w:val="none"/>
        </w:rPr>
        <w:t xml:space="preserve">REPLY </w:t>
      </w:r>
      <w:r w:rsidR="002107AB" w:rsidRPr="00C3788C">
        <w:rPr>
          <w:w w:val="105"/>
          <w:u w:val="none"/>
        </w:rPr>
        <w:t xml:space="preserve"> </w:t>
      </w:r>
      <w:r w:rsidRPr="00C3788C">
        <w:rPr>
          <w:w w:val="105"/>
          <w:u w:val="none"/>
        </w:rPr>
        <w:t>COMMENTS OF THE CITY OF SEATTLE (SEATTLE CITY LIGHT)</w:t>
      </w:r>
    </w:p>
    <w:p w:rsidR="00F435CE" w:rsidRDefault="00F435CE" w:rsidP="00D92D8D">
      <w:pPr>
        <w:spacing w:line="251" w:lineRule="exact"/>
        <w:ind w:left="1096" w:right="468"/>
        <w:jc w:val="center"/>
        <w:rPr>
          <w:rFonts w:ascii="Arial"/>
          <w:b/>
        </w:rPr>
      </w:pPr>
      <w:r>
        <w:rPr>
          <w:rFonts w:ascii="Arial"/>
          <w:b/>
          <w:color w:val="030303"/>
          <w:w w:val="105"/>
          <w:sz w:val="23"/>
        </w:rPr>
        <w:t xml:space="preserve">September </w:t>
      </w:r>
      <w:r>
        <w:rPr>
          <w:rFonts w:ascii="Arial"/>
          <w:b/>
          <w:color w:val="030303"/>
          <w:w w:val="105"/>
        </w:rPr>
        <w:t>20, 2006</w:t>
      </w:r>
    </w:p>
    <w:p w:rsidR="00F435CE" w:rsidRDefault="00F435CE" w:rsidP="00D92D8D">
      <w:pPr>
        <w:pStyle w:val="Heading2"/>
        <w:keepNext w:val="0"/>
        <w:keepLines w:val="0"/>
        <w:widowControl w:val="0"/>
        <w:numPr>
          <w:ilvl w:val="2"/>
          <w:numId w:val="4"/>
        </w:numPr>
        <w:tabs>
          <w:tab w:val="left" w:pos="1890"/>
        </w:tabs>
        <w:adjustRightInd/>
        <w:spacing w:before="1" w:after="0" w:line="242" w:lineRule="auto"/>
        <w:ind w:right="1188"/>
      </w:pPr>
      <w:r>
        <w:rPr>
          <w:w w:val="105"/>
        </w:rPr>
        <w:t>Pro</w:t>
      </w:r>
      <w:r>
        <w:rPr>
          <w:spacing w:val="-26"/>
          <w:w w:val="105"/>
        </w:rPr>
        <w:t xml:space="preserve"> </w:t>
      </w:r>
      <w:r>
        <w:rPr>
          <w:w w:val="105"/>
        </w:rPr>
        <w:t>Rata</w:t>
      </w:r>
      <w:r>
        <w:rPr>
          <w:spacing w:val="-18"/>
          <w:w w:val="105"/>
        </w:rPr>
        <w:t xml:space="preserve"> </w:t>
      </w:r>
      <w:r>
        <w:rPr>
          <w:w w:val="105"/>
        </w:rPr>
        <w:t>Curtailment</w:t>
      </w:r>
      <w:r>
        <w:rPr>
          <w:spacing w:val="-9"/>
          <w:w w:val="105"/>
        </w:rPr>
        <w:t xml:space="preserve"> </w:t>
      </w:r>
      <w:r>
        <w:rPr>
          <w:w w:val="105"/>
        </w:rPr>
        <w:t>Based</w:t>
      </w:r>
      <w:r>
        <w:rPr>
          <w:spacing w:val="-23"/>
          <w:w w:val="105"/>
        </w:rPr>
        <w:t xml:space="preserve"> </w:t>
      </w:r>
      <w:r>
        <w:rPr>
          <w:w w:val="105"/>
        </w:rPr>
        <w:t>on</w:t>
      </w:r>
      <w:r>
        <w:rPr>
          <w:spacing w:val="-28"/>
          <w:w w:val="105"/>
        </w:rPr>
        <w:t xml:space="preserve"> </w:t>
      </w:r>
      <w:r w:rsidR="002107AB">
        <w:rPr>
          <w:spacing w:val="-28"/>
          <w:w w:val="105"/>
        </w:rPr>
        <w:t xml:space="preserve"> </w:t>
      </w:r>
      <w:r>
        <w:rPr>
          <w:w w:val="105"/>
        </w:rPr>
        <w:t>Reservation</w:t>
      </w:r>
      <w:r>
        <w:rPr>
          <w:spacing w:val="-3"/>
          <w:w w:val="105"/>
        </w:rPr>
        <w:t xml:space="preserve"> </w:t>
      </w:r>
      <w:r>
        <w:rPr>
          <w:w w:val="105"/>
        </w:rPr>
        <w:t>Rather</w:t>
      </w:r>
      <w:r>
        <w:rPr>
          <w:spacing w:val="-17"/>
          <w:w w:val="105"/>
        </w:rPr>
        <w:t xml:space="preserve"> </w:t>
      </w:r>
      <w:r>
        <w:rPr>
          <w:w w:val="105"/>
        </w:rPr>
        <w:t>than Schedule</w:t>
      </w:r>
    </w:p>
    <w:p w:rsidR="00F435CE" w:rsidRDefault="00F435CE" w:rsidP="00D92D8D">
      <w:pPr>
        <w:pStyle w:val="BodyText"/>
        <w:spacing w:line="360" w:lineRule="auto"/>
        <w:ind w:right="728"/>
        <w:rPr>
          <w:sz w:val="26"/>
        </w:rPr>
      </w:pPr>
    </w:p>
    <w:p w:rsidR="00F435CE" w:rsidRPr="00C3788C" w:rsidRDefault="00F435CE" w:rsidP="00C3788C">
      <w:pPr>
        <w:pStyle w:val="BodyText"/>
        <w:spacing w:before="95"/>
        <w:ind w:left="1138" w:right="778" w:firstLine="14"/>
        <w:rPr>
          <w:w w:val="105"/>
          <w:sz w:val="24"/>
        </w:rPr>
      </w:pPr>
      <w:r w:rsidRPr="00C3788C">
        <w:rPr>
          <w:w w:val="105"/>
          <w:sz w:val="24"/>
        </w:rPr>
        <w:t>As pointed out in SCL's direct comments,</w:t>
      </w:r>
      <w:r w:rsidR="002107AB">
        <w:rPr>
          <w:w w:val="105"/>
          <w:sz w:val="24"/>
        </w:rPr>
        <w:t xml:space="preserve"> </w:t>
      </w:r>
      <w:r w:rsidRPr="00C3788C">
        <w:rPr>
          <w:w w:val="105"/>
          <w:sz w:val="24"/>
        </w:rPr>
        <w:t>curtailments of firm schedules are increasingly used to manage congestion on certain WECC paths, and SCL recommended that transmission providers be required to implement reliability redispatch as an alternative to curtailments.</w:t>
      </w:r>
      <w:r w:rsidRPr="00C3788C">
        <w:rPr>
          <w:b/>
          <w:w w:val="105"/>
          <w:sz w:val="24"/>
          <w:vertAlign w:val="superscript"/>
        </w:rPr>
        <w:t>14</w:t>
      </w:r>
      <w:r w:rsidRPr="00C3788C">
        <w:rPr>
          <w:w w:val="105"/>
          <w:sz w:val="24"/>
        </w:rPr>
        <w:t xml:space="preserve"> If the Commission does not adopt this recommendation, it should recognize that the process for allocating curtailments is not prescribed by tariff, and the methods employed by some transmission providers do not fairly assign curtailment burdens according to transmission rights. In recent congestion incidents, pro rata curtailment procedures failed to allocate the capacity of a constrained path to customers in accordance with their contract rights, and did not allow scheduling within the diminished rights. </w:t>
      </w:r>
      <w:r w:rsidRPr="00D951EA">
        <w:rPr>
          <w:w w:val="105"/>
          <w:sz w:val="24"/>
          <w:highlight w:val="green"/>
        </w:rPr>
        <w:t xml:space="preserve">In its comments on the </w:t>
      </w:r>
      <w:r w:rsidRPr="00D951EA">
        <w:rPr>
          <w:b/>
          <w:w w:val="105"/>
          <w:sz w:val="24"/>
          <w:highlight w:val="green"/>
        </w:rPr>
        <w:t xml:space="preserve">NOPR, </w:t>
      </w:r>
      <w:proofErr w:type="spellStart"/>
      <w:r w:rsidRPr="00D951EA">
        <w:rPr>
          <w:w w:val="105"/>
          <w:sz w:val="24"/>
          <w:highlight w:val="green"/>
        </w:rPr>
        <w:t>Powerex</w:t>
      </w:r>
      <w:proofErr w:type="spellEnd"/>
      <w:r w:rsidRPr="00D951EA">
        <w:rPr>
          <w:w w:val="105"/>
          <w:sz w:val="24"/>
          <w:highlight w:val="green"/>
        </w:rPr>
        <w:t xml:space="preserve"> describes a procedure for allocating capacity during curtailments that recognizes both the amount of capacity purchased by the affected customers and the amount of power that each customer has actually scheduled within their capacity allocation during the curtailment period.</w:t>
      </w:r>
      <w:r w:rsidRPr="00D951EA">
        <w:rPr>
          <w:b/>
          <w:w w:val="105"/>
          <w:sz w:val="24"/>
          <w:highlight w:val="green"/>
          <w:vertAlign w:val="superscript"/>
        </w:rPr>
        <w:t>15</w:t>
      </w:r>
      <w:r w:rsidRPr="00D951EA">
        <w:rPr>
          <w:w w:val="105"/>
          <w:sz w:val="24"/>
          <w:highlight w:val="green"/>
        </w:rPr>
        <w:t xml:space="preserve"> SCL agrees with </w:t>
      </w:r>
      <w:proofErr w:type="spellStart"/>
      <w:r w:rsidRPr="00D951EA">
        <w:rPr>
          <w:w w:val="105"/>
          <w:sz w:val="24"/>
          <w:highlight w:val="green"/>
        </w:rPr>
        <w:t>Powerex</w:t>
      </w:r>
      <w:proofErr w:type="spellEnd"/>
      <w:r w:rsidRPr="00D951EA">
        <w:rPr>
          <w:w w:val="105"/>
          <w:sz w:val="24"/>
          <w:highlight w:val="green"/>
        </w:rPr>
        <w:t xml:space="preserve"> that the existing tariff is deficient with respect to methods for allocating curtailments and should be amended to allocate constrained transmission capacity in accordance with contract rights.</w:t>
      </w:r>
    </w:p>
    <w:p w:rsidR="00F435CE" w:rsidRDefault="00F435CE" w:rsidP="00C3788C">
      <w:pPr>
        <w:pStyle w:val="BodyText"/>
        <w:spacing w:before="95"/>
        <w:ind w:left="1138" w:right="778" w:firstLine="14"/>
        <w:rPr>
          <w:w w:val="105"/>
        </w:rPr>
      </w:pPr>
    </w:p>
    <w:p w:rsidR="00F435CE" w:rsidRDefault="00F435CE" w:rsidP="00D92D8D">
      <w:pPr>
        <w:pStyle w:val="BodyText"/>
        <w:tabs>
          <w:tab w:val="left" w:pos="1728"/>
        </w:tabs>
        <w:spacing w:line="238" w:lineRule="exact"/>
        <w:ind w:left="1187"/>
      </w:pPr>
      <w:r w:rsidRPr="00A12D13">
        <w:rPr>
          <w:b/>
          <w:w w:val="105"/>
          <w:position w:val="11"/>
          <w:sz w:val="13"/>
        </w:rPr>
        <w:t>14</w:t>
      </w:r>
      <w:r>
        <w:rPr>
          <w:w w:val="105"/>
          <w:position w:val="11"/>
          <w:sz w:val="13"/>
        </w:rPr>
        <w:tab/>
      </w:r>
      <w:r>
        <w:rPr>
          <w:w w:val="105"/>
        </w:rPr>
        <w:t>SCL direct comments at page</w:t>
      </w:r>
      <w:r>
        <w:rPr>
          <w:spacing w:val="-6"/>
          <w:w w:val="105"/>
        </w:rPr>
        <w:t xml:space="preserve"> </w:t>
      </w:r>
      <w:r>
        <w:rPr>
          <w:w w:val="105"/>
        </w:rPr>
        <w:t>40.</w:t>
      </w:r>
    </w:p>
    <w:p w:rsidR="00F435CE" w:rsidRDefault="00F435CE" w:rsidP="00D92D8D">
      <w:pPr>
        <w:pStyle w:val="BodyText"/>
        <w:tabs>
          <w:tab w:val="left" w:pos="1732"/>
        </w:tabs>
        <w:spacing w:line="256" w:lineRule="exact"/>
        <w:ind w:left="1187"/>
      </w:pPr>
      <w:r w:rsidRPr="00A12D13">
        <w:rPr>
          <w:b/>
          <w:w w:val="105"/>
          <w:position w:val="10"/>
          <w:sz w:val="13"/>
        </w:rPr>
        <w:t>15</w:t>
      </w:r>
      <w:r>
        <w:rPr>
          <w:w w:val="105"/>
          <w:position w:val="10"/>
          <w:sz w:val="13"/>
        </w:rPr>
        <w:tab/>
      </w:r>
      <w:proofErr w:type="spellStart"/>
      <w:r>
        <w:rPr>
          <w:w w:val="105"/>
        </w:rPr>
        <w:t>Powerex</w:t>
      </w:r>
      <w:proofErr w:type="spellEnd"/>
      <w:r>
        <w:rPr>
          <w:w w:val="105"/>
        </w:rPr>
        <w:t xml:space="preserve"> direct comments at page</w:t>
      </w:r>
      <w:r>
        <w:rPr>
          <w:spacing w:val="7"/>
          <w:w w:val="105"/>
        </w:rPr>
        <w:t xml:space="preserve"> </w:t>
      </w:r>
      <w:r>
        <w:rPr>
          <w:w w:val="105"/>
        </w:rPr>
        <w:t>27.</w:t>
      </w:r>
    </w:p>
    <w:p w:rsidR="00F435CE" w:rsidRDefault="00F435CE" w:rsidP="00D92D8D">
      <w:pPr>
        <w:pStyle w:val="BodyText"/>
        <w:spacing w:before="95" w:line="376" w:lineRule="auto"/>
        <w:ind w:left="1136" w:right="780" w:firstLine="9"/>
      </w:pPr>
    </w:p>
    <w:p w:rsidR="00F435CE" w:rsidRDefault="00F435CE">
      <w:pPr>
        <w:pStyle w:val="CommentText"/>
      </w:pPr>
    </w:p>
  </w:comment>
  <w:comment w:id="13" w:author="Pritchard, Alan C" w:date="2018-02-02T13:57:00Z" w:initials="ACP">
    <w:p w:rsidR="00F435CE" w:rsidRDefault="00F435CE" w:rsidP="001647B8">
      <w:pPr>
        <w:autoSpaceDE w:val="0"/>
        <w:autoSpaceDN w:val="0"/>
        <w:adjustRightInd w:val="0"/>
        <w:spacing w:after="0" w:line="240" w:lineRule="auto"/>
        <w:rPr>
          <w:rFonts w:ascii="TimesNewRoman,Bold" w:hAnsi="TimesNewRoman,Bold" w:cs="TimesNewRoman,Bold"/>
          <w:b/>
          <w:bCs/>
          <w:sz w:val="24"/>
          <w:szCs w:val="24"/>
        </w:rPr>
      </w:pPr>
      <w:r>
        <w:rPr>
          <w:rStyle w:val="CommentReference"/>
        </w:rPr>
        <w:annotationRef/>
      </w:r>
      <w:r>
        <w:rPr>
          <w:rFonts w:ascii="TimesNewRoman,Bold" w:hAnsi="TimesNewRoman,Bold" w:cs="TimesNewRoman,Bold"/>
          <w:b/>
          <w:bCs/>
          <w:sz w:val="24"/>
          <w:szCs w:val="24"/>
        </w:rPr>
        <w:t>REPLY COMMENTS OF THE</w:t>
      </w:r>
      <w:r w:rsidR="002107AB">
        <w:rPr>
          <w:rFonts w:ascii="TimesNewRoman,Bold" w:hAnsi="TimesNewRoman,Bold" w:cs="TimesNewRoman,Bold"/>
          <w:b/>
          <w:bCs/>
          <w:sz w:val="24"/>
          <w:szCs w:val="24"/>
        </w:rPr>
        <w:t xml:space="preserve"> </w:t>
      </w:r>
      <w:r>
        <w:rPr>
          <w:rFonts w:ascii="TimesNewRoman,Bold" w:hAnsi="TimesNewRoman,Bold" w:cs="TimesNewRoman,Bold"/>
          <w:b/>
          <w:bCs/>
          <w:sz w:val="24"/>
          <w:szCs w:val="24"/>
        </w:rPr>
        <w:t>TRANSMISSION</w:t>
      </w:r>
      <w:r w:rsidR="002107AB">
        <w:rPr>
          <w:rFonts w:ascii="TimesNewRoman,Bold" w:hAnsi="TimesNewRoman,Bold" w:cs="TimesNewRoman,Bold"/>
          <w:b/>
          <w:bCs/>
          <w:sz w:val="24"/>
          <w:szCs w:val="24"/>
        </w:rPr>
        <w:t xml:space="preserve"> </w:t>
      </w:r>
      <w:r>
        <w:rPr>
          <w:rFonts w:ascii="TimesNewRoman,Bold" w:hAnsi="TimesNewRoman,Bold" w:cs="TimesNewRoman,Bold"/>
          <w:b/>
          <w:bCs/>
          <w:sz w:val="24"/>
          <w:szCs w:val="24"/>
        </w:rPr>
        <w:t>DEPENDENT UTILITY SYSTEMS ON</w:t>
      </w:r>
      <w:r w:rsidR="002107AB">
        <w:rPr>
          <w:rFonts w:ascii="TimesNewRoman,Bold" w:hAnsi="TimesNewRoman,Bold" w:cs="TimesNewRoman,Bold"/>
          <w:b/>
          <w:bCs/>
          <w:sz w:val="24"/>
          <w:szCs w:val="24"/>
        </w:rPr>
        <w:t xml:space="preserve"> </w:t>
      </w:r>
      <w:r>
        <w:rPr>
          <w:rFonts w:ascii="TimesNewRoman,Bold" w:hAnsi="TimesNewRoman,Bold" w:cs="TimesNewRoman,Bold"/>
          <w:b/>
          <w:bCs/>
          <w:sz w:val="24"/>
          <w:szCs w:val="24"/>
        </w:rPr>
        <w:t>NOTICE OF PROPOSED RULEMAKING</w:t>
      </w:r>
    </w:p>
    <w:p w:rsidR="00F435CE" w:rsidRDefault="00F435CE" w:rsidP="001647B8">
      <w:pPr>
        <w:rPr>
          <w:rFonts w:ascii="TimesNewRoman" w:hAnsi="TimesNewRoman" w:cs="TimesNewRoman"/>
          <w:sz w:val="24"/>
          <w:szCs w:val="24"/>
        </w:rPr>
      </w:pPr>
      <w:r>
        <w:rPr>
          <w:rFonts w:ascii="TimesNewRoman" w:hAnsi="TimesNewRoman" w:cs="TimesNewRoman"/>
          <w:sz w:val="24"/>
          <w:szCs w:val="24"/>
        </w:rPr>
        <w:t>September 20, 2006</w:t>
      </w:r>
    </w:p>
    <w:p w:rsidR="00F435CE" w:rsidRDefault="00F435CE" w:rsidP="001647B8">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8. Transmission Curtailments</w:t>
      </w:r>
    </w:p>
    <w:p w:rsidR="00F435CE" w:rsidRDefault="00F435CE" w:rsidP="001647B8">
      <w:pPr>
        <w:autoSpaceDE w:val="0"/>
        <w:autoSpaceDN w:val="0"/>
        <w:adjustRightInd w:val="0"/>
        <w:spacing w:after="0" w:line="240" w:lineRule="auto"/>
        <w:rPr>
          <w:rFonts w:ascii="TimesNewRoman" w:hAnsi="TimesNewRoman" w:cs="TimesNewRoman"/>
          <w:sz w:val="24"/>
          <w:szCs w:val="24"/>
        </w:rPr>
      </w:pPr>
      <w:r>
        <w:rPr>
          <w:rFonts w:ascii="TimesNewRoman" w:hAnsi="TimesNewRoman" w:cs="TimesNewRoman"/>
          <w:sz w:val="24"/>
          <w:szCs w:val="24"/>
        </w:rPr>
        <w:t xml:space="preserve">The Commission should reject </w:t>
      </w:r>
      <w:proofErr w:type="spellStart"/>
      <w:r>
        <w:rPr>
          <w:rFonts w:ascii="TimesNewRoman" w:hAnsi="TimesNewRoman" w:cs="TimesNewRoman"/>
          <w:sz w:val="24"/>
          <w:szCs w:val="24"/>
        </w:rPr>
        <w:t>Southern’s</w:t>
      </w:r>
      <w:proofErr w:type="spellEnd"/>
      <w:r>
        <w:rPr>
          <w:rFonts w:ascii="TimesNewRoman" w:hAnsi="TimesNewRoman" w:cs="TimesNewRoman"/>
          <w:sz w:val="24"/>
          <w:szCs w:val="24"/>
        </w:rPr>
        <w:t xml:space="preserve"> argument (at 125) that existing</w:t>
      </w:r>
      <w:r w:rsidR="002107AB">
        <w:rPr>
          <w:rFonts w:ascii="TimesNewRoman" w:hAnsi="TimesNewRoman" w:cs="TimesNewRoman"/>
          <w:sz w:val="24"/>
          <w:szCs w:val="24"/>
        </w:rPr>
        <w:t xml:space="preserve"> </w:t>
      </w:r>
      <w:r>
        <w:rPr>
          <w:rFonts w:ascii="TimesNewRoman" w:hAnsi="TimesNewRoman" w:cs="TimesNewRoman"/>
          <w:sz w:val="24"/>
          <w:szCs w:val="24"/>
        </w:rPr>
        <w:t>curtailment rules are sufficient to deter abusive curtailment practices. Review of the</w:t>
      </w:r>
      <w:r w:rsidR="002107AB">
        <w:rPr>
          <w:rFonts w:ascii="TimesNewRoman" w:hAnsi="TimesNewRoman" w:cs="TimesNewRoman"/>
          <w:sz w:val="24"/>
          <w:szCs w:val="24"/>
        </w:rPr>
        <w:t xml:space="preserve"> </w:t>
      </w:r>
      <w:r>
        <w:rPr>
          <w:rFonts w:ascii="TimesNewRoman" w:hAnsi="TimesNewRoman" w:cs="TimesNewRoman"/>
          <w:sz w:val="24"/>
          <w:szCs w:val="24"/>
        </w:rPr>
        <w:t>initial comments submitted in this proceeding by several parties, including Williams,</w:t>
      </w:r>
      <w:r w:rsidR="002107AB">
        <w:rPr>
          <w:rFonts w:ascii="TimesNewRoman" w:hAnsi="TimesNewRoman" w:cs="TimesNewRoman"/>
          <w:sz w:val="24"/>
          <w:szCs w:val="24"/>
        </w:rPr>
        <w:t xml:space="preserve"> </w:t>
      </w:r>
      <w:r>
        <w:rPr>
          <w:rFonts w:ascii="TimesNewRoman" w:hAnsi="TimesNewRoman" w:cs="TimesNewRoman"/>
          <w:sz w:val="24"/>
          <w:szCs w:val="24"/>
        </w:rPr>
        <w:t>reveals instances of curtailments where only cryptic notes such as “cut for security” or</w:t>
      </w:r>
    </w:p>
    <w:p w:rsidR="00F435CE" w:rsidRDefault="00F435CE" w:rsidP="001647B8">
      <w:pPr>
        <w:autoSpaceDE w:val="0"/>
        <w:autoSpaceDN w:val="0"/>
        <w:adjustRightInd w:val="0"/>
        <w:spacing w:after="0" w:line="240" w:lineRule="auto"/>
        <w:rPr>
          <w:rFonts w:ascii="TimesNewRoman,Italic" w:hAnsi="TimesNewRoman,Italic" w:cs="TimesNewRoman,Italic"/>
          <w:i/>
          <w:iCs/>
          <w:sz w:val="24"/>
          <w:szCs w:val="24"/>
        </w:rPr>
      </w:pPr>
      <w:r>
        <w:rPr>
          <w:rFonts w:ascii="TimesNewRoman" w:hAnsi="TimesNewRoman" w:cs="TimesNewRoman"/>
          <w:sz w:val="24"/>
          <w:szCs w:val="24"/>
        </w:rPr>
        <w:t xml:space="preserve">“system reliability” were posted as the reason for the curtailment. Williams at 9-12; </w:t>
      </w:r>
      <w:r>
        <w:rPr>
          <w:rFonts w:ascii="TimesNewRoman,Italic" w:hAnsi="TimesNewRoman,Italic" w:cs="TimesNewRoman,Italic"/>
          <w:i/>
          <w:iCs/>
          <w:sz w:val="24"/>
          <w:szCs w:val="24"/>
        </w:rPr>
        <w:t>see</w:t>
      </w:r>
      <w:r w:rsidR="002107AB">
        <w:rPr>
          <w:rFonts w:ascii="TimesNewRoman,Italic" w:hAnsi="TimesNewRoman,Italic" w:cs="TimesNewRoman,Italic"/>
          <w:i/>
          <w:iCs/>
          <w:sz w:val="24"/>
          <w:szCs w:val="24"/>
        </w:rPr>
        <w:t xml:space="preserve"> </w:t>
      </w:r>
      <w:r>
        <w:rPr>
          <w:rFonts w:ascii="TimesNewRoman,Italic" w:hAnsi="TimesNewRoman,Italic" w:cs="TimesNewRoman,Italic"/>
          <w:i/>
          <w:iCs/>
          <w:sz w:val="24"/>
          <w:szCs w:val="24"/>
        </w:rPr>
        <w:t xml:space="preserve">also </w:t>
      </w:r>
      <w:r>
        <w:rPr>
          <w:rFonts w:ascii="TimesNewRoman" w:hAnsi="TimesNewRoman" w:cs="TimesNewRoman"/>
          <w:sz w:val="24"/>
          <w:szCs w:val="24"/>
        </w:rPr>
        <w:t>Morgan Stanley at 22. Ironically, in almost every example cited by Williams, the</w:t>
      </w:r>
      <w:r w:rsidR="002107AB">
        <w:rPr>
          <w:rFonts w:ascii="TimesNewRoman" w:hAnsi="TimesNewRoman" w:cs="TimesNewRoman"/>
          <w:sz w:val="24"/>
          <w:szCs w:val="24"/>
        </w:rPr>
        <w:t xml:space="preserve"> </w:t>
      </w:r>
      <w:r>
        <w:rPr>
          <w:rFonts w:ascii="TimesNewRoman" w:hAnsi="TimesNewRoman" w:cs="TimesNewRoman"/>
          <w:sz w:val="24"/>
          <w:szCs w:val="24"/>
        </w:rPr>
        <w:t>curtailment occurred on</w:t>
      </w:r>
      <w:r w:rsidR="002107AB">
        <w:rPr>
          <w:rFonts w:ascii="TimesNewRoman" w:hAnsi="TimesNewRoman" w:cs="TimesNewRoman"/>
          <w:sz w:val="24"/>
          <w:szCs w:val="24"/>
        </w:rPr>
        <w:t xml:space="preserve"> </w:t>
      </w:r>
      <w:proofErr w:type="spellStart"/>
      <w:r>
        <w:rPr>
          <w:rFonts w:ascii="TimesNewRoman" w:hAnsi="TimesNewRoman" w:cs="TimesNewRoman"/>
          <w:sz w:val="24"/>
          <w:szCs w:val="24"/>
        </w:rPr>
        <w:t>Southern’s</w:t>
      </w:r>
      <w:proofErr w:type="spellEnd"/>
      <w:r>
        <w:rPr>
          <w:rFonts w:ascii="TimesNewRoman" w:hAnsi="TimesNewRoman" w:cs="TimesNewRoman"/>
          <w:sz w:val="24"/>
          <w:szCs w:val="24"/>
        </w:rPr>
        <w:t xml:space="preserve"> system. </w:t>
      </w:r>
      <w:r>
        <w:rPr>
          <w:rFonts w:ascii="TimesNewRoman,Italic" w:hAnsi="TimesNewRoman,Italic" w:cs="TimesNewRoman,Italic"/>
          <w:i/>
          <w:iCs/>
          <w:sz w:val="24"/>
          <w:szCs w:val="24"/>
        </w:rPr>
        <w:t xml:space="preserve">Id. </w:t>
      </w:r>
      <w:r>
        <w:rPr>
          <w:rFonts w:ascii="TimesNewRoman" w:hAnsi="TimesNewRoman" w:cs="TimesNewRoman"/>
          <w:sz w:val="24"/>
          <w:szCs w:val="24"/>
        </w:rPr>
        <w:t>In some cases, Southern failed to post</w:t>
      </w:r>
      <w:r w:rsidR="002107AB">
        <w:rPr>
          <w:rFonts w:ascii="TimesNewRoman" w:hAnsi="TimesNewRoman" w:cs="TimesNewRoman"/>
          <w:sz w:val="24"/>
          <w:szCs w:val="24"/>
        </w:rPr>
        <w:t xml:space="preserve"> </w:t>
      </w:r>
      <w:r>
        <w:rPr>
          <w:rFonts w:ascii="TimesNewRoman,Italic" w:hAnsi="TimesNewRoman,Italic" w:cs="TimesNewRoman,Italic"/>
          <w:i/>
          <w:iCs/>
          <w:sz w:val="24"/>
          <w:szCs w:val="24"/>
        </w:rPr>
        <w:t xml:space="preserve">any </w:t>
      </w:r>
      <w:r>
        <w:rPr>
          <w:rFonts w:ascii="TimesNewRoman" w:hAnsi="TimesNewRoman" w:cs="TimesNewRoman"/>
          <w:sz w:val="24"/>
          <w:szCs w:val="24"/>
        </w:rPr>
        <w:t xml:space="preserve">reason for the curtailment. </w:t>
      </w:r>
      <w:r>
        <w:rPr>
          <w:rFonts w:ascii="TimesNewRoman,Italic" w:hAnsi="TimesNewRoman,Italic" w:cs="TimesNewRoman,Italic"/>
          <w:i/>
          <w:iCs/>
          <w:sz w:val="24"/>
          <w:szCs w:val="24"/>
        </w:rPr>
        <w:t>Id.</w:t>
      </w:r>
    </w:p>
    <w:p w:rsidR="00F435CE" w:rsidRDefault="00F435CE" w:rsidP="001647B8">
      <w:pPr>
        <w:autoSpaceDE w:val="0"/>
        <w:autoSpaceDN w:val="0"/>
        <w:adjustRightInd w:val="0"/>
        <w:spacing w:after="0" w:line="240" w:lineRule="auto"/>
        <w:rPr>
          <w:rFonts w:ascii="TimesNewRoman" w:hAnsi="TimesNewRoman" w:cs="TimesNewRoman"/>
          <w:sz w:val="24"/>
          <w:szCs w:val="24"/>
        </w:rPr>
      </w:pPr>
    </w:p>
    <w:p w:rsidR="00F435CE" w:rsidRDefault="00F435CE" w:rsidP="00981DD4">
      <w:pPr>
        <w:autoSpaceDE w:val="0"/>
        <w:autoSpaceDN w:val="0"/>
        <w:adjustRightInd w:val="0"/>
        <w:spacing w:after="0" w:line="240" w:lineRule="auto"/>
      </w:pPr>
      <w:r>
        <w:rPr>
          <w:rFonts w:ascii="TimesNewRoman" w:hAnsi="TimesNewRoman" w:cs="TimesNewRoman"/>
          <w:sz w:val="24"/>
          <w:szCs w:val="24"/>
        </w:rPr>
        <w:t>These examples demonstrate the on-going concerns over the lack of transparency</w:t>
      </w:r>
      <w:r w:rsidR="002107AB">
        <w:rPr>
          <w:rFonts w:ascii="TimesNewRoman" w:hAnsi="TimesNewRoman" w:cs="TimesNewRoman"/>
          <w:sz w:val="24"/>
          <w:szCs w:val="24"/>
        </w:rPr>
        <w:t xml:space="preserve"> </w:t>
      </w:r>
      <w:r>
        <w:rPr>
          <w:rFonts w:ascii="TimesNewRoman" w:hAnsi="TimesNewRoman" w:cs="TimesNewRoman"/>
          <w:sz w:val="24"/>
          <w:szCs w:val="24"/>
        </w:rPr>
        <w:t>in the existing rules governing curtailments of service and the need for a structural</w:t>
      </w:r>
      <w:r w:rsidR="002107AB">
        <w:rPr>
          <w:rFonts w:ascii="TimesNewRoman" w:hAnsi="TimesNewRoman" w:cs="TimesNewRoman"/>
          <w:sz w:val="24"/>
          <w:szCs w:val="24"/>
        </w:rPr>
        <w:t xml:space="preserve"> </w:t>
      </w:r>
      <w:r>
        <w:rPr>
          <w:rFonts w:ascii="TimesNewRoman" w:hAnsi="TimesNewRoman" w:cs="TimesNewRoman"/>
          <w:sz w:val="24"/>
          <w:szCs w:val="24"/>
        </w:rPr>
        <w:t>remedy to prevent improper curtailments. The structural remedy proposed by TDU</w:t>
      </w:r>
      <w:r w:rsidR="002107AB">
        <w:rPr>
          <w:rFonts w:ascii="TimesNewRoman" w:hAnsi="TimesNewRoman" w:cs="TimesNewRoman"/>
          <w:sz w:val="24"/>
          <w:szCs w:val="24"/>
        </w:rPr>
        <w:t xml:space="preserve"> </w:t>
      </w:r>
      <w:r>
        <w:rPr>
          <w:rFonts w:ascii="TimesNewRoman" w:hAnsi="TimesNewRoman" w:cs="TimesNewRoman"/>
          <w:sz w:val="24"/>
          <w:szCs w:val="24"/>
        </w:rPr>
        <w:t>Systems in their Initial Comments would require all transmission providers to refund</w:t>
      </w:r>
      <w:r w:rsidR="002107AB">
        <w:rPr>
          <w:rFonts w:ascii="TimesNewRoman" w:hAnsi="TimesNewRoman" w:cs="TimesNewRoman"/>
          <w:sz w:val="24"/>
          <w:szCs w:val="24"/>
        </w:rPr>
        <w:t xml:space="preserve"> </w:t>
      </w:r>
      <w:r>
        <w:rPr>
          <w:rFonts w:ascii="TimesNewRoman" w:hAnsi="TimesNewRoman" w:cs="TimesNewRoman"/>
          <w:sz w:val="24"/>
          <w:szCs w:val="24"/>
        </w:rPr>
        <w:t>transmission charges for any curtailment and would rely on the disgorgement remedy</w:t>
      </w:r>
      <w:r w:rsidR="002107AB">
        <w:rPr>
          <w:rFonts w:ascii="TimesNewRoman" w:hAnsi="TimesNewRoman" w:cs="TimesNewRoman"/>
          <w:sz w:val="24"/>
          <w:szCs w:val="24"/>
        </w:rPr>
        <w:t xml:space="preserve"> </w:t>
      </w:r>
      <w:r>
        <w:rPr>
          <w:rFonts w:ascii="TimesNewRoman" w:hAnsi="TimesNewRoman" w:cs="TimesNewRoman"/>
          <w:sz w:val="24"/>
          <w:szCs w:val="24"/>
        </w:rPr>
        <w:t xml:space="preserve">where appropriate to deter such abuses. TDU Initial Comments at 91-92. </w:t>
      </w:r>
      <w:r w:rsidRPr="00D951EA">
        <w:rPr>
          <w:rFonts w:ascii="TimesNewRoman" w:hAnsi="TimesNewRoman" w:cs="TimesNewRoman"/>
          <w:sz w:val="24"/>
          <w:szCs w:val="24"/>
          <w:highlight w:val="green"/>
        </w:rPr>
        <w:t>Improper</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curtailments may allow a transmission provider’s merchant function to profit from trades</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 xml:space="preserve">during hours when market prices for energy exceed costs. </w:t>
      </w:r>
      <w:r w:rsidRPr="00D951EA">
        <w:rPr>
          <w:rFonts w:ascii="TimesNewRoman,Italic" w:hAnsi="TimesNewRoman,Italic" w:cs="TimesNewRoman,Italic"/>
          <w:i/>
          <w:iCs/>
          <w:sz w:val="24"/>
          <w:szCs w:val="24"/>
          <w:highlight w:val="green"/>
        </w:rPr>
        <w:t>Id.</w:t>
      </w:r>
      <w:r w:rsidR="002107AB" w:rsidRPr="00D951EA">
        <w:rPr>
          <w:rFonts w:ascii="TimesNewRoman,Italic" w:hAnsi="TimesNewRoman,Italic" w:cs="TimesNewRoman,Italic"/>
          <w:i/>
          <w:iCs/>
          <w:sz w:val="24"/>
          <w:szCs w:val="24"/>
          <w:highlight w:val="green"/>
        </w:rPr>
        <w:t xml:space="preserve"> </w:t>
      </w:r>
      <w:r w:rsidRPr="00D951EA">
        <w:rPr>
          <w:rFonts w:ascii="TimesNewRoman" w:hAnsi="TimesNewRoman" w:cs="TimesNewRoman"/>
          <w:sz w:val="24"/>
          <w:szCs w:val="24"/>
          <w:highlight w:val="green"/>
        </w:rPr>
        <w:t>Requiring a refund of</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transmission charges in the event of any curtailment and disgorgement in the case of</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affiliate abuse would discourage such activity by eliminating the financial incentive to</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engage in improper curtailments. This proposal would be more</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effective than simple</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posting and reporting requirements that depend on access to data closely held by the</w:t>
      </w:r>
      <w:r w:rsidR="002107AB" w:rsidRPr="00D951EA">
        <w:rPr>
          <w:rFonts w:ascii="TimesNewRoman" w:hAnsi="TimesNewRoman" w:cs="TimesNewRoman"/>
          <w:sz w:val="24"/>
          <w:szCs w:val="24"/>
          <w:highlight w:val="green"/>
        </w:rPr>
        <w:t xml:space="preserve"> </w:t>
      </w:r>
      <w:r w:rsidRPr="00D951EA">
        <w:rPr>
          <w:rFonts w:ascii="TimesNewRoman" w:hAnsi="TimesNewRoman" w:cs="TimesNewRoman"/>
          <w:sz w:val="24"/>
          <w:szCs w:val="24"/>
          <w:highlight w:val="green"/>
        </w:rPr>
        <w:t>transmission provider to detect potential abuses.</w:t>
      </w:r>
    </w:p>
    <w:p w:rsidR="00F435CE" w:rsidRDefault="00F435CE">
      <w:pPr>
        <w:pStyle w:val="CommentText"/>
      </w:pPr>
    </w:p>
  </w:comment>
  <w:comment w:id="14" w:author="Pritchard, Alan C" w:date="2018-02-02T13:57:00Z" w:initials="ACP">
    <w:p w:rsidR="002F458D" w:rsidRPr="002233D8" w:rsidRDefault="00F435CE" w:rsidP="002F458D">
      <w:pPr>
        <w:pStyle w:val="Subtitle"/>
        <w:spacing w:after="0"/>
        <w:rPr>
          <w:sz w:val="32"/>
        </w:rPr>
      </w:pPr>
      <w:r>
        <w:rPr>
          <w:rStyle w:val="CommentReference"/>
        </w:rPr>
        <w:annotationRef/>
      </w:r>
      <w:r w:rsidR="002F458D">
        <w:rPr>
          <w:sz w:val="32"/>
        </w:rPr>
        <w:t xml:space="preserve">REPLY </w:t>
      </w:r>
      <w:r w:rsidR="002F458D" w:rsidRPr="002233D8">
        <w:rPr>
          <w:sz w:val="32"/>
        </w:rPr>
        <w:t xml:space="preserve">COMMENTS OF THE EDISON ELECTRIC INSTITUTE on the Notice of PROPOSED RULEMAKING </w:t>
      </w:r>
    </w:p>
    <w:p w:rsidR="002F458D" w:rsidRDefault="002F458D" w:rsidP="002F458D">
      <w:pPr>
        <w:jc w:val="center"/>
      </w:pPr>
      <w:r>
        <w:t>September 20, 2006</w:t>
      </w:r>
    </w:p>
    <w:p w:rsidR="002F458D" w:rsidRDefault="002107AB" w:rsidP="002F458D">
      <w:pPr>
        <w:pStyle w:val="Heading3"/>
        <w:ind w:left="0"/>
      </w:pPr>
      <w:bookmarkStart w:id="15" w:name="_Toc146530697"/>
      <w:r>
        <w:t>8.</w:t>
      </w:r>
      <w:r w:rsidR="002F458D">
        <w:t>Transmission Curtailments</w:t>
      </w:r>
      <w:bookmarkEnd w:id="15"/>
      <w:r w:rsidR="002F458D">
        <w:t xml:space="preserve"> </w:t>
      </w:r>
    </w:p>
    <w:p w:rsidR="002F458D" w:rsidRPr="002F458D" w:rsidRDefault="002F458D" w:rsidP="002F458D">
      <w:pPr>
        <w:spacing w:line="240" w:lineRule="auto"/>
        <w:rPr>
          <w:sz w:val="24"/>
          <w:szCs w:val="24"/>
        </w:rPr>
      </w:pPr>
      <w:r w:rsidRPr="00D951EA">
        <w:rPr>
          <w:sz w:val="24"/>
          <w:szCs w:val="24"/>
          <w:highlight w:val="green"/>
        </w:rPr>
        <w:t xml:space="preserve">The Commission should reject the proposal of TDU to require transmission  </w:t>
      </w:r>
      <w:proofErr w:type="spellStart"/>
      <w:r w:rsidRPr="00D951EA">
        <w:rPr>
          <w:sz w:val="24"/>
          <w:szCs w:val="24"/>
          <w:highlight w:val="green"/>
        </w:rPr>
        <w:t>roviders</w:t>
      </w:r>
      <w:proofErr w:type="spellEnd"/>
      <w:r w:rsidRPr="00D951EA">
        <w:rPr>
          <w:sz w:val="24"/>
          <w:szCs w:val="24"/>
          <w:highlight w:val="green"/>
        </w:rPr>
        <w:t xml:space="preserve"> to make refunds of transmission revenues for curtailments of service (TDU pp. 91-92).</w:t>
      </w:r>
      <w:r w:rsidRPr="002F458D">
        <w:rPr>
          <w:sz w:val="24"/>
          <w:szCs w:val="24"/>
        </w:rPr>
        <w:t xml:space="preserve">  TDU’s proposal is not logical.  TDU’s assertion that refunds are necessary to eliminate an incentive to oversell the transmission system is directly at odds with its assertion that  transmission providers are not calculating ATC correctly and therefore are unreasonably restricting uses of the transmission grid (TDU pp. 7-14).  TDU cannot have it both ways; transmission providers cannot both be using ATC to restrict the use of transmission service to levels below what can reliably be maintained and also be overselling the transmission system.  </w:t>
      </w:r>
    </w:p>
    <w:p w:rsidR="002F458D" w:rsidRPr="002F458D" w:rsidRDefault="002F458D" w:rsidP="002F458D">
      <w:pPr>
        <w:spacing w:line="240" w:lineRule="auto"/>
        <w:rPr>
          <w:sz w:val="24"/>
          <w:szCs w:val="24"/>
        </w:rPr>
      </w:pPr>
      <w:r w:rsidRPr="002F458D">
        <w:rPr>
          <w:sz w:val="24"/>
          <w:szCs w:val="24"/>
        </w:rPr>
        <w:t xml:space="preserve">TDU’s proposal to require refunds for curtailments of transmission service also would not be in the interests of transmission customers because it would give transmission providers an incentive to restrict use of the transmission system by making more conservative assumptions concerning the ability of the transmission system to accommodate transactions.  </w:t>
      </w:r>
    </w:p>
    <w:p w:rsidR="00F435CE" w:rsidRPr="002F458D" w:rsidRDefault="002F458D" w:rsidP="00CB0F17">
      <w:pPr>
        <w:spacing w:line="240" w:lineRule="auto"/>
        <w:rPr>
          <w:sz w:val="24"/>
          <w:szCs w:val="24"/>
        </w:rPr>
      </w:pPr>
      <w:r w:rsidRPr="00D951EA">
        <w:rPr>
          <w:sz w:val="24"/>
          <w:szCs w:val="24"/>
          <w:highlight w:val="green"/>
        </w:rPr>
        <w:t xml:space="preserve">TDU’s proposal to require refunds for curtailments also is inconsistent with the basis on which the transmission system is planned and on which transmission service is priced.  Transmission systems are not planned to ensure that no curtailments of firm service occur.  They typically are planned on a LOLP of 1 day in 10 years.  If the transmission grid were planned and constructed to maintain a higher level of reliability, the grid would have to be far more robust – and expensive – than it is today.  In addition, if firm customers were entitled to refunds when curtailments occur, transmission service would have to be priced to ensure that transmission providers can obtain recovery of the refunded amounts from customers who are not curtailed, either through additions to the cost of service or through increases to the return on equity to reflect the risk of loss of revenues resulting from curtailments.  Requiring transmission providers to bear the costs of refunds for curtailments would be inconsistent with the principles of cost of </w:t>
      </w:r>
      <w:r w:rsidR="002107AB" w:rsidRPr="00D951EA">
        <w:rPr>
          <w:sz w:val="24"/>
          <w:szCs w:val="24"/>
          <w:highlight w:val="green"/>
        </w:rPr>
        <w:t>service regulation.</w:t>
      </w:r>
      <w:r w:rsidR="002107AB" w:rsidRPr="002F458D">
        <w:rPr>
          <w:sz w:val="24"/>
          <w:szCs w:val="24"/>
        </w:rPr>
        <w:t xml:space="preserve"> </w:t>
      </w:r>
    </w:p>
  </w:comment>
  <w:comment w:id="16" w:author="Pritchard, Alan C" w:date="2018-02-02T13:57:00Z" w:initials="ACP">
    <w:p w:rsidR="00F435CE" w:rsidRDefault="00F435CE" w:rsidP="001647B8">
      <w:pPr>
        <w:pStyle w:val="Default"/>
        <w:jc w:val="center"/>
        <w:rPr>
          <w:b/>
          <w:bCs/>
          <w:sz w:val="23"/>
          <w:szCs w:val="23"/>
        </w:rPr>
      </w:pPr>
      <w:r>
        <w:rPr>
          <w:rStyle w:val="CommentReference"/>
        </w:rPr>
        <w:annotationRef/>
      </w:r>
      <w:r>
        <w:rPr>
          <w:b/>
          <w:bCs/>
          <w:sz w:val="23"/>
          <w:szCs w:val="23"/>
        </w:rPr>
        <w:t>REPLY COMMENTS OF PUBLIC SERVICE COMPANY OF NEW MEXICO</w:t>
      </w:r>
      <w:r w:rsidR="002107AB">
        <w:rPr>
          <w:b/>
          <w:bCs/>
          <w:sz w:val="23"/>
          <w:szCs w:val="23"/>
        </w:rPr>
        <w:t xml:space="preserve"> </w:t>
      </w:r>
      <w:r>
        <w:rPr>
          <w:b/>
          <w:bCs/>
          <w:sz w:val="23"/>
          <w:szCs w:val="23"/>
        </w:rPr>
        <w:t>AND TEXAS-NEW MEXICO POWER</w:t>
      </w:r>
      <w:r w:rsidR="002107AB">
        <w:rPr>
          <w:b/>
          <w:bCs/>
          <w:sz w:val="23"/>
          <w:szCs w:val="23"/>
        </w:rPr>
        <w:t xml:space="preserve"> </w:t>
      </w:r>
      <w:r>
        <w:rPr>
          <w:b/>
          <w:bCs/>
          <w:sz w:val="23"/>
          <w:szCs w:val="23"/>
        </w:rPr>
        <w:t>COMPANY</w:t>
      </w:r>
    </w:p>
    <w:p w:rsidR="00F435CE" w:rsidRDefault="00F435CE" w:rsidP="001647B8">
      <w:pPr>
        <w:pStyle w:val="Default"/>
        <w:rPr>
          <w:b/>
          <w:bCs/>
          <w:sz w:val="23"/>
          <w:szCs w:val="23"/>
        </w:rPr>
      </w:pPr>
    </w:p>
    <w:p w:rsidR="00F435CE" w:rsidRPr="002F458D" w:rsidRDefault="00F435CE" w:rsidP="001647B8">
      <w:pPr>
        <w:pStyle w:val="Default"/>
        <w:jc w:val="both"/>
      </w:pPr>
      <w:r w:rsidRPr="002F458D">
        <w:rPr>
          <w:b/>
          <w:bCs/>
        </w:rPr>
        <w:t xml:space="preserve">(6) Transmission Curtailments (NOPR, ¶¶ 435-43) </w:t>
      </w:r>
    </w:p>
    <w:p w:rsidR="00F435CE" w:rsidRPr="002F458D" w:rsidRDefault="00F435CE" w:rsidP="001647B8">
      <w:pPr>
        <w:pStyle w:val="Default"/>
        <w:ind w:firstLine="720"/>
      </w:pPr>
      <w:r w:rsidRPr="00D951EA">
        <w:rPr>
          <w:highlight w:val="green"/>
        </w:rPr>
        <w:t>The Commission should reject proposals to require</w:t>
      </w:r>
      <w:r w:rsidR="002107AB" w:rsidRPr="00D951EA">
        <w:rPr>
          <w:highlight w:val="green"/>
        </w:rPr>
        <w:t xml:space="preserve"> </w:t>
      </w:r>
      <w:r w:rsidRPr="00D951EA">
        <w:rPr>
          <w:highlight w:val="green"/>
        </w:rPr>
        <w:t>transmission providers to refund transmission service charges to</w:t>
      </w:r>
      <w:r w:rsidR="002107AB" w:rsidRPr="00D951EA">
        <w:rPr>
          <w:highlight w:val="green"/>
        </w:rPr>
        <w:t xml:space="preserve"> </w:t>
      </w:r>
      <w:r w:rsidRPr="00D951EA">
        <w:rPr>
          <w:highlight w:val="green"/>
        </w:rPr>
        <w:t xml:space="preserve">“curtailed customers” (TDU at </w:t>
      </w:r>
      <w:proofErr w:type="spellStart"/>
      <w:r w:rsidRPr="00D951EA">
        <w:rPr>
          <w:highlight w:val="green"/>
        </w:rPr>
        <w:t>Pg</w:t>
      </w:r>
      <w:proofErr w:type="spellEnd"/>
      <w:r w:rsidRPr="00D951EA">
        <w:rPr>
          <w:highlight w:val="green"/>
        </w:rPr>
        <w:t xml:space="preserve"> 91-92).</w:t>
      </w:r>
      <w:r w:rsidRPr="002F458D">
        <w:t xml:space="preserve"> In addition to requiring</w:t>
      </w:r>
      <w:r w:rsidR="002107AB" w:rsidRPr="002F458D">
        <w:t xml:space="preserve"> </w:t>
      </w:r>
      <w:r w:rsidRPr="002F458D">
        <w:t>refunds for curtailments associated with the transmission provider’s</w:t>
      </w:r>
      <w:r w:rsidR="002107AB" w:rsidRPr="002F458D">
        <w:t xml:space="preserve"> </w:t>
      </w:r>
      <w:r w:rsidRPr="002F458D">
        <w:t>own transmission system, the proposal advocates refunds by a</w:t>
      </w:r>
      <w:r w:rsidR="002107AB" w:rsidRPr="002F458D">
        <w:t xml:space="preserve"> </w:t>
      </w:r>
      <w:r w:rsidRPr="002F458D">
        <w:t>transmission provider for transmission service curtailments caused by</w:t>
      </w:r>
      <w:r w:rsidR="002107AB" w:rsidRPr="002F458D">
        <w:t xml:space="preserve"> </w:t>
      </w:r>
      <w:r w:rsidRPr="002F458D">
        <w:t>conditions on other transmission systems. (i.e. when service is</w:t>
      </w:r>
      <w:r w:rsidR="002107AB" w:rsidRPr="002F458D">
        <w:t xml:space="preserve"> </w:t>
      </w:r>
      <w:r w:rsidRPr="002F458D">
        <w:t>interrupted through a “chain of connected transactions”)</w:t>
      </w:r>
      <w:r w:rsidR="002107AB" w:rsidRPr="002F458D">
        <w:t xml:space="preserve"> </w:t>
      </w:r>
    </w:p>
    <w:p w:rsidR="00F435CE" w:rsidRPr="002F458D" w:rsidRDefault="00F435CE" w:rsidP="001647B8">
      <w:pPr>
        <w:pStyle w:val="Default"/>
        <w:ind w:firstLine="720"/>
      </w:pPr>
      <w:r w:rsidRPr="002F458D">
        <w:t xml:space="preserve">The advocate of this approach states that incorporating such a refund provision into the OATT would discourage overselling of the transmission system by applying financial penalties for engaging in this practice. </w:t>
      </w:r>
    </w:p>
    <w:p w:rsidR="00F435CE" w:rsidRPr="00D951EA" w:rsidRDefault="00F435CE" w:rsidP="001647B8">
      <w:pPr>
        <w:pStyle w:val="Default"/>
        <w:ind w:firstLine="720"/>
        <w:rPr>
          <w:color w:val="auto"/>
          <w:highlight w:val="green"/>
        </w:rPr>
      </w:pPr>
      <w:r w:rsidRPr="00D951EA">
        <w:rPr>
          <w:color w:val="auto"/>
          <w:highlight w:val="green"/>
        </w:rPr>
        <w:t>As an initial matter, PNM and TNMP do not “oversell” their transmission systems and are unaware of transmission providers that engage in such a practice. TTC and ATC on the PNM and TNMP transmission system is determined in accordance with the</w:t>
      </w:r>
      <w:r w:rsidR="002107AB" w:rsidRPr="00D951EA">
        <w:rPr>
          <w:color w:val="auto"/>
          <w:highlight w:val="green"/>
        </w:rPr>
        <w:t xml:space="preserve"> </w:t>
      </w:r>
      <w:r w:rsidRPr="00D951EA">
        <w:rPr>
          <w:color w:val="auto"/>
          <w:highlight w:val="green"/>
        </w:rPr>
        <w:t xml:space="preserve">Companies’ OASIS-posted TTC and ATC determination procedures. These procedures establish TTC for each path in accordance with WECC and NERC reliability criteria. ATC is then determined for each path after giving effect to committed uses of the path. If ATC on a path is decremented to zero, no further transmission service is offered on the transmission path. </w:t>
      </w:r>
    </w:p>
    <w:p w:rsidR="00F435CE" w:rsidRPr="002F458D" w:rsidRDefault="00F435CE" w:rsidP="001647B8">
      <w:pPr>
        <w:pStyle w:val="Default"/>
        <w:ind w:firstLine="720"/>
        <w:rPr>
          <w:color w:val="auto"/>
        </w:rPr>
      </w:pPr>
      <w:r w:rsidRPr="00D951EA">
        <w:rPr>
          <w:color w:val="auto"/>
          <w:highlight w:val="green"/>
        </w:rPr>
        <w:t>Although PNM and TNMP offer transmission service in accordance with these procedures, which prevent “overselling” the transmission system, conditions do occur on an infrequent basis when curtailments are necessary to maintain integrity of the transmission system. This is not evidence of “overselling” transmission service, rather, it is an inherent risk of operating the transmission system, and does not justify automatic disgorgement of transmission service charges.</w:t>
      </w:r>
      <w:r w:rsidRPr="002F458D">
        <w:rPr>
          <w:color w:val="auto"/>
        </w:rPr>
        <w:t xml:space="preserve"> </w:t>
      </w:r>
    </w:p>
    <w:p w:rsidR="00F435CE" w:rsidRPr="002F458D" w:rsidRDefault="00F435CE" w:rsidP="001647B8">
      <w:pPr>
        <w:pStyle w:val="Default"/>
        <w:ind w:firstLine="720"/>
        <w:rPr>
          <w:color w:val="auto"/>
        </w:rPr>
      </w:pPr>
      <w:r w:rsidRPr="002F458D">
        <w:rPr>
          <w:color w:val="auto"/>
        </w:rPr>
        <w:t xml:space="preserve">As regards the aspect of the proposal calling for refunds for curtailments caused by events on other transmission systems, this is completely inappropriate, since a transmission provider has no part in the decision, nor any way to monitor whether a neighboring transmission provider has made improper transmission curtailments, and therefore should not be held accountable for inappropriate actions of others. </w:t>
      </w:r>
    </w:p>
    <w:p w:rsidR="00F435CE" w:rsidRPr="002F458D" w:rsidRDefault="00F435CE" w:rsidP="002F458D">
      <w:pPr>
        <w:pStyle w:val="Default"/>
        <w:ind w:firstLine="720"/>
        <w:rPr>
          <w:b/>
          <w:bCs/>
        </w:rPr>
      </w:pPr>
      <w:r w:rsidRPr="002F458D">
        <w:rPr>
          <w:color w:val="auto"/>
        </w:rPr>
        <w:t>PNM and TNMP do not condone improper transmission curtailments, and do not believe generic penalties are appropriate. Further, as stated in their initial comments (Pg. 20) PNM and TNMP believe that any penalties for improper curtailments should only be imposed in circumstances in which it can be demonstrated that the transmission provider imposed an</w:t>
      </w:r>
      <w:r w:rsidR="002107AB" w:rsidRPr="002F458D">
        <w:rPr>
          <w:color w:val="auto"/>
        </w:rPr>
        <w:t xml:space="preserve"> </w:t>
      </w:r>
      <w:r w:rsidRPr="002F458D">
        <w:rPr>
          <w:color w:val="auto"/>
        </w:rPr>
        <w:t>improper curtailment with the intent to treat a customer in an unduly discriminatory or preferential manner.</w:t>
      </w:r>
    </w:p>
    <w:p w:rsidR="00F435CE" w:rsidRDefault="00F435CE">
      <w:pPr>
        <w:pStyle w:val="CommentText"/>
      </w:pPr>
    </w:p>
  </w:comment>
  <w:comment w:id="17" w:author="Pritchard, Alan C" w:date="2018-02-02T13:58:00Z" w:initials="ACP">
    <w:p w:rsidR="00F435CE" w:rsidRDefault="00F435CE" w:rsidP="001647B8">
      <w:pPr>
        <w:rPr>
          <w:rFonts w:ascii="TimesNewRoman,Bold" w:hAnsi="TimesNewRoman,Bold" w:cs="TimesNewRoman,Bold"/>
          <w:b/>
          <w:bCs/>
          <w:sz w:val="24"/>
          <w:szCs w:val="24"/>
        </w:rPr>
      </w:pPr>
      <w:r>
        <w:rPr>
          <w:rStyle w:val="CommentReference"/>
        </w:rPr>
        <w:annotationRef/>
      </w:r>
      <w:r>
        <w:rPr>
          <w:rFonts w:ascii="TimesNewRoman,Bold" w:hAnsi="TimesNewRoman,Bold" w:cs="TimesNewRoman,Bold"/>
          <w:b/>
          <w:bCs/>
          <w:sz w:val="24"/>
          <w:szCs w:val="24"/>
        </w:rPr>
        <w:t>COMMENTS OF THE NORTHWEST INVESTOR-OWNED UTILITIES</w:t>
      </w:r>
    </w:p>
    <w:p w:rsidR="00F435CE" w:rsidRDefault="00F435CE" w:rsidP="001647B8">
      <w:pPr>
        <w:autoSpaceDE w:val="0"/>
        <w:autoSpaceDN w:val="0"/>
        <w:adjustRightInd w:val="0"/>
        <w:spacing w:after="0" w:line="240" w:lineRule="auto"/>
        <w:rPr>
          <w:rFonts w:ascii="TimesNewRoman,Bold" w:hAnsi="TimesNewRoman,Bold" w:cs="TimesNewRoman,Bold"/>
          <w:b/>
          <w:bCs/>
          <w:sz w:val="24"/>
          <w:szCs w:val="24"/>
        </w:rPr>
      </w:pPr>
      <w:r>
        <w:rPr>
          <w:rFonts w:ascii="TimesNewRoman,Bold" w:hAnsi="TimesNewRoman,Bold" w:cs="TimesNewRoman,Bold"/>
          <w:b/>
          <w:bCs/>
          <w:sz w:val="24"/>
          <w:szCs w:val="24"/>
        </w:rPr>
        <w:t>V.D.8. Transmission Curtailments</w:t>
      </w:r>
    </w:p>
    <w:p w:rsidR="00F435CE" w:rsidRPr="00532955" w:rsidRDefault="00F435CE" w:rsidP="00532955">
      <w:pPr>
        <w:autoSpaceDE w:val="0"/>
        <w:autoSpaceDN w:val="0"/>
        <w:adjustRightInd w:val="0"/>
        <w:spacing w:after="0" w:line="240" w:lineRule="auto"/>
        <w:rPr>
          <w:rFonts w:ascii="Times New Roman" w:hAnsi="Times New Roman" w:cs="Times New Roman"/>
        </w:rPr>
      </w:pPr>
      <w:r w:rsidRPr="00D951EA">
        <w:rPr>
          <w:rFonts w:ascii="Times New Roman" w:hAnsi="Times New Roman" w:cs="Times New Roman"/>
          <w:sz w:val="24"/>
          <w:szCs w:val="24"/>
          <w:highlight w:val="green"/>
        </w:rPr>
        <w:t xml:space="preserve">The Commission should reexamine the </w:t>
      </w:r>
      <w:r w:rsidRPr="00D951EA">
        <w:rPr>
          <w:rFonts w:ascii="Times New Roman" w:hAnsi="Times New Roman" w:cs="Times New Roman"/>
          <w:i/>
          <w:iCs/>
          <w:sz w:val="24"/>
          <w:szCs w:val="24"/>
          <w:highlight w:val="green"/>
        </w:rPr>
        <w:t xml:space="preserve">pro forma </w:t>
      </w:r>
      <w:r w:rsidRPr="00D951EA">
        <w:rPr>
          <w:rFonts w:ascii="Times New Roman" w:hAnsi="Times New Roman" w:cs="Times New Roman"/>
          <w:sz w:val="24"/>
          <w:szCs w:val="24"/>
          <w:highlight w:val="green"/>
        </w:rPr>
        <w:t>OATT "pro-rata" curtailments</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because different curtailments on different paths may have different effectiveness in</w:t>
      </w:r>
      <w:r w:rsidR="002107AB" w:rsidRPr="00D951EA">
        <w:rPr>
          <w:rFonts w:ascii="Times New Roman" w:hAnsi="Times New Roman" w:cs="Times New Roman"/>
          <w:sz w:val="24"/>
          <w:szCs w:val="24"/>
          <w:highlight w:val="green"/>
        </w:rPr>
        <w:t xml:space="preserve"> </w:t>
      </w:r>
      <w:r w:rsidRPr="00D951EA">
        <w:rPr>
          <w:rFonts w:ascii="Times New Roman" w:hAnsi="Times New Roman" w:cs="Times New Roman"/>
          <w:sz w:val="24"/>
          <w:szCs w:val="24"/>
          <w:highlight w:val="green"/>
        </w:rPr>
        <w:t>relieving a given transmission restraint</w:t>
      </w:r>
      <w:r w:rsidRPr="00532955">
        <w:rPr>
          <w:rFonts w:ascii="Times New Roman" w:hAnsi="Times New Roman" w:cs="Times New Roman"/>
          <w:sz w:val="24"/>
          <w:szCs w:val="24"/>
          <w:highlight w:val="yellow"/>
        </w:rPr>
        <w:t>.</w:t>
      </w:r>
      <w:r w:rsidRPr="00532955">
        <w:rPr>
          <w:rFonts w:ascii="Times New Roman" w:hAnsi="Times New Roman" w:cs="Times New Roman"/>
          <w:sz w:val="24"/>
          <w:szCs w:val="24"/>
        </w:rPr>
        <w:t xml:space="preserve"> For example, obtaining 100 MW of relief in a</w:t>
      </w:r>
      <w:r w:rsidR="002107AB" w:rsidRPr="00532955">
        <w:rPr>
          <w:rFonts w:ascii="Times New Roman" w:hAnsi="Times New Roman" w:cs="Times New Roman"/>
          <w:sz w:val="24"/>
          <w:szCs w:val="24"/>
        </w:rPr>
        <w:t xml:space="preserve"> </w:t>
      </w:r>
      <w:r w:rsidRPr="00532955">
        <w:rPr>
          <w:rFonts w:ascii="Times New Roman" w:hAnsi="Times New Roman" w:cs="Times New Roman"/>
          <w:sz w:val="24"/>
          <w:szCs w:val="24"/>
        </w:rPr>
        <w:t>transmission constraint may require 200 MW of curtailment of one transaction or it may</w:t>
      </w:r>
      <w:r w:rsidR="002107AB" w:rsidRPr="00532955">
        <w:rPr>
          <w:rFonts w:ascii="Times New Roman" w:hAnsi="Times New Roman" w:cs="Times New Roman"/>
          <w:sz w:val="24"/>
          <w:szCs w:val="24"/>
        </w:rPr>
        <w:t xml:space="preserve"> </w:t>
      </w:r>
      <w:r w:rsidRPr="00532955">
        <w:rPr>
          <w:rFonts w:ascii="Times New Roman" w:hAnsi="Times New Roman" w:cs="Times New Roman"/>
          <w:sz w:val="24"/>
          <w:szCs w:val="24"/>
        </w:rPr>
        <w:t>require 400 MW of curtailment of another transaction. The Commission should examine</w:t>
      </w:r>
      <w:r w:rsidR="002107AB" w:rsidRPr="00532955">
        <w:rPr>
          <w:rFonts w:ascii="Times New Roman" w:hAnsi="Times New Roman" w:cs="Times New Roman"/>
          <w:sz w:val="24"/>
          <w:szCs w:val="24"/>
        </w:rPr>
        <w:t xml:space="preserve"> </w:t>
      </w:r>
      <w:r w:rsidRPr="00532955">
        <w:rPr>
          <w:rFonts w:ascii="Times New Roman" w:hAnsi="Times New Roman" w:cs="Times New Roman"/>
          <w:sz w:val="24"/>
          <w:szCs w:val="24"/>
        </w:rPr>
        <w:t>whether requiring pro-rata curtailment on each of these transactions to relieve the</w:t>
      </w:r>
      <w:r w:rsidR="002107AB" w:rsidRPr="00532955">
        <w:rPr>
          <w:rFonts w:ascii="Times New Roman" w:hAnsi="Times New Roman" w:cs="Times New Roman"/>
          <w:sz w:val="24"/>
          <w:szCs w:val="24"/>
        </w:rPr>
        <w:t xml:space="preserve"> </w:t>
      </w:r>
      <w:r w:rsidRPr="00532955">
        <w:rPr>
          <w:rFonts w:ascii="Times New Roman" w:hAnsi="Times New Roman" w:cs="Times New Roman"/>
          <w:sz w:val="24"/>
          <w:szCs w:val="24"/>
        </w:rPr>
        <w:t>transmission constraint unnecessarily imposes burdens on the transmission customers.</w:t>
      </w:r>
    </w:p>
    <w:p w:rsidR="00F435CE" w:rsidRDefault="00F435CE">
      <w:pPr>
        <w:pStyle w:val="CommentText"/>
      </w:pPr>
    </w:p>
  </w:comment>
  <w:comment w:id="18" w:author="Pritchard, Alan C" w:date="2018-02-02T13:58:00Z" w:initials="ACP">
    <w:p w:rsidR="00F435CE" w:rsidRPr="00645265" w:rsidRDefault="00F435CE" w:rsidP="001647B8">
      <w:pPr>
        <w:spacing w:after="0" w:line="240" w:lineRule="auto"/>
        <w:jc w:val="center"/>
        <w:rPr>
          <w:rFonts w:ascii="Times New Roman" w:eastAsia="Times New Roman" w:hAnsi="Times New Roman" w:cs="Times New Roman"/>
          <w:b/>
          <w:sz w:val="24"/>
          <w:szCs w:val="24"/>
        </w:rPr>
      </w:pPr>
      <w:r>
        <w:rPr>
          <w:rStyle w:val="CommentReference"/>
        </w:rPr>
        <w:annotationRef/>
      </w:r>
      <w:r w:rsidRPr="00645265">
        <w:rPr>
          <w:rFonts w:ascii="Times New Roman" w:eastAsia="Times New Roman" w:hAnsi="Times New Roman" w:cs="Times New Roman"/>
          <w:b/>
          <w:sz w:val="24"/>
          <w:szCs w:val="24"/>
        </w:rPr>
        <w:t xml:space="preserve">INITIAL COMMENTS OF </w:t>
      </w:r>
    </w:p>
    <w:p w:rsidR="00F435CE" w:rsidRPr="00645265" w:rsidRDefault="00F435CE" w:rsidP="001647B8">
      <w:pPr>
        <w:spacing w:after="0" w:line="240" w:lineRule="auto"/>
        <w:jc w:val="center"/>
        <w:rPr>
          <w:rFonts w:ascii="Times New Roman" w:eastAsia="Times New Roman" w:hAnsi="Times New Roman" w:cs="Times New Roman"/>
          <w:b/>
          <w:sz w:val="24"/>
          <w:szCs w:val="24"/>
        </w:rPr>
      </w:pPr>
      <w:r w:rsidRPr="00645265">
        <w:rPr>
          <w:rFonts w:ascii="Times New Roman" w:eastAsia="Times New Roman" w:hAnsi="Times New Roman" w:cs="Times New Roman"/>
          <w:b/>
          <w:sz w:val="24"/>
          <w:szCs w:val="24"/>
        </w:rPr>
        <w:t>MANITOBA HYDRO</w:t>
      </w:r>
    </w:p>
    <w:p w:rsidR="00F435CE" w:rsidRDefault="00F435CE" w:rsidP="001647B8"/>
    <w:p w:rsidR="00F435CE" w:rsidRPr="00645265" w:rsidRDefault="00F435CE" w:rsidP="001647B8">
      <w:pPr>
        <w:autoSpaceDE w:val="0"/>
        <w:autoSpaceDN w:val="0"/>
        <w:adjustRightInd w:val="0"/>
        <w:spacing w:after="0" w:line="480" w:lineRule="auto"/>
        <w:ind w:firstLine="360"/>
        <w:jc w:val="both"/>
        <w:rPr>
          <w:rFonts w:ascii="Times New Roman" w:eastAsia="Times New Roman" w:hAnsi="Times New Roman" w:cs="Times New Roman"/>
          <w:b/>
          <w:sz w:val="24"/>
          <w:szCs w:val="24"/>
        </w:rPr>
      </w:pPr>
      <w:r w:rsidRPr="00645265">
        <w:rPr>
          <w:rFonts w:ascii="Times New Roman" w:eastAsia="Times New Roman" w:hAnsi="Times New Roman" w:cs="Times New Roman"/>
          <w:b/>
          <w:sz w:val="24"/>
          <w:szCs w:val="24"/>
        </w:rPr>
        <w:t>D.8.</w:t>
      </w:r>
      <w:r w:rsidRPr="00645265">
        <w:rPr>
          <w:rFonts w:ascii="Times New Roman" w:eastAsia="Times New Roman" w:hAnsi="Times New Roman" w:cs="Times New Roman"/>
          <w:b/>
          <w:sz w:val="24"/>
          <w:szCs w:val="24"/>
        </w:rPr>
        <w:tab/>
        <w:t>Transmission Curtailments</w:t>
      </w:r>
    </w:p>
    <w:p w:rsidR="00F435CE" w:rsidRPr="00645265" w:rsidRDefault="00F435CE" w:rsidP="00532955">
      <w:pPr>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645265">
        <w:rPr>
          <w:rFonts w:ascii="Times New Roman" w:eastAsia="Times New Roman" w:hAnsi="Times New Roman" w:cs="Times New Roman"/>
          <w:sz w:val="24"/>
          <w:szCs w:val="24"/>
        </w:rPr>
        <w:t xml:space="preserve">Finally, on the issue of transmission curtailments for which the Commission is seeking comment, Manitoba Hydro agrees with Constellation Energy Group, </w:t>
      </w:r>
      <w:proofErr w:type="spellStart"/>
      <w:r w:rsidRPr="00645265">
        <w:rPr>
          <w:rFonts w:ascii="Times New Roman" w:eastAsia="Times New Roman" w:hAnsi="Times New Roman" w:cs="Times New Roman"/>
          <w:sz w:val="24"/>
          <w:szCs w:val="24"/>
        </w:rPr>
        <w:t>Inc’s</w:t>
      </w:r>
      <w:proofErr w:type="spellEnd"/>
      <w:r w:rsidRPr="00645265">
        <w:rPr>
          <w:rFonts w:ascii="Times New Roman" w:eastAsia="Times New Roman" w:hAnsi="Times New Roman" w:cs="Times New Roman"/>
          <w:sz w:val="24"/>
          <w:szCs w:val="24"/>
        </w:rPr>
        <w:t xml:space="preserve"> assertion that “TLRs are a ‘blunt and inefficient mechanism’ for curtailment and calls for a requirement that transmission providers provide redispatch option”.</w:t>
      </w:r>
      <w:r w:rsidRPr="00645265">
        <w:rPr>
          <w:rFonts w:ascii="Times New Roman" w:eastAsia="Times New Roman" w:hAnsi="Times New Roman" w:cs="Times New Roman"/>
          <w:sz w:val="24"/>
          <w:szCs w:val="24"/>
          <w:vertAlign w:val="superscript"/>
        </w:rPr>
        <w:footnoteRef/>
      </w:r>
      <w:r w:rsidRPr="00645265">
        <w:rPr>
          <w:rFonts w:ascii="Times New Roman" w:eastAsia="Times New Roman" w:hAnsi="Times New Roman" w:cs="Times New Roman"/>
          <w:sz w:val="24"/>
          <w:szCs w:val="24"/>
        </w:rPr>
        <w:t xml:space="preserve"> </w:t>
      </w:r>
      <w:r w:rsidRPr="00D951EA">
        <w:rPr>
          <w:rFonts w:ascii="Times New Roman" w:eastAsia="Times New Roman" w:hAnsi="Times New Roman" w:cs="Times New Roman"/>
          <w:sz w:val="24"/>
          <w:szCs w:val="24"/>
          <w:highlight w:val="green"/>
        </w:rPr>
        <w:t xml:space="preserve">In Manitoba Hydro’s experience, the Midwest ISO continues to rely on TLRs more than needed when dealing with non-market to market transactions. This is largely due to the inefficient practice of mapping these flows to a marginal generator (or zone) that at times, could be electrically distant from the actual flows. As a result, when constraints occur, TLRs are called which result in curtailments that are larger than necessary, or which could have been avoided by </w:t>
      </w:r>
      <w:proofErr w:type="spellStart"/>
      <w:r w:rsidRPr="00D951EA">
        <w:rPr>
          <w:rFonts w:ascii="Times New Roman" w:eastAsia="Times New Roman" w:hAnsi="Times New Roman" w:cs="Times New Roman"/>
          <w:sz w:val="24"/>
          <w:szCs w:val="24"/>
          <w:highlight w:val="green"/>
        </w:rPr>
        <w:t>redispatching</w:t>
      </w:r>
      <w:proofErr w:type="spellEnd"/>
      <w:r w:rsidRPr="00D951EA">
        <w:rPr>
          <w:rFonts w:ascii="Times New Roman" w:eastAsia="Times New Roman" w:hAnsi="Times New Roman" w:cs="Times New Roman"/>
          <w:sz w:val="24"/>
          <w:szCs w:val="24"/>
          <w:highlight w:val="green"/>
        </w:rPr>
        <w:t xml:space="preserve"> generation more local to these flows.</w:t>
      </w:r>
      <w:r w:rsidRPr="00645265">
        <w:rPr>
          <w:rFonts w:ascii="Times New Roman" w:eastAsia="Times New Roman" w:hAnsi="Times New Roman" w:cs="Times New Roman"/>
          <w:sz w:val="24"/>
          <w:szCs w:val="24"/>
        </w:rPr>
        <w:t xml:space="preserve"> </w:t>
      </w:r>
    </w:p>
    <w:p w:rsidR="00F435CE" w:rsidRPr="00645265" w:rsidRDefault="00F435CE" w:rsidP="00532955">
      <w:pPr>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645265">
        <w:rPr>
          <w:rFonts w:ascii="Times New Roman" w:eastAsia="Times New Roman" w:hAnsi="Times New Roman" w:cs="Times New Roman"/>
          <w:sz w:val="24"/>
          <w:szCs w:val="24"/>
        </w:rPr>
        <w:t xml:space="preserve">Although manual workarounds and process improvements have been implemented by the Midwest ISO, the root cause remains. This additional risk of curtailment results in a less efficient and more costly dispatch, is to the detriment of all participants in the market and limits the involvement of some market participants in the Midwest ISO energy market. </w:t>
      </w:r>
    </w:p>
    <w:p w:rsidR="00F435CE" w:rsidRPr="00645265" w:rsidRDefault="00F435CE" w:rsidP="00532955">
      <w:pPr>
        <w:autoSpaceDE w:val="0"/>
        <w:autoSpaceDN w:val="0"/>
        <w:adjustRightInd w:val="0"/>
        <w:spacing w:after="0" w:line="240" w:lineRule="auto"/>
        <w:ind w:firstLine="360"/>
        <w:jc w:val="both"/>
        <w:rPr>
          <w:rFonts w:ascii="Times New Roman" w:eastAsia="Times New Roman" w:hAnsi="Times New Roman" w:cs="Times New Roman"/>
          <w:sz w:val="24"/>
          <w:szCs w:val="24"/>
        </w:rPr>
      </w:pPr>
      <w:r w:rsidRPr="00D951EA">
        <w:rPr>
          <w:rFonts w:ascii="Times New Roman" w:eastAsia="Times New Roman" w:hAnsi="Times New Roman" w:cs="Times New Roman"/>
          <w:sz w:val="24"/>
          <w:szCs w:val="24"/>
          <w:highlight w:val="green"/>
        </w:rPr>
        <w:t>It is our understanding that the Midwest ISO is the only Regional Transmission Organization in the Eastern Interconnect that does not redispatch when constraints occur on non-market to market flows. Manitoba Hydro urges the Commission to encourage the implementation of redispatch, and to do so to the fullest extent, before resorting to curtailment.</w:t>
      </w:r>
      <w:r w:rsidRPr="00645265">
        <w:rPr>
          <w:rFonts w:ascii="Times New Roman" w:eastAsia="Times New Roman" w:hAnsi="Times New Roman" w:cs="Times New Roman"/>
          <w:b/>
          <w:sz w:val="24"/>
          <w:szCs w:val="24"/>
        </w:rPr>
        <w:t xml:space="preserve"> </w:t>
      </w:r>
      <w:r w:rsidRPr="00645265">
        <w:rPr>
          <w:rFonts w:ascii="Times New Roman" w:eastAsia="Times New Roman" w:hAnsi="Times New Roman" w:cs="Times New Roman"/>
          <w:sz w:val="24"/>
          <w:szCs w:val="24"/>
        </w:rPr>
        <w:t xml:space="preserve"> </w:t>
      </w:r>
    </w:p>
    <w:p w:rsidR="00F435CE" w:rsidRDefault="00F435CE">
      <w:pPr>
        <w:pStyle w:val="CommentText"/>
      </w:pPr>
    </w:p>
  </w:comment>
  <w:comment w:id="19" w:author="Pritchard, Alan C" w:date="2018-02-02T13:58:00Z" w:initials="ACP">
    <w:p w:rsidR="00F435CE" w:rsidRDefault="00F435CE" w:rsidP="00F6048D">
      <w:pPr>
        <w:autoSpaceDE w:val="0"/>
        <w:autoSpaceDN w:val="0"/>
        <w:adjustRightInd w:val="0"/>
        <w:spacing w:after="0" w:line="240" w:lineRule="auto"/>
        <w:rPr>
          <w:rFonts w:ascii="Arial" w:hAnsi="Arial" w:cs="Arial"/>
          <w:color w:val="000000"/>
          <w:sz w:val="24"/>
          <w:szCs w:val="24"/>
        </w:rPr>
      </w:pPr>
      <w:r>
        <w:rPr>
          <w:rStyle w:val="CommentReference"/>
        </w:rPr>
        <w:annotationRef/>
      </w:r>
      <w:r>
        <w:rPr>
          <w:rFonts w:ascii="Arial" w:hAnsi="Arial" w:cs="Arial"/>
          <w:color w:val="000000"/>
          <w:sz w:val="24"/>
          <w:szCs w:val="24"/>
        </w:rPr>
        <w:t>Comments of Seattle (Seattle City Light)</w:t>
      </w:r>
    </w:p>
    <w:p w:rsidR="00F435CE" w:rsidRDefault="00F435CE" w:rsidP="00F6048D">
      <w:pPr>
        <w:autoSpaceDE w:val="0"/>
        <w:autoSpaceDN w:val="0"/>
        <w:adjustRightInd w:val="0"/>
        <w:spacing w:after="0" w:line="240" w:lineRule="auto"/>
        <w:rPr>
          <w:rFonts w:ascii="Arial" w:hAnsi="Arial" w:cs="Arial"/>
          <w:color w:val="000000"/>
          <w:sz w:val="24"/>
          <w:szCs w:val="24"/>
        </w:rPr>
      </w:pPr>
    </w:p>
    <w:p w:rsidR="00F435CE" w:rsidRPr="00935151" w:rsidRDefault="00F435CE" w:rsidP="00F6048D">
      <w:pPr>
        <w:autoSpaceDE w:val="0"/>
        <w:autoSpaceDN w:val="0"/>
        <w:adjustRightInd w:val="0"/>
        <w:spacing w:after="0" w:line="240" w:lineRule="auto"/>
        <w:rPr>
          <w:rFonts w:ascii="Arial" w:hAnsi="Arial" w:cs="Arial"/>
          <w:b/>
          <w:color w:val="000000"/>
          <w:sz w:val="24"/>
          <w:szCs w:val="24"/>
        </w:rPr>
      </w:pPr>
      <w:r w:rsidRPr="00935151">
        <w:rPr>
          <w:rFonts w:ascii="Arial" w:hAnsi="Arial" w:cs="Arial"/>
          <w:b/>
          <w:color w:val="000000"/>
          <w:sz w:val="24"/>
          <w:szCs w:val="24"/>
        </w:rPr>
        <w:t>4.6.9 Use of curtailments to manage congestion is inappropriate and the costs</w:t>
      </w:r>
      <w:r w:rsidR="002107AB">
        <w:rPr>
          <w:rFonts w:ascii="Arial" w:hAnsi="Arial" w:cs="Arial"/>
          <w:b/>
          <w:color w:val="000000"/>
          <w:sz w:val="24"/>
          <w:szCs w:val="24"/>
        </w:rPr>
        <w:t xml:space="preserve"> </w:t>
      </w:r>
      <w:r w:rsidRPr="00935151">
        <w:rPr>
          <w:rFonts w:ascii="Arial" w:hAnsi="Arial" w:cs="Arial"/>
          <w:b/>
          <w:color w:val="000000"/>
          <w:sz w:val="24"/>
          <w:szCs w:val="24"/>
        </w:rPr>
        <w:t>of congestion should be paid by transmission providers. (¶¶ 441-443)</w:t>
      </w:r>
    </w:p>
    <w:p w:rsidR="00F435CE" w:rsidRDefault="00F435CE" w:rsidP="00F6048D">
      <w:pPr>
        <w:autoSpaceDE w:val="0"/>
        <w:autoSpaceDN w:val="0"/>
        <w:adjustRightInd w:val="0"/>
        <w:spacing w:after="0" w:line="240" w:lineRule="auto"/>
        <w:rPr>
          <w:rFonts w:ascii="Times New Roman" w:hAnsi="Times New Roman" w:cs="Times New Roman"/>
          <w:color w:val="000000"/>
        </w:rPr>
      </w:pPr>
    </w:p>
    <w:p w:rsidR="00BD6598" w:rsidRPr="0074486D" w:rsidRDefault="00BD6598" w:rsidP="00BD6598">
      <w:pPr>
        <w:autoSpaceDE w:val="0"/>
        <w:autoSpaceDN w:val="0"/>
        <w:adjustRightInd w:val="0"/>
        <w:spacing w:after="0" w:line="240" w:lineRule="auto"/>
        <w:rPr>
          <w:rFonts w:ascii="Arial" w:hAnsi="Arial" w:cs="Arial"/>
          <w:color w:val="000000"/>
          <w:sz w:val="24"/>
          <w:szCs w:val="24"/>
        </w:rPr>
      </w:pPr>
      <w:r w:rsidRPr="0074486D">
        <w:rPr>
          <w:rFonts w:ascii="Arial" w:hAnsi="Arial" w:cs="Arial"/>
          <w:color w:val="000000"/>
          <w:sz w:val="24"/>
          <w:szCs w:val="24"/>
        </w:rPr>
        <w:t>Section 13.6 of the existing and proposed pro forma OATT permits curtailment of Firm PTP Transmission Service in the event that curtailment is required to maintain system reliability. While this is a necessary provision – particularly during emergencies – the practice of curtailments is increasingly used as a tool to manage economic congestion.</w:t>
      </w:r>
      <w:r w:rsidRPr="0074486D">
        <w:rPr>
          <w:rFonts w:ascii="Arial" w:hAnsi="Arial" w:cs="Arial"/>
          <w:b/>
          <w:color w:val="000000"/>
          <w:sz w:val="24"/>
          <w:szCs w:val="24"/>
          <w:vertAlign w:val="superscript"/>
        </w:rPr>
        <w:t>7</w:t>
      </w:r>
      <w:r w:rsidRPr="0074486D">
        <w:rPr>
          <w:rFonts w:ascii="Arial" w:hAnsi="Arial" w:cs="Arial"/>
          <w:color w:val="000000"/>
          <w:sz w:val="24"/>
          <w:szCs w:val="24"/>
        </w:rPr>
        <w:t xml:space="preserve"> While reliability becomes a factor in every instance where congestion results in lines and paths approaching operating limits, the condition often occurs during periods where firm transmission rights cannot be simultaneously accommodated on the transmission system. It has become increasingly apparent that more transmission service has been sold than can be reliably delivered. This situation is particularly acute when line maintenance outages cause major commercial paths to be </w:t>
      </w:r>
      <w:proofErr w:type="spellStart"/>
      <w:r w:rsidRPr="0074486D">
        <w:rPr>
          <w:rFonts w:ascii="Arial" w:hAnsi="Arial" w:cs="Arial"/>
          <w:color w:val="000000"/>
          <w:sz w:val="24"/>
          <w:szCs w:val="24"/>
        </w:rPr>
        <w:t>derated</w:t>
      </w:r>
      <w:proofErr w:type="spellEnd"/>
      <w:r w:rsidRPr="0074486D">
        <w:rPr>
          <w:rFonts w:ascii="Arial" w:hAnsi="Arial" w:cs="Arial"/>
          <w:color w:val="000000"/>
          <w:sz w:val="24"/>
          <w:szCs w:val="24"/>
        </w:rPr>
        <w:t xml:space="preserve"> for periods of</w:t>
      </w:r>
      <w:r>
        <w:rPr>
          <w:rFonts w:ascii="Arial" w:hAnsi="Arial" w:cs="Arial"/>
          <w:color w:val="000000"/>
          <w:sz w:val="24"/>
          <w:szCs w:val="24"/>
        </w:rPr>
        <w:t xml:space="preserve"> </w:t>
      </w:r>
      <w:r w:rsidRPr="0074486D">
        <w:rPr>
          <w:rFonts w:ascii="Arial" w:hAnsi="Arial" w:cs="Arial"/>
          <w:color w:val="000000"/>
          <w:sz w:val="24"/>
          <w:szCs w:val="24"/>
        </w:rPr>
        <w:t>weeks.</w:t>
      </w:r>
      <w:r w:rsidRPr="0074486D">
        <w:rPr>
          <w:rFonts w:ascii="Arial" w:hAnsi="Arial" w:cs="Arial"/>
          <w:b/>
          <w:color w:val="000000"/>
          <w:sz w:val="24"/>
          <w:szCs w:val="24"/>
          <w:vertAlign w:val="superscript"/>
        </w:rPr>
        <w:t>8</w:t>
      </w:r>
      <w:r w:rsidRPr="0074486D">
        <w:rPr>
          <w:rFonts w:ascii="Arial" w:hAnsi="Arial" w:cs="Arial"/>
          <w:color w:val="000000"/>
          <w:sz w:val="24"/>
          <w:szCs w:val="24"/>
        </w:rPr>
        <w:t xml:space="preserve"> From a transmission customer perspective, Firm PTP service</w:t>
      </w:r>
      <w:r>
        <w:rPr>
          <w:rFonts w:ascii="Arial" w:hAnsi="Arial" w:cs="Arial"/>
          <w:color w:val="000000"/>
          <w:sz w:val="24"/>
          <w:szCs w:val="24"/>
        </w:rPr>
        <w:t xml:space="preserve"> </w:t>
      </w:r>
      <w:r w:rsidRPr="0074486D">
        <w:rPr>
          <w:rFonts w:ascii="Arial" w:hAnsi="Arial" w:cs="Arial"/>
          <w:color w:val="000000"/>
          <w:sz w:val="24"/>
          <w:szCs w:val="24"/>
        </w:rPr>
        <w:t>today is much like the Conditional Firm Service proposed in the NOPR, except that there is no</w:t>
      </w:r>
      <w:r>
        <w:rPr>
          <w:rFonts w:ascii="Arial" w:hAnsi="Arial" w:cs="Arial"/>
          <w:color w:val="000000"/>
          <w:sz w:val="24"/>
          <w:szCs w:val="24"/>
        </w:rPr>
        <w:t xml:space="preserve"> </w:t>
      </w:r>
      <w:r w:rsidRPr="0074486D">
        <w:rPr>
          <w:rFonts w:ascii="Arial" w:hAnsi="Arial" w:cs="Arial"/>
          <w:color w:val="000000"/>
          <w:sz w:val="24"/>
          <w:szCs w:val="24"/>
        </w:rPr>
        <w:t>estimate of “conditional curtailment hours”, only a description of the operating conditions that</w:t>
      </w:r>
      <w:r>
        <w:rPr>
          <w:rFonts w:ascii="Arial" w:hAnsi="Arial" w:cs="Arial"/>
          <w:color w:val="000000"/>
          <w:sz w:val="24"/>
          <w:szCs w:val="24"/>
        </w:rPr>
        <w:t xml:space="preserve"> </w:t>
      </w:r>
      <w:r w:rsidRPr="0074486D">
        <w:rPr>
          <w:rFonts w:ascii="Arial" w:hAnsi="Arial" w:cs="Arial"/>
          <w:color w:val="000000"/>
          <w:sz w:val="24"/>
          <w:szCs w:val="24"/>
        </w:rPr>
        <w:t>may lead to curtailments.</w:t>
      </w:r>
      <w:r w:rsidRPr="0074486D">
        <w:rPr>
          <w:rFonts w:ascii="Arial" w:hAnsi="Arial" w:cs="Arial"/>
          <w:b/>
          <w:color w:val="000000"/>
          <w:sz w:val="24"/>
          <w:szCs w:val="24"/>
          <w:vertAlign w:val="superscript"/>
        </w:rPr>
        <w:t>9</w:t>
      </w:r>
    </w:p>
    <w:p w:rsidR="00BD6598" w:rsidRPr="0074486D" w:rsidRDefault="00BD6598" w:rsidP="00BD6598">
      <w:pPr>
        <w:autoSpaceDE w:val="0"/>
        <w:autoSpaceDN w:val="0"/>
        <w:adjustRightInd w:val="0"/>
        <w:spacing w:after="0" w:line="240" w:lineRule="auto"/>
        <w:rPr>
          <w:rFonts w:ascii="Arial" w:hAnsi="Arial" w:cs="Arial"/>
          <w:color w:val="000000"/>
          <w:sz w:val="24"/>
          <w:szCs w:val="24"/>
        </w:rPr>
      </w:pPr>
    </w:p>
    <w:p w:rsidR="00BD6598" w:rsidRPr="0074486D" w:rsidRDefault="00BD6598" w:rsidP="00BD6598">
      <w:pPr>
        <w:autoSpaceDE w:val="0"/>
        <w:autoSpaceDN w:val="0"/>
        <w:adjustRightInd w:val="0"/>
        <w:spacing w:after="0" w:line="240" w:lineRule="auto"/>
        <w:rPr>
          <w:rFonts w:ascii="Arial" w:hAnsi="Arial" w:cs="Arial"/>
          <w:color w:val="000000"/>
          <w:sz w:val="24"/>
          <w:szCs w:val="24"/>
        </w:rPr>
      </w:pPr>
      <w:r w:rsidRPr="0074486D">
        <w:rPr>
          <w:rFonts w:ascii="Arial" w:hAnsi="Arial" w:cs="Arial"/>
          <w:color w:val="000000"/>
          <w:sz w:val="24"/>
          <w:szCs w:val="24"/>
        </w:rPr>
        <w:t>Given this practice and the current pattern projected into the future, a transmission provider could</w:t>
      </w:r>
      <w:r>
        <w:rPr>
          <w:rFonts w:ascii="Arial" w:hAnsi="Arial" w:cs="Arial"/>
          <w:color w:val="000000"/>
          <w:sz w:val="24"/>
          <w:szCs w:val="24"/>
        </w:rPr>
        <w:t xml:space="preserve"> </w:t>
      </w:r>
      <w:r w:rsidRPr="0074486D">
        <w:rPr>
          <w:rFonts w:ascii="Arial" w:hAnsi="Arial" w:cs="Arial"/>
          <w:color w:val="000000"/>
          <w:sz w:val="24"/>
          <w:szCs w:val="24"/>
        </w:rPr>
        <w:t>allow its system to degrade to a point where chronic problems require constant maintenance and</w:t>
      </w:r>
      <w:r>
        <w:rPr>
          <w:rFonts w:ascii="Arial" w:hAnsi="Arial" w:cs="Arial"/>
          <w:color w:val="000000"/>
          <w:sz w:val="24"/>
          <w:szCs w:val="24"/>
        </w:rPr>
        <w:t xml:space="preserve"> </w:t>
      </w:r>
      <w:r w:rsidRPr="0074486D">
        <w:rPr>
          <w:rFonts w:ascii="Arial" w:hAnsi="Arial" w:cs="Arial"/>
          <w:color w:val="000000"/>
          <w:sz w:val="24"/>
          <w:szCs w:val="24"/>
        </w:rPr>
        <w:t>result in substantial capacity deratings over long periods of time. And in accordance with Section</w:t>
      </w:r>
      <w:r>
        <w:rPr>
          <w:rFonts w:ascii="Arial" w:hAnsi="Arial" w:cs="Arial"/>
          <w:color w:val="000000"/>
          <w:sz w:val="24"/>
          <w:szCs w:val="24"/>
        </w:rPr>
        <w:t xml:space="preserve"> </w:t>
      </w:r>
      <w:r w:rsidRPr="0074486D">
        <w:rPr>
          <w:rFonts w:ascii="Arial" w:hAnsi="Arial" w:cs="Arial"/>
          <w:color w:val="000000"/>
          <w:sz w:val="24"/>
          <w:szCs w:val="24"/>
        </w:rPr>
        <w:t>13.6, customers could be curtailed to a fraction of their transmission contract demand rights and</w:t>
      </w:r>
      <w:r>
        <w:rPr>
          <w:rFonts w:ascii="Arial" w:hAnsi="Arial" w:cs="Arial"/>
          <w:color w:val="000000"/>
          <w:sz w:val="24"/>
          <w:szCs w:val="24"/>
        </w:rPr>
        <w:t xml:space="preserve"> </w:t>
      </w:r>
      <w:r w:rsidRPr="0074486D">
        <w:rPr>
          <w:rFonts w:ascii="Arial" w:hAnsi="Arial" w:cs="Arial"/>
          <w:color w:val="000000"/>
          <w:sz w:val="24"/>
          <w:szCs w:val="24"/>
        </w:rPr>
        <w:t>sustain the full cost of congestion through replacement power costs. With the aging condition of</w:t>
      </w:r>
      <w:r>
        <w:rPr>
          <w:rFonts w:ascii="Arial" w:hAnsi="Arial" w:cs="Arial"/>
          <w:color w:val="000000"/>
          <w:sz w:val="24"/>
          <w:szCs w:val="24"/>
        </w:rPr>
        <w:t xml:space="preserve"> </w:t>
      </w:r>
      <w:r w:rsidRPr="0074486D">
        <w:rPr>
          <w:rFonts w:ascii="Arial" w:hAnsi="Arial" w:cs="Arial"/>
          <w:color w:val="000000"/>
          <w:sz w:val="24"/>
          <w:szCs w:val="24"/>
        </w:rPr>
        <w:t>many major transmission facilities, and lack of new facilities that reinforce the existing</w:t>
      </w:r>
      <w:r>
        <w:rPr>
          <w:rFonts w:ascii="Arial" w:hAnsi="Arial" w:cs="Arial"/>
          <w:color w:val="000000"/>
          <w:sz w:val="24"/>
          <w:szCs w:val="24"/>
        </w:rPr>
        <w:t xml:space="preserve"> </w:t>
      </w:r>
      <w:r w:rsidRPr="0074486D">
        <w:rPr>
          <w:rFonts w:ascii="Arial" w:hAnsi="Arial" w:cs="Arial"/>
          <w:color w:val="000000"/>
          <w:sz w:val="24"/>
          <w:szCs w:val="24"/>
        </w:rPr>
        <w:t>transmission network, the potential for increasing use of curtailments for congestion management</w:t>
      </w:r>
      <w:r>
        <w:rPr>
          <w:rFonts w:ascii="Arial" w:hAnsi="Arial" w:cs="Arial"/>
          <w:color w:val="000000"/>
          <w:sz w:val="24"/>
          <w:szCs w:val="24"/>
        </w:rPr>
        <w:t xml:space="preserve"> </w:t>
      </w:r>
      <w:r w:rsidRPr="0074486D">
        <w:rPr>
          <w:rFonts w:ascii="Arial" w:hAnsi="Arial" w:cs="Arial"/>
          <w:color w:val="000000"/>
          <w:sz w:val="24"/>
          <w:szCs w:val="24"/>
        </w:rPr>
        <w:t>should be acknowledged and addressed more succinctly through tariff provisions. The provisions</w:t>
      </w:r>
      <w:r>
        <w:rPr>
          <w:rFonts w:ascii="Arial" w:hAnsi="Arial" w:cs="Arial"/>
          <w:color w:val="000000"/>
          <w:sz w:val="24"/>
          <w:szCs w:val="24"/>
        </w:rPr>
        <w:t xml:space="preserve"> </w:t>
      </w:r>
      <w:r w:rsidRPr="0074486D">
        <w:rPr>
          <w:rFonts w:ascii="Arial" w:hAnsi="Arial" w:cs="Arial"/>
          <w:color w:val="000000"/>
          <w:sz w:val="24"/>
          <w:szCs w:val="24"/>
        </w:rPr>
        <w:t>of Section 13.6 were meant to address abnormal and forced outage conditions, and are not</w:t>
      </w:r>
      <w:r>
        <w:rPr>
          <w:rFonts w:ascii="Arial" w:hAnsi="Arial" w:cs="Arial"/>
          <w:color w:val="000000"/>
          <w:sz w:val="24"/>
          <w:szCs w:val="24"/>
        </w:rPr>
        <w:t xml:space="preserve"> </w:t>
      </w:r>
      <w:r w:rsidRPr="0074486D">
        <w:rPr>
          <w:rFonts w:ascii="Arial" w:hAnsi="Arial" w:cs="Arial"/>
          <w:color w:val="000000"/>
          <w:sz w:val="24"/>
          <w:szCs w:val="24"/>
        </w:rPr>
        <w:t>sufficient to address chronic congestion. Unfortunately, this has become the standard practice.</w:t>
      </w:r>
    </w:p>
    <w:p w:rsidR="00BD6598" w:rsidRPr="0074486D" w:rsidRDefault="00BD6598" w:rsidP="00BD6598">
      <w:pPr>
        <w:autoSpaceDE w:val="0"/>
        <w:autoSpaceDN w:val="0"/>
        <w:adjustRightInd w:val="0"/>
        <w:spacing w:after="0" w:line="240" w:lineRule="auto"/>
        <w:rPr>
          <w:rFonts w:ascii="Arial" w:hAnsi="Arial" w:cs="Arial"/>
          <w:color w:val="000000"/>
          <w:sz w:val="24"/>
          <w:szCs w:val="24"/>
        </w:rPr>
      </w:pPr>
    </w:p>
    <w:p w:rsidR="00BD6598" w:rsidRPr="0074486D" w:rsidRDefault="00BD6598" w:rsidP="00BD6598">
      <w:pPr>
        <w:autoSpaceDE w:val="0"/>
        <w:autoSpaceDN w:val="0"/>
        <w:adjustRightInd w:val="0"/>
        <w:spacing w:after="0" w:line="240" w:lineRule="auto"/>
        <w:rPr>
          <w:rFonts w:ascii="Arial" w:hAnsi="Arial" w:cs="Arial"/>
          <w:color w:val="000000"/>
          <w:sz w:val="24"/>
          <w:szCs w:val="24"/>
        </w:rPr>
      </w:pPr>
      <w:r w:rsidRPr="0074486D">
        <w:rPr>
          <w:rFonts w:ascii="Arial" w:hAnsi="Arial" w:cs="Arial"/>
          <w:color w:val="000000"/>
          <w:sz w:val="24"/>
          <w:szCs w:val="24"/>
        </w:rPr>
        <w:t>In spite of the fact that most, if not all, transmission customers pay a rolled-in, average embedded</w:t>
      </w:r>
      <w:r>
        <w:rPr>
          <w:rFonts w:ascii="Arial" w:hAnsi="Arial" w:cs="Arial"/>
          <w:color w:val="000000"/>
          <w:sz w:val="24"/>
          <w:szCs w:val="24"/>
        </w:rPr>
        <w:t xml:space="preserve"> </w:t>
      </w:r>
      <w:r w:rsidRPr="0074486D">
        <w:rPr>
          <w:rFonts w:ascii="Arial" w:hAnsi="Arial" w:cs="Arial"/>
          <w:color w:val="000000"/>
          <w:sz w:val="24"/>
          <w:szCs w:val="24"/>
        </w:rPr>
        <w:t>cost rate for PTP transmission service, curtailments have a distinctly asymmetrical impact on</w:t>
      </w:r>
      <w:r>
        <w:rPr>
          <w:rFonts w:ascii="Arial" w:hAnsi="Arial" w:cs="Arial"/>
          <w:color w:val="000000"/>
          <w:sz w:val="24"/>
          <w:szCs w:val="24"/>
        </w:rPr>
        <w:t xml:space="preserve"> </w:t>
      </w:r>
      <w:r w:rsidRPr="0074486D">
        <w:rPr>
          <w:rFonts w:ascii="Arial" w:hAnsi="Arial" w:cs="Arial"/>
          <w:color w:val="000000"/>
          <w:sz w:val="24"/>
          <w:szCs w:val="24"/>
        </w:rPr>
        <w:t>transmission customers whether or not they are managed in a nondiscriminatory way. Capacity on</w:t>
      </w:r>
      <w:r>
        <w:rPr>
          <w:rFonts w:ascii="Arial" w:hAnsi="Arial" w:cs="Arial"/>
          <w:color w:val="000000"/>
          <w:sz w:val="24"/>
          <w:szCs w:val="24"/>
        </w:rPr>
        <w:t xml:space="preserve"> </w:t>
      </w:r>
      <w:r w:rsidRPr="0074486D">
        <w:rPr>
          <w:rFonts w:ascii="Arial" w:hAnsi="Arial" w:cs="Arial"/>
          <w:color w:val="000000"/>
          <w:sz w:val="24"/>
          <w:szCs w:val="24"/>
        </w:rPr>
        <w:t>transmission paths has historically been sold with the presumption that the rights were firm 8,760</w:t>
      </w:r>
      <w:r>
        <w:rPr>
          <w:rFonts w:ascii="Arial" w:hAnsi="Arial" w:cs="Arial"/>
          <w:color w:val="000000"/>
          <w:sz w:val="24"/>
          <w:szCs w:val="24"/>
        </w:rPr>
        <w:t xml:space="preserve"> </w:t>
      </w:r>
      <w:r w:rsidRPr="0074486D">
        <w:rPr>
          <w:rFonts w:ascii="Arial" w:hAnsi="Arial" w:cs="Arial"/>
          <w:color w:val="000000"/>
          <w:sz w:val="24"/>
          <w:szCs w:val="24"/>
        </w:rPr>
        <w:t>hours per year except during abnormal operating conditions. Over time, through changes in</w:t>
      </w:r>
      <w:r>
        <w:rPr>
          <w:rFonts w:ascii="Arial" w:hAnsi="Arial" w:cs="Arial"/>
          <w:color w:val="000000"/>
          <w:sz w:val="24"/>
          <w:szCs w:val="24"/>
        </w:rPr>
        <w:t xml:space="preserve"> </w:t>
      </w:r>
      <w:r w:rsidRPr="0074486D">
        <w:rPr>
          <w:rFonts w:ascii="Arial" w:hAnsi="Arial" w:cs="Arial"/>
          <w:color w:val="000000"/>
          <w:sz w:val="24"/>
          <w:szCs w:val="24"/>
        </w:rPr>
        <w:t>loading and dispatch patterns, and sales of additional service to other customers, the system has</w:t>
      </w:r>
      <w:r>
        <w:rPr>
          <w:rFonts w:ascii="Arial" w:hAnsi="Arial" w:cs="Arial"/>
          <w:color w:val="000000"/>
          <w:sz w:val="24"/>
          <w:szCs w:val="24"/>
        </w:rPr>
        <w:t xml:space="preserve"> </w:t>
      </w:r>
      <w:r w:rsidRPr="0074486D">
        <w:rPr>
          <w:rFonts w:ascii="Arial" w:hAnsi="Arial" w:cs="Arial"/>
          <w:color w:val="000000"/>
          <w:sz w:val="24"/>
          <w:szCs w:val="24"/>
        </w:rPr>
        <w:t>become inadequate to meet this contractual threshold without exceeding established operating</w:t>
      </w:r>
      <w:r>
        <w:rPr>
          <w:rFonts w:ascii="Arial" w:hAnsi="Arial" w:cs="Arial"/>
          <w:color w:val="000000"/>
          <w:sz w:val="24"/>
          <w:szCs w:val="24"/>
        </w:rPr>
        <w:t xml:space="preserve"> </w:t>
      </w:r>
      <w:r w:rsidRPr="0074486D">
        <w:rPr>
          <w:rFonts w:ascii="Arial" w:hAnsi="Arial" w:cs="Arial"/>
          <w:color w:val="000000"/>
          <w:sz w:val="24"/>
          <w:szCs w:val="24"/>
        </w:rPr>
        <w:t>limits. Sales on certain paths increase, while others decline – often as a function of fuel prices.</w:t>
      </w:r>
      <w:r>
        <w:rPr>
          <w:rFonts w:ascii="Arial" w:hAnsi="Arial" w:cs="Arial"/>
          <w:color w:val="000000"/>
          <w:sz w:val="24"/>
          <w:szCs w:val="24"/>
        </w:rPr>
        <w:t xml:space="preserve"> </w:t>
      </w:r>
      <w:r w:rsidRPr="0074486D">
        <w:rPr>
          <w:rFonts w:ascii="Arial" w:hAnsi="Arial" w:cs="Arial"/>
          <w:color w:val="000000"/>
          <w:sz w:val="24"/>
          <w:szCs w:val="24"/>
        </w:rPr>
        <w:t>But Section 13.6 has provided a mechanism which, by placing the entire burden of congestion on</w:t>
      </w:r>
      <w:r>
        <w:rPr>
          <w:rFonts w:ascii="Arial" w:hAnsi="Arial" w:cs="Arial"/>
          <w:color w:val="000000"/>
          <w:sz w:val="24"/>
          <w:szCs w:val="24"/>
        </w:rPr>
        <w:t xml:space="preserve"> </w:t>
      </w:r>
      <w:r w:rsidRPr="0074486D">
        <w:rPr>
          <w:rFonts w:ascii="Arial" w:hAnsi="Arial" w:cs="Arial"/>
          <w:color w:val="000000"/>
          <w:sz w:val="24"/>
          <w:szCs w:val="24"/>
        </w:rPr>
        <w:t>the customers, reduces the incentives for transmission providers to construct new facilities to</w:t>
      </w:r>
      <w:r>
        <w:rPr>
          <w:rFonts w:ascii="Arial" w:hAnsi="Arial" w:cs="Arial"/>
          <w:color w:val="000000"/>
          <w:sz w:val="24"/>
          <w:szCs w:val="24"/>
        </w:rPr>
        <w:t xml:space="preserve"> </w:t>
      </w:r>
      <w:r w:rsidRPr="0074486D">
        <w:rPr>
          <w:rFonts w:ascii="Arial" w:hAnsi="Arial" w:cs="Arial"/>
          <w:color w:val="000000"/>
          <w:sz w:val="24"/>
          <w:szCs w:val="24"/>
        </w:rPr>
        <w:t>address this problem.</w:t>
      </w:r>
    </w:p>
    <w:p w:rsidR="00BD6598" w:rsidRPr="0074486D" w:rsidRDefault="00BD6598" w:rsidP="00BD6598">
      <w:pPr>
        <w:autoSpaceDE w:val="0"/>
        <w:autoSpaceDN w:val="0"/>
        <w:adjustRightInd w:val="0"/>
        <w:spacing w:after="0" w:line="240" w:lineRule="auto"/>
        <w:rPr>
          <w:rFonts w:ascii="Arial" w:hAnsi="Arial" w:cs="Arial"/>
          <w:color w:val="000000"/>
          <w:sz w:val="24"/>
          <w:szCs w:val="24"/>
        </w:rPr>
      </w:pPr>
    </w:p>
    <w:p w:rsidR="00BD6598" w:rsidRPr="0074486D" w:rsidRDefault="00BD6598" w:rsidP="00BD6598">
      <w:pPr>
        <w:autoSpaceDE w:val="0"/>
        <w:autoSpaceDN w:val="0"/>
        <w:adjustRightInd w:val="0"/>
        <w:spacing w:after="0" w:line="240" w:lineRule="auto"/>
        <w:rPr>
          <w:rFonts w:ascii="Arial" w:hAnsi="Arial" w:cs="Arial"/>
          <w:color w:val="000000"/>
          <w:sz w:val="24"/>
          <w:szCs w:val="24"/>
        </w:rPr>
      </w:pPr>
      <w:r w:rsidRPr="0074486D">
        <w:rPr>
          <w:rFonts w:ascii="Arial" w:hAnsi="Arial" w:cs="Arial"/>
          <w:color w:val="000000"/>
          <w:sz w:val="24"/>
          <w:szCs w:val="24"/>
        </w:rPr>
        <w:t>Furthermore, circuit age, maintenance and replacements are not based on the amount of revenue</w:t>
      </w:r>
      <w:r>
        <w:rPr>
          <w:rFonts w:ascii="Arial" w:hAnsi="Arial" w:cs="Arial"/>
          <w:color w:val="000000"/>
          <w:sz w:val="24"/>
          <w:szCs w:val="24"/>
        </w:rPr>
        <w:t xml:space="preserve"> </w:t>
      </w:r>
      <w:r w:rsidRPr="0074486D">
        <w:rPr>
          <w:rFonts w:ascii="Arial" w:hAnsi="Arial" w:cs="Arial"/>
          <w:color w:val="000000"/>
          <w:sz w:val="24"/>
          <w:szCs w:val="24"/>
        </w:rPr>
        <w:t>paid by any specific group of customers. The process of allocating resources to these activities is</w:t>
      </w:r>
      <w:r>
        <w:rPr>
          <w:rFonts w:ascii="Arial" w:hAnsi="Arial" w:cs="Arial"/>
          <w:color w:val="000000"/>
          <w:sz w:val="24"/>
          <w:szCs w:val="24"/>
        </w:rPr>
        <w:t xml:space="preserve"> </w:t>
      </w:r>
      <w:r w:rsidRPr="0074486D">
        <w:rPr>
          <w:rFonts w:ascii="Arial" w:hAnsi="Arial" w:cs="Arial"/>
          <w:color w:val="000000"/>
          <w:sz w:val="24"/>
          <w:szCs w:val="24"/>
        </w:rPr>
        <w:t>largely handled at the discretion of the transmission provider, and in the case of BPA, with input</w:t>
      </w:r>
      <w:r>
        <w:rPr>
          <w:rFonts w:ascii="Arial" w:hAnsi="Arial" w:cs="Arial"/>
          <w:color w:val="000000"/>
          <w:sz w:val="24"/>
          <w:szCs w:val="24"/>
        </w:rPr>
        <w:t xml:space="preserve"> </w:t>
      </w:r>
      <w:r w:rsidRPr="0074486D">
        <w:rPr>
          <w:rFonts w:ascii="Arial" w:hAnsi="Arial" w:cs="Arial"/>
          <w:color w:val="000000"/>
          <w:sz w:val="24"/>
          <w:szCs w:val="24"/>
        </w:rPr>
        <w:t>from the customers.</w:t>
      </w:r>
      <w:r w:rsidRPr="0074486D">
        <w:rPr>
          <w:rFonts w:ascii="Arial" w:hAnsi="Arial" w:cs="Arial"/>
          <w:b/>
          <w:color w:val="000000"/>
          <w:sz w:val="24"/>
          <w:szCs w:val="24"/>
          <w:vertAlign w:val="superscript"/>
        </w:rPr>
        <w:t>10</w:t>
      </w:r>
      <w:r w:rsidRPr="0074486D">
        <w:rPr>
          <w:rFonts w:ascii="Arial" w:hAnsi="Arial" w:cs="Arial"/>
          <w:color w:val="000000"/>
          <w:sz w:val="24"/>
          <w:szCs w:val="24"/>
        </w:rPr>
        <w:t xml:space="preserve"> Yet the urgency and schedules for completing this work are not driven by</w:t>
      </w:r>
      <w:r>
        <w:rPr>
          <w:rFonts w:ascii="Arial" w:hAnsi="Arial" w:cs="Arial"/>
          <w:color w:val="000000"/>
          <w:sz w:val="24"/>
          <w:szCs w:val="24"/>
        </w:rPr>
        <w:t xml:space="preserve"> </w:t>
      </w:r>
      <w:r w:rsidRPr="0074486D">
        <w:rPr>
          <w:rFonts w:ascii="Arial" w:hAnsi="Arial" w:cs="Arial"/>
          <w:color w:val="000000"/>
          <w:sz w:val="24"/>
          <w:szCs w:val="24"/>
        </w:rPr>
        <w:t>rigorous consideration of congestion costs and whether one group of customers is unduly</w:t>
      </w:r>
      <w:r>
        <w:rPr>
          <w:rFonts w:ascii="Arial" w:hAnsi="Arial" w:cs="Arial"/>
          <w:color w:val="000000"/>
          <w:sz w:val="24"/>
          <w:szCs w:val="24"/>
        </w:rPr>
        <w:t xml:space="preserve"> </w:t>
      </w:r>
      <w:r w:rsidRPr="0074486D">
        <w:rPr>
          <w:rFonts w:ascii="Arial" w:hAnsi="Arial" w:cs="Arial"/>
          <w:color w:val="000000"/>
          <w:sz w:val="24"/>
          <w:szCs w:val="24"/>
        </w:rPr>
        <w:t>burdened over another. Rather it is driven</w:t>
      </w:r>
      <w:r>
        <w:rPr>
          <w:rFonts w:ascii="Arial" w:hAnsi="Arial" w:cs="Arial"/>
          <w:color w:val="000000"/>
          <w:sz w:val="24"/>
          <w:szCs w:val="24"/>
        </w:rPr>
        <w:t xml:space="preserve"> </w:t>
      </w:r>
      <w:r w:rsidRPr="0074486D">
        <w:rPr>
          <w:rFonts w:ascii="Arial" w:hAnsi="Arial" w:cs="Arial"/>
          <w:color w:val="000000"/>
          <w:sz w:val="24"/>
          <w:szCs w:val="24"/>
        </w:rPr>
        <w:t>more by other factors (e.g. weather, topography, labor</w:t>
      </w:r>
      <w:r>
        <w:rPr>
          <w:rFonts w:ascii="Arial" w:hAnsi="Arial" w:cs="Arial"/>
          <w:color w:val="000000"/>
          <w:sz w:val="24"/>
          <w:szCs w:val="24"/>
        </w:rPr>
        <w:t xml:space="preserve"> </w:t>
      </w:r>
      <w:r w:rsidRPr="0074486D">
        <w:rPr>
          <w:rFonts w:ascii="Arial" w:hAnsi="Arial" w:cs="Arial"/>
          <w:color w:val="000000"/>
          <w:sz w:val="24"/>
          <w:szCs w:val="24"/>
        </w:rPr>
        <w:t>schedules and constraints) and ultimately avoidance of the next crisis. If the initial burden of</w:t>
      </w:r>
      <w:r>
        <w:rPr>
          <w:rFonts w:ascii="Arial" w:hAnsi="Arial" w:cs="Arial"/>
          <w:color w:val="000000"/>
          <w:sz w:val="24"/>
          <w:szCs w:val="24"/>
        </w:rPr>
        <w:t xml:space="preserve"> </w:t>
      </w:r>
      <w:r w:rsidRPr="0074486D">
        <w:rPr>
          <w:rFonts w:ascii="Arial" w:hAnsi="Arial" w:cs="Arial"/>
          <w:color w:val="000000"/>
          <w:sz w:val="24"/>
          <w:szCs w:val="24"/>
        </w:rPr>
        <w:t>congestion costs was placed on the transmission provider, who sold the rights in the first place,</w:t>
      </w:r>
      <w:r>
        <w:rPr>
          <w:rFonts w:ascii="Arial" w:hAnsi="Arial" w:cs="Arial"/>
          <w:color w:val="000000"/>
          <w:sz w:val="24"/>
          <w:szCs w:val="24"/>
        </w:rPr>
        <w:t xml:space="preserve"> </w:t>
      </w:r>
      <w:r w:rsidRPr="0074486D">
        <w:rPr>
          <w:rFonts w:ascii="Arial" w:hAnsi="Arial" w:cs="Arial"/>
          <w:color w:val="000000"/>
          <w:sz w:val="24"/>
          <w:szCs w:val="24"/>
        </w:rPr>
        <w:t xml:space="preserve">the </w:t>
      </w:r>
      <w:proofErr w:type="spellStart"/>
      <w:r w:rsidRPr="0074486D">
        <w:rPr>
          <w:rFonts w:ascii="Arial" w:hAnsi="Arial" w:cs="Arial"/>
          <w:color w:val="000000"/>
          <w:sz w:val="24"/>
          <w:szCs w:val="24"/>
        </w:rPr>
        <w:t>trade off</w:t>
      </w:r>
      <w:proofErr w:type="spellEnd"/>
      <w:r w:rsidRPr="0074486D">
        <w:rPr>
          <w:rFonts w:ascii="Arial" w:hAnsi="Arial" w:cs="Arial"/>
          <w:color w:val="000000"/>
          <w:sz w:val="24"/>
          <w:szCs w:val="24"/>
        </w:rPr>
        <w:t xml:space="preserve"> between paying congestion costs through redispatch or an asset management</w:t>
      </w:r>
      <w:r>
        <w:rPr>
          <w:rFonts w:ascii="Arial" w:hAnsi="Arial" w:cs="Arial"/>
          <w:color w:val="000000"/>
          <w:sz w:val="24"/>
          <w:szCs w:val="24"/>
        </w:rPr>
        <w:t xml:space="preserve"> </w:t>
      </w:r>
      <w:r w:rsidRPr="0074486D">
        <w:rPr>
          <w:rFonts w:ascii="Arial" w:hAnsi="Arial" w:cs="Arial"/>
          <w:color w:val="000000"/>
          <w:sz w:val="24"/>
          <w:szCs w:val="24"/>
        </w:rPr>
        <w:t>approach (repair, replace or expand) would be far more coherent. In cases where maintenance</w:t>
      </w:r>
      <w:r>
        <w:rPr>
          <w:rFonts w:ascii="Arial" w:hAnsi="Arial" w:cs="Arial"/>
          <w:color w:val="000000"/>
          <w:sz w:val="24"/>
          <w:szCs w:val="24"/>
        </w:rPr>
        <w:t xml:space="preserve"> </w:t>
      </w:r>
      <w:r w:rsidRPr="0074486D">
        <w:rPr>
          <w:rFonts w:ascii="Arial" w:hAnsi="Arial" w:cs="Arial"/>
          <w:color w:val="000000"/>
          <w:sz w:val="24"/>
          <w:szCs w:val="24"/>
        </w:rPr>
        <w:t>may only affect customers for short periods, it is highly likely that redispatch is the most</w:t>
      </w:r>
      <w:r>
        <w:rPr>
          <w:rFonts w:ascii="Arial" w:hAnsi="Arial" w:cs="Arial"/>
          <w:color w:val="000000"/>
          <w:sz w:val="24"/>
          <w:szCs w:val="24"/>
        </w:rPr>
        <w:t xml:space="preserve"> </w:t>
      </w:r>
      <w:r w:rsidRPr="0074486D">
        <w:rPr>
          <w:rFonts w:ascii="Arial" w:hAnsi="Arial" w:cs="Arial"/>
          <w:color w:val="000000"/>
          <w:sz w:val="24"/>
          <w:szCs w:val="24"/>
        </w:rPr>
        <w:t>economical choice. However, if the congestion problem is chronic, investment in the system may</w:t>
      </w:r>
      <w:r>
        <w:rPr>
          <w:rFonts w:ascii="Arial" w:hAnsi="Arial" w:cs="Arial"/>
          <w:color w:val="000000"/>
          <w:sz w:val="24"/>
          <w:szCs w:val="24"/>
        </w:rPr>
        <w:t xml:space="preserve"> </w:t>
      </w:r>
      <w:r w:rsidRPr="0074486D">
        <w:rPr>
          <w:rFonts w:ascii="Arial" w:hAnsi="Arial" w:cs="Arial"/>
          <w:color w:val="000000"/>
          <w:sz w:val="24"/>
          <w:szCs w:val="24"/>
        </w:rPr>
        <w:t>be needed. Having hundreds of customers claiming harm due to congestion in a public forum</w:t>
      </w:r>
      <w:r>
        <w:rPr>
          <w:rFonts w:ascii="Arial" w:hAnsi="Arial" w:cs="Arial"/>
          <w:color w:val="000000"/>
          <w:sz w:val="24"/>
          <w:szCs w:val="24"/>
        </w:rPr>
        <w:t xml:space="preserve"> </w:t>
      </w:r>
      <w:r w:rsidRPr="0074486D">
        <w:rPr>
          <w:rFonts w:ascii="Arial" w:hAnsi="Arial" w:cs="Arial"/>
          <w:color w:val="000000"/>
          <w:sz w:val="24"/>
          <w:szCs w:val="24"/>
        </w:rPr>
        <w:t>without a coherent base of</w:t>
      </w:r>
      <w:r>
        <w:rPr>
          <w:rFonts w:ascii="Arial" w:hAnsi="Arial" w:cs="Arial"/>
          <w:color w:val="000000"/>
          <w:sz w:val="24"/>
          <w:szCs w:val="24"/>
        </w:rPr>
        <w:t xml:space="preserve"> </w:t>
      </w:r>
      <w:r w:rsidRPr="0074486D">
        <w:rPr>
          <w:rFonts w:ascii="Arial" w:hAnsi="Arial" w:cs="Arial"/>
          <w:color w:val="000000"/>
          <w:sz w:val="24"/>
          <w:szCs w:val="24"/>
        </w:rPr>
        <w:t>congestion cost data to support those claims is unproductive.</w:t>
      </w:r>
    </w:p>
    <w:p w:rsidR="00BD6598" w:rsidRPr="0074486D" w:rsidRDefault="00BD6598" w:rsidP="00BD6598">
      <w:pPr>
        <w:autoSpaceDE w:val="0"/>
        <w:autoSpaceDN w:val="0"/>
        <w:adjustRightInd w:val="0"/>
        <w:spacing w:after="0" w:line="240" w:lineRule="auto"/>
        <w:rPr>
          <w:rFonts w:ascii="Arial" w:hAnsi="Arial" w:cs="Arial"/>
          <w:color w:val="000000"/>
          <w:sz w:val="24"/>
          <w:szCs w:val="24"/>
        </w:rPr>
      </w:pPr>
    </w:p>
    <w:p w:rsidR="00BD6598" w:rsidRPr="00D951EA" w:rsidRDefault="00BD6598" w:rsidP="00BD6598">
      <w:pPr>
        <w:autoSpaceDE w:val="0"/>
        <w:autoSpaceDN w:val="0"/>
        <w:adjustRightInd w:val="0"/>
        <w:spacing w:after="0" w:line="240" w:lineRule="auto"/>
        <w:rPr>
          <w:rFonts w:ascii="Arial" w:hAnsi="Arial" w:cs="Arial"/>
          <w:color w:val="000000"/>
          <w:sz w:val="24"/>
          <w:szCs w:val="24"/>
          <w:highlight w:val="green"/>
        </w:rPr>
      </w:pPr>
      <w:r w:rsidRPr="00D951EA">
        <w:rPr>
          <w:rFonts w:ascii="Arial" w:hAnsi="Arial" w:cs="Arial"/>
          <w:color w:val="000000"/>
          <w:sz w:val="24"/>
          <w:szCs w:val="24"/>
          <w:highlight w:val="green"/>
        </w:rPr>
        <w:t>The pro forma OATT should be modified to require reliability redispatch and ensure cost</w:t>
      </w:r>
      <w:r w:rsidR="002107AB" w:rsidRPr="00D951EA">
        <w:rPr>
          <w:rFonts w:ascii="Arial" w:hAnsi="Arial" w:cs="Arial"/>
          <w:color w:val="000000"/>
          <w:sz w:val="24"/>
          <w:szCs w:val="24"/>
          <w:highlight w:val="green"/>
        </w:rPr>
        <w:t xml:space="preserve"> </w:t>
      </w:r>
      <w:r w:rsidRPr="00D951EA">
        <w:rPr>
          <w:rFonts w:ascii="Arial" w:hAnsi="Arial" w:cs="Arial"/>
          <w:color w:val="000000"/>
          <w:sz w:val="24"/>
          <w:szCs w:val="24"/>
          <w:highlight w:val="green"/>
        </w:rPr>
        <w:t>recovery. Rather than having an ineffective, long-term form of firm service derived from the presumption that redispatch may be possible at highly speculative costs, a section should be added to the tariff that permits transmission providers to manage redispatch and recover the associated costs through rates. In order to ensure that the transmission provider is able to recover costs of redispatch, it should be permitted to develop an automatic adjustment clause-type rate formula for periodically truing up redispatch costs. A base amount could be included in revenue requirements with a periodic true-up for under or over recovery of redispatch costs. Generally, these costs would be allocated to all classes of customers because, as explained above, the age and condition of the system have as much – if not more – to do with congestion than the marginal requirements of firm service customers.</w:t>
      </w:r>
    </w:p>
    <w:p w:rsidR="00BD6598" w:rsidRPr="00D951EA" w:rsidRDefault="00BD6598" w:rsidP="00BD6598">
      <w:pPr>
        <w:autoSpaceDE w:val="0"/>
        <w:autoSpaceDN w:val="0"/>
        <w:adjustRightInd w:val="0"/>
        <w:spacing w:after="0" w:line="240" w:lineRule="auto"/>
        <w:rPr>
          <w:rFonts w:ascii="Arial" w:hAnsi="Arial" w:cs="Arial"/>
          <w:color w:val="000000"/>
          <w:sz w:val="24"/>
          <w:szCs w:val="24"/>
          <w:highlight w:val="green"/>
        </w:rPr>
      </w:pPr>
    </w:p>
    <w:p w:rsidR="00BD6598" w:rsidRDefault="00BD6598" w:rsidP="00BD6598">
      <w:pPr>
        <w:autoSpaceDE w:val="0"/>
        <w:autoSpaceDN w:val="0"/>
        <w:adjustRightInd w:val="0"/>
        <w:spacing w:after="0" w:line="240" w:lineRule="auto"/>
        <w:rPr>
          <w:rFonts w:ascii="Arial" w:hAnsi="Arial" w:cs="Arial"/>
          <w:color w:val="000000"/>
          <w:sz w:val="24"/>
          <w:szCs w:val="24"/>
        </w:rPr>
      </w:pPr>
      <w:r w:rsidRPr="00D951EA">
        <w:rPr>
          <w:rFonts w:ascii="Arial" w:hAnsi="Arial" w:cs="Arial"/>
          <w:color w:val="000000"/>
          <w:sz w:val="24"/>
          <w:szCs w:val="24"/>
          <w:highlight w:val="green"/>
        </w:rPr>
        <w:t>The transmission provider should prepare quarterly incident reports for redispatch events that provide a detailed</w:t>
      </w:r>
      <w:r w:rsidR="002107AB" w:rsidRPr="00D951EA">
        <w:rPr>
          <w:rFonts w:ascii="Arial" w:hAnsi="Arial" w:cs="Arial"/>
          <w:color w:val="000000"/>
          <w:sz w:val="24"/>
          <w:szCs w:val="24"/>
          <w:highlight w:val="green"/>
        </w:rPr>
        <w:t xml:space="preserve"> </w:t>
      </w:r>
      <w:r w:rsidRPr="00D951EA">
        <w:rPr>
          <w:rFonts w:ascii="Arial" w:hAnsi="Arial" w:cs="Arial"/>
          <w:color w:val="000000"/>
          <w:sz w:val="24"/>
          <w:szCs w:val="24"/>
          <w:highlight w:val="green"/>
        </w:rPr>
        <w:t>description of the events including: sequence of events leading into the redispatch; system state information (e.g. line outages); power transfer distribution factors (PTDFs) used for evaluating redispatch options; generator offers (</w:t>
      </w:r>
      <w:proofErr w:type="spellStart"/>
      <w:r w:rsidRPr="00D951EA">
        <w:rPr>
          <w:rFonts w:ascii="Arial" w:hAnsi="Arial" w:cs="Arial"/>
          <w:color w:val="000000"/>
          <w:sz w:val="24"/>
          <w:szCs w:val="24"/>
          <w:highlight w:val="green"/>
        </w:rPr>
        <w:t>inc</w:t>
      </w:r>
      <w:proofErr w:type="spellEnd"/>
      <w:r w:rsidRPr="00D951EA">
        <w:rPr>
          <w:rFonts w:ascii="Arial" w:hAnsi="Arial" w:cs="Arial"/>
          <w:color w:val="000000"/>
          <w:sz w:val="24"/>
          <w:szCs w:val="24"/>
          <w:highlight w:val="green"/>
        </w:rPr>
        <w:t xml:space="preserve"> and </w:t>
      </w:r>
      <w:proofErr w:type="spellStart"/>
      <w:r w:rsidRPr="00D951EA">
        <w:rPr>
          <w:rFonts w:ascii="Arial" w:hAnsi="Arial" w:cs="Arial"/>
          <w:color w:val="000000"/>
          <w:sz w:val="24"/>
          <w:szCs w:val="24"/>
          <w:highlight w:val="green"/>
        </w:rPr>
        <w:t>dec</w:t>
      </w:r>
      <w:proofErr w:type="spellEnd"/>
      <w:r w:rsidRPr="00D951EA">
        <w:rPr>
          <w:rFonts w:ascii="Arial" w:hAnsi="Arial" w:cs="Arial"/>
          <w:color w:val="000000"/>
          <w:sz w:val="24"/>
          <w:szCs w:val="24"/>
          <w:highlight w:val="green"/>
        </w:rPr>
        <w:t>) for redispatch; basis used for selecting generators called for redispatch; and other relevant information that supports the redispatch determinations used for each event.</w:t>
      </w:r>
      <w:r w:rsidRPr="0074486D">
        <w:rPr>
          <w:rFonts w:ascii="Arial" w:hAnsi="Arial" w:cs="Arial"/>
          <w:color w:val="000000"/>
          <w:sz w:val="24"/>
          <w:szCs w:val="24"/>
        </w:rPr>
        <w:t xml:space="preserve"> This information is needed for</w:t>
      </w:r>
      <w:r>
        <w:rPr>
          <w:rFonts w:ascii="Arial" w:hAnsi="Arial" w:cs="Arial"/>
          <w:color w:val="000000"/>
          <w:sz w:val="24"/>
          <w:szCs w:val="24"/>
        </w:rPr>
        <w:t xml:space="preserve"> </w:t>
      </w:r>
      <w:r w:rsidRPr="0074486D">
        <w:rPr>
          <w:rFonts w:ascii="Arial" w:hAnsi="Arial" w:cs="Arial"/>
          <w:color w:val="000000"/>
          <w:sz w:val="24"/>
          <w:szCs w:val="24"/>
        </w:rPr>
        <w:t>monitoring market behavior during constrained operating conditions, and assist in determine</w:t>
      </w:r>
      <w:r>
        <w:rPr>
          <w:rFonts w:ascii="Arial" w:hAnsi="Arial" w:cs="Arial"/>
          <w:color w:val="000000"/>
          <w:sz w:val="24"/>
          <w:szCs w:val="24"/>
        </w:rPr>
        <w:t xml:space="preserve"> </w:t>
      </w:r>
      <w:r w:rsidRPr="0074486D">
        <w:rPr>
          <w:rFonts w:ascii="Arial" w:hAnsi="Arial" w:cs="Arial"/>
          <w:color w:val="000000"/>
          <w:sz w:val="24"/>
          <w:szCs w:val="24"/>
        </w:rPr>
        <w:t>where chronic, commercial congestion exists. The information provided in the Redispatch</w:t>
      </w:r>
      <w:r>
        <w:rPr>
          <w:rFonts w:ascii="Arial" w:hAnsi="Arial" w:cs="Arial"/>
          <w:color w:val="000000"/>
          <w:sz w:val="24"/>
          <w:szCs w:val="24"/>
        </w:rPr>
        <w:t xml:space="preserve"> </w:t>
      </w:r>
      <w:r w:rsidRPr="0074486D">
        <w:rPr>
          <w:rFonts w:ascii="Arial" w:hAnsi="Arial" w:cs="Arial"/>
          <w:color w:val="000000"/>
          <w:sz w:val="24"/>
          <w:szCs w:val="24"/>
        </w:rPr>
        <w:t>Incident Reports should provide sufficient information regarding costs associated with congestion</w:t>
      </w:r>
      <w:r>
        <w:rPr>
          <w:rFonts w:ascii="Arial" w:hAnsi="Arial" w:cs="Arial"/>
          <w:color w:val="000000"/>
          <w:sz w:val="24"/>
          <w:szCs w:val="24"/>
        </w:rPr>
        <w:t xml:space="preserve"> </w:t>
      </w:r>
      <w:r w:rsidRPr="0074486D">
        <w:rPr>
          <w:rFonts w:ascii="Arial" w:hAnsi="Arial" w:cs="Arial"/>
          <w:color w:val="000000"/>
          <w:sz w:val="24"/>
          <w:szCs w:val="24"/>
        </w:rPr>
        <w:t>to support planning and expansion efforts. Where redispatch costs or risks are excessive,</w:t>
      </w:r>
      <w:r>
        <w:rPr>
          <w:rFonts w:ascii="Arial" w:hAnsi="Arial" w:cs="Arial"/>
          <w:color w:val="000000"/>
          <w:sz w:val="24"/>
          <w:szCs w:val="24"/>
        </w:rPr>
        <w:t xml:space="preserve"> </w:t>
      </w:r>
      <w:r w:rsidRPr="0074486D">
        <w:rPr>
          <w:rFonts w:ascii="Arial" w:hAnsi="Arial" w:cs="Arial"/>
          <w:color w:val="000000"/>
          <w:sz w:val="24"/>
          <w:szCs w:val="24"/>
        </w:rPr>
        <w:t>transmission upgrades are likely justified. If redispatch is in fact the lower cost than system</w:t>
      </w:r>
      <w:r>
        <w:rPr>
          <w:rFonts w:ascii="Arial" w:hAnsi="Arial" w:cs="Arial"/>
          <w:color w:val="000000"/>
          <w:sz w:val="24"/>
          <w:szCs w:val="24"/>
        </w:rPr>
        <w:t xml:space="preserve"> </w:t>
      </w:r>
      <w:r w:rsidRPr="0074486D">
        <w:rPr>
          <w:rFonts w:ascii="Arial" w:hAnsi="Arial" w:cs="Arial"/>
          <w:color w:val="000000"/>
          <w:sz w:val="24"/>
          <w:szCs w:val="24"/>
        </w:rPr>
        <w:t>expansion, all customers benefit from avoided construction costs.</w:t>
      </w:r>
      <w:r>
        <w:rPr>
          <w:rFonts w:ascii="Arial" w:hAnsi="Arial" w:cs="Arial"/>
          <w:color w:val="000000"/>
          <w:sz w:val="24"/>
          <w:szCs w:val="24"/>
        </w:rPr>
        <w:t xml:space="preserve"> </w:t>
      </w:r>
    </w:p>
    <w:p w:rsidR="00BD6598" w:rsidRPr="0074486D" w:rsidRDefault="00BD6598" w:rsidP="00BD6598">
      <w:pPr>
        <w:autoSpaceDE w:val="0"/>
        <w:autoSpaceDN w:val="0"/>
        <w:adjustRightInd w:val="0"/>
        <w:spacing w:after="0" w:line="240" w:lineRule="auto"/>
        <w:rPr>
          <w:rFonts w:ascii="Arial" w:hAnsi="Arial" w:cs="Arial"/>
          <w:color w:val="000000"/>
          <w:sz w:val="24"/>
          <w:szCs w:val="24"/>
        </w:rPr>
      </w:pPr>
    </w:p>
    <w:p w:rsidR="00BD6598" w:rsidRPr="00BD6598" w:rsidRDefault="00BD6598" w:rsidP="00BD6598">
      <w:pPr>
        <w:autoSpaceDE w:val="0"/>
        <w:autoSpaceDN w:val="0"/>
        <w:adjustRightInd w:val="0"/>
        <w:spacing w:after="0" w:line="240" w:lineRule="auto"/>
        <w:rPr>
          <w:rFonts w:ascii="Arial" w:hAnsi="Arial" w:cs="Arial"/>
          <w:color w:val="000000"/>
          <w:szCs w:val="24"/>
        </w:rPr>
      </w:pPr>
      <w:r w:rsidRPr="00BD6598">
        <w:rPr>
          <w:rFonts w:ascii="Arial" w:hAnsi="Arial" w:cs="Arial"/>
          <w:b/>
          <w:color w:val="000000"/>
          <w:szCs w:val="24"/>
          <w:vertAlign w:val="superscript"/>
        </w:rPr>
        <w:t>7</w:t>
      </w:r>
      <w:r w:rsidRPr="00BD6598">
        <w:rPr>
          <w:rFonts w:ascii="Arial" w:hAnsi="Arial" w:cs="Arial"/>
          <w:color w:val="000000"/>
          <w:szCs w:val="24"/>
        </w:rPr>
        <w:t xml:space="preserve"> Numerous instances of curtailments for congestion management are listed on the BPA</w:t>
      </w:r>
      <w:r w:rsidR="002107AB">
        <w:rPr>
          <w:rFonts w:ascii="Arial" w:hAnsi="Arial" w:cs="Arial"/>
          <w:color w:val="000000"/>
          <w:szCs w:val="24"/>
        </w:rPr>
        <w:t xml:space="preserve"> </w:t>
      </w:r>
      <w:r w:rsidRPr="00BD6598">
        <w:rPr>
          <w:rFonts w:ascii="Arial" w:hAnsi="Arial" w:cs="Arial"/>
          <w:color w:val="000000"/>
          <w:szCs w:val="24"/>
        </w:rPr>
        <w:t>website.</w:t>
      </w:r>
    </w:p>
    <w:p w:rsidR="00BD6598" w:rsidRPr="00BD6598" w:rsidRDefault="00BD6598" w:rsidP="00BD6598">
      <w:pPr>
        <w:autoSpaceDE w:val="0"/>
        <w:autoSpaceDN w:val="0"/>
        <w:adjustRightInd w:val="0"/>
        <w:spacing w:after="0" w:line="240" w:lineRule="auto"/>
        <w:rPr>
          <w:rFonts w:ascii="Arial" w:hAnsi="Arial" w:cs="Arial"/>
          <w:color w:val="000000"/>
          <w:szCs w:val="24"/>
        </w:rPr>
      </w:pPr>
    </w:p>
    <w:p w:rsidR="00BD6598" w:rsidRPr="00BD6598" w:rsidRDefault="00BD6598" w:rsidP="00BD6598">
      <w:pPr>
        <w:autoSpaceDE w:val="0"/>
        <w:autoSpaceDN w:val="0"/>
        <w:adjustRightInd w:val="0"/>
        <w:spacing w:after="0" w:line="240" w:lineRule="auto"/>
        <w:rPr>
          <w:rFonts w:ascii="Arial" w:hAnsi="Arial" w:cs="Arial"/>
          <w:color w:val="000000"/>
          <w:szCs w:val="24"/>
        </w:rPr>
      </w:pPr>
      <w:r w:rsidRPr="00BD6598">
        <w:rPr>
          <w:rFonts w:ascii="Arial" w:hAnsi="Arial" w:cs="Arial"/>
          <w:b/>
          <w:color w:val="000000"/>
          <w:szCs w:val="24"/>
          <w:vertAlign w:val="superscript"/>
        </w:rPr>
        <w:t>8</w:t>
      </w:r>
      <w:r w:rsidRPr="00BD6598">
        <w:rPr>
          <w:rFonts w:ascii="Arial" w:hAnsi="Arial" w:cs="Arial"/>
          <w:color w:val="000000"/>
          <w:szCs w:val="24"/>
        </w:rPr>
        <w:t xml:space="preserve"> See the Outage Coordination links at http://www.transmission.bpa.gov/oasis/bpat/outages/oasiscontent.shtm for a listing of</w:t>
      </w:r>
      <w:r w:rsidR="002107AB">
        <w:rPr>
          <w:rFonts w:ascii="Arial" w:hAnsi="Arial" w:cs="Arial"/>
          <w:color w:val="000000"/>
          <w:szCs w:val="24"/>
        </w:rPr>
        <w:t xml:space="preserve"> </w:t>
      </w:r>
      <w:proofErr w:type="spellStart"/>
      <w:r w:rsidRPr="00BD6598">
        <w:rPr>
          <w:rFonts w:ascii="Arial" w:hAnsi="Arial" w:cs="Arial"/>
          <w:color w:val="000000"/>
          <w:szCs w:val="24"/>
        </w:rPr>
        <w:t>derated</w:t>
      </w:r>
      <w:proofErr w:type="spellEnd"/>
      <w:r w:rsidRPr="00BD6598">
        <w:rPr>
          <w:rFonts w:ascii="Arial" w:hAnsi="Arial" w:cs="Arial"/>
          <w:color w:val="000000"/>
          <w:szCs w:val="24"/>
        </w:rPr>
        <w:t xml:space="preserve"> paths and the causes for these deratings on the BPA transmission system. As noted in the NOPR at ¶ 141, such postings are required by regulation at 18 CFR 37.6(d)(3) (2005).</w:t>
      </w:r>
    </w:p>
    <w:p w:rsidR="00BD6598" w:rsidRPr="00BD6598" w:rsidRDefault="00BD6598" w:rsidP="00BD6598">
      <w:pPr>
        <w:autoSpaceDE w:val="0"/>
        <w:autoSpaceDN w:val="0"/>
        <w:adjustRightInd w:val="0"/>
        <w:spacing w:after="0" w:line="240" w:lineRule="auto"/>
        <w:rPr>
          <w:rFonts w:ascii="Arial" w:hAnsi="Arial" w:cs="Arial"/>
          <w:color w:val="000000"/>
          <w:szCs w:val="24"/>
        </w:rPr>
      </w:pPr>
    </w:p>
    <w:p w:rsidR="00BD6598" w:rsidRPr="00BD6598" w:rsidRDefault="00BD6598" w:rsidP="00BD6598">
      <w:pPr>
        <w:autoSpaceDE w:val="0"/>
        <w:autoSpaceDN w:val="0"/>
        <w:adjustRightInd w:val="0"/>
        <w:spacing w:after="0" w:line="240" w:lineRule="auto"/>
        <w:rPr>
          <w:rFonts w:ascii="Arial" w:hAnsi="Arial" w:cs="Arial"/>
          <w:color w:val="000000"/>
          <w:szCs w:val="24"/>
        </w:rPr>
      </w:pPr>
      <w:r w:rsidRPr="00BD6598">
        <w:rPr>
          <w:rFonts w:ascii="Arial" w:hAnsi="Arial" w:cs="Arial"/>
          <w:b/>
          <w:color w:val="000000"/>
          <w:szCs w:val="24"/>
          <w:vertAlign w:val="superscript"/>
        </w:rPr>
        <w:t>9</w:t>
      </w:r>
      <w:r w:rsidRPr="00BD6598">
        <w:rPr>
          <w:rFonts w:ascii="Arial" w:hAnsi="Arial" w:cs="Arial"/>
          <w:color w:val="000000"/>
          <w:szCs w:val="24"/>
        </w:rPr>
        <w:t xml:space="preserve"> NOPR at ¶ 319.</w:t>
      </w:r>
    </w:p>
    <w:p w:rsidR="00BD6598" w:rsidRPr="00BD6598" w:rsidRDefault="00BD6598" w:rsidP="00BD6598">
      <w:pPr>
        <w:autoSpaceDE w:val="0"/>
        <w:autoSpaceDN w:val="0"/>
        <w:adjustRightInd w:val="0"/>
        <w:spacing w:after="0" w:line="240" w:lineRule="auto"/>
        <w:rPr>
          <w:rFonts w:ascii="Arial" w:hAnsi="Arial" w:cs="Arial"/>
          <w:color w:val="000000"/>
          <w:szCs w:val="24"/>
        </w:rPr>
      </w:pPr>
    </w:p>
    <w:p w:rsidR="00F435CE" w:rsidRPr="00CB0F17" w:rsidRDefault="00BD6598" w:rsidP="00CB0F17">
      <w:pPr>
        <w:autoSpaceDE w:val="0"/>
        <w:autoSpaceDN w:val="0"/>
        <w:adjustRightInd w:val="0"/>
        <w:spacing w:after="0" w:line="240" w:lineRule="auto"/>
        <w:rPr>
          <w:rFonts w:ascii="Arial" w:hAnsi="Arial" w:cs="Arial"/>
          <w:color w:val="000000"/>
          <w:szCs w:val="24"/>
        </w:rPr>
      </w:pPr>
      <w:r w:rsidRPr="00BD6598">
        <w:rPr>
          <w:rFonts w:ascii="Arial" w:hAnsi="Arial" w:cs="Arial"/>
          <w:b/>
          <w:color w:val="000000"/>
          <w:szCs w:val="24"/>
          <w:vertAlign w:val="superscript"/>
        </w:rPr>
        <w:t xml:space="preserve">10 </w:t>
      </w:r>
      <w:r w:rsidRPr="00BD6598">
        <w:rPr>
          <w:rFonts w:ascii="Arial" w:hAnsi="Arial" w:cs="Arial"/>
          <w:color w:val="000000"/>
          <w:szCs w:val="24"/>
        </w:rPr>
        <w:t xml:space="preserve">See the BPA 2006 TBL Programs in Review website at </w:t>
      </w:r>
      <w:r w:rsidRPr="00BD6598">
        <w:rPr>
          <w:rFonts w:ascii="Arial" w:hAnsi="Arial" w:cs="Arial"/>
          <w:color w:val="0000FF"/>
          <w:szCs w:val="24"/>
        </w:rPr>
        <w:t xml:space="preserve">www.transmission.bpa.gov </w:t>
      </w:r>
      <w:r w:rsidRPr="00BD6598">
        <w:rPr>
          <w:rFonts w:ascii="Arial" w:hAnsi="Arial" w:cs="Arial"/>
          <w:color w:val="000000"/>
          <w:szCs w:val="24"/>
        </w:rPr>
        <w:t>for</w:t>
      </w:r>
      <w:r w:rsidR="002107AB">
        <w:rPr>
          <w:rFonts w:ascii="Arial" w:hAnsi="Arial" w:cs="Arial"/>
          <w:color w:val="000000"/>
          <w:szCs w:val="24"/>
        </w:rPr>
        <w:t xml:space="preserve"> </w:t>
      </w:r>
      <w:r w:rsidRPr="00BD6598">
        <w:rPr>
          <w:rFonts w:ascii="Arial" w:hAnsi="Arial" w:cs="Arial"/>
          <w:color w:val="000000"/>
          <w:szCs w:val="24"/>
        </w:rPr>
        <w:t>infor</w:t>
      </w:r>
      <w:r w:rsidR="002107AB">
        <w:rPr>
          <w:rFonts w:ascii="Arial" w:hAnsi="Arial" w:cs="Arial"/>
          <w:color w:val="000000"/>
          <w:szCs w:val="24"/>
        </w:rPr>
        <w:t>mation about this process.</w:t>
      </w:r>
    </w:p>
  </w:comment>
  <w:comment w:id="20" w:author="Pritchard, Alan C" w:date="2018-02-01T12:31:00Z" w:initials="ACP">
    <w:p w:rsidR="00B12A31" w:rsidRDefault="00B12A31">
      <w:pPr>
        <w:pStyle w:val="CommentText"/>
      </w:pPr>
      <w:r>
        <w:rPr>
          <w:rStyle w:val="CommentReference"/>
        </w:rPr>
        <w:annotationRef/>
      </w:r>
      <w:r w:rsidR="002107AB">
        <w:t>See comment ACP2</w:t>
      </w:r>
    </w:p>
  </w:comment>
  <w:comment w:id="21" w:author="Pritchard, Alan C" w:date="2018-02-01T12:31:00Z" w:initials="ACP">
    <w:p w:rsidR="00B12A31" w:rsidRDefault="00B12A31">
      <w:pPr>
        <w:pStyle w:val="CommentText"/>
      </w:pPr>
      <w:r>
        <w:rPr>
          <w:rStyle w:val="CommentReference"/>
        </w:rPr>
        <w:annotationRef/>
      </w:r>
      <w:r w:rsidR="002107AB">
        <w:t>See comment ACP5</w:t>
      </w:r>
    </w:p>
  </w:comment>
  <w:comment w:id="22" w:author="Pritchard, Alan C" w:date="2018-02-02T13:58:00Z" w:initials="ACP">
    <w:p w:rsidR="00F435CE" w:rsidRPr="00BD6598" w:rsidRDefault="00F435CE" w:rsidP="00BD6598">
      <w:pPr>
        <w:spacing w:before="91" w:line="240" w:lineRule="auto"/>
        <w:ind w:right="994"/>
        <w:jc w:val="center"/>
        <w:rPr>
          <w:b/>
          <w:sz w:val="28"/>
          <w:szCs w:val="28"/>
        </w:rPr>
      </w:pPr>
      <w:r w:rsidRPr="00BD6598">
        <w:rPr>
          <w:rStyle w:val="CommentReference"/>
          <w:sz w:val="28"/>
          <w:szCs w:val="28"/>
        </w:rPr>
        <w:annotationRef/>
      </w:r>
      <w:r w:rsidRPr="00BD6598">
        <w:rPr>
          <w:b/>
          <w:w w:val="105"/>
          <w:sz w:val="28"/>
          <w:szCs w:val="28"/>
        </w:rPr>
        <w:t>INITIAL COMMENTS OF THE SOUTHWESTERN ELECTRIC COOPERATIVE, INC.</w:t>
      </w:r>
    </w:p>
    <w:p w:rsidR="00F435CE" w:rsidRPr="00B12A31" w:rsidRDefault="00F435CE" w:rsidP="00BD6598">
      <w:pPr>
        <w:pStyle w:val="ListParagraph"/>
        <w:numPr>
          <w:ilvl w:val="0"/>
          <w:numId w:val="5"/>
        </w:numPr>
        <w:tabs>
          <w:tab w:val="left" w:pos="2625"/>
          <w:tab w:val="left" w:pos="2626"/>
        </w:tabs>
        <w:ind w:right="173"/>
        <w:rPr>
          <w:color w:val="070707"/>
          <w:sz w:val="24"/>
          <w:szCs w:val="24"/>
        </w:rPr>
      </w:pPr>
      <w:r w:rsidRPr="00B12A31">
        <w:rPr>
          <w:color w:val="070707"/>
          <w:w w:val="105"/>
          <w:sz w:val="24"/>
          <w:szCs w:val="24"/>
        </w:rPr>
        <w:t>Southwestern</w:t>
      </w:r>
      <w:r w:rsidRPr="00B12A31">
        <w:rPr>
          <w:color w:val="070707"/>
          <w:spacing w:val="3"/>
          <w:w w:val="105"/>
          <w:sz w:val="24"/>
          <w:szCs w:val="24"/>
        </w:rPr>
        <w:t xml:space="preserve"> </w:t>
      </w:r>
      <w:r w:rsidRPr="00B12A31">
        <w:rPr>
          <w:color w:val="070707"/>
          <w:w w:val="105"/>
          <w:sz w:val="24"/>
          <w:szCs w:val="24"/>
        </w:rPr>
        <w:t>urges</w:t>
      </w:r>
      <w:r w:rsidRPr="00B12A31">
        <w:rPr>
          <w:color w:val="070707"/>
          <w:spacing w:val="-17"/>
          <w:w w:val="105"/>
          <w:sz w:val="24"/>
          <w:szCs w:val="24"/>
        </w:rPr>
        <w:t xml:space="preserve"> </w:t>
      </w:r>
      <w:r w:rsidRPr="00B12A31">
        <w:rPr>
          <w:color w:val="070707"/>
          <w:w w:val="105"/>
          <w:sz w:val="24"/>
          <w:szCs w:val="24"/>
        </w:rPr>
        <w:t>the</w:t>
      </w:r>
      <w:r w:rsidRPr="00B12A31">
        <w:rPr>
          <w:color w:val="070707"/>
          <w:spacing w:val="-9"/>
          <w:w w:val="105"/>
          <w:sz w:val="24"/>
          <w:szCs w:val="24"/>
        </w:rPr>
        <w:t xml:space="preserve"> </w:t>
      </w:r>
      <w:r w:rsidRPr="00B12A31">
        <w:rPr>
          <w:color w:val="070707"/>
          <w:w w:val="105"/>
          <w:sz w:val="24"/>
          <w:szCs w:val="24"/>
        </w:rPr>
        <w:t>Commission</w:t>
      </w:r>
      <w:r w:rsidRPr="00B12A31">
        <w:rPr>
          <w:color w:val="070707"/>
          <w:spacing w:val="-9"/>
          <w:w w:val="105"/>
          <w:sz w:val="24"/>
          <w:szCs w:val="24"/>
        </w:rPr>
        <w:t xml:space="preserve"> </w:t>
      </w:r>
      <w:r w:rsidRPr="00B12A31">
        <w:rPr>
          <w:color w:val="070707"/>
          <w:w w:val="105"/>
          <w:sz w:val="24"/>
          <w:szCs w:val="24"/>
        </w:rPr>
        <w:t>to</w:t>
      </w:r>
      <w:r w:rsidRPr="00B12A31">
        <w:rPr>
          <w:color w:val="070707"/>
          <w:spacing w:val="-13"/>
          <w:w w:val="105"/>
          <w:sz w:val="24"/>
          <w:szCs w:val="24"/>
        </w:rPr>
        <w:t xml:space="preserve"> </w:t>
      </w:r>
      <w:r w:rsidRPr="00B12A31">
        <w:rPr>
          <w:color w:val="070707"/>
          <w:w w:val="105"/>
          <w:sz w:val="24"/>
          <w:szCs w:val="24"/>
        </w:rPr>
        <w:t>require</w:t>
      </w:r>
      <w:r w:rsidRPr="00B12A31">
        <w:rPr>
          <w:color w:val="070707"/>
          <w:spacing w:val="-8"/>
          <w:w w:val="105"/>
          <w:sz w:val="24"/>
          <w:szCs w:val="24"/>
        </w:rPr>
        <w:t xml:space="preserve"> </w:t>
      </w:r>
      <w:r w:rsidRPr="00B12A31">
        <w:rPr>
          <w:color w:val="070707"/>
          <w:w w:val="105"/>
          <w:sz w:val="24"/>
          <w:szCs w:val="24"/>
        </w:rPr>
        <w:t>Transmission</w:t>
      </w:r>
      <w:r w:rsidRPr="00B12A31">
        <w:rPr>
          <w:color w:val="070707"/>
          <w:spacing w:val="-1"/>
          <w:w w:val="105"/>
          <w:sz w:val="24"/>
          <w:szCs w:val="24"/>
        </w:rPr>
        <w:t xml:space="preserve"> </w:t>
      </w:r>
      <w:r w:rsidRPr="00B12A31">
        <w:rPr>
          <w:color w:val="070707"/>
          <w:w w:val="105"/>
          <w:sz w:val="24"/>
          <w:szCs w:val="24"/>
        </w:rPr>
        <w:t>Providers to</w:t>
      </w:r>
      <w:r w:rsidRPr="00B12A31">
        <w:rPr>
          <w:color w:val="070707"/>
          <w:spacing w:val="-14"/>
          <w:w w:val="105"/>
          <w:sz w:val="24"/>
          <w:szCs w:val="24"/>
        </w:rPr>
        <w:t xml:space="preserve"> </w:t>
      </w:r>
      <w:r w:rsidRPr="00B12A31">
        <w:rPr>
          <w:color w:val="070707"/>
          <w:w w:val="105"/>
          <w:sz w:val="24"/>
          <w:szCs w:val="24"/>
        </w:rPr>
        <w:t>post</w:t>
      </w:r>
      <w:r w:rsidRPr="00B12A31">
        <w:rPr>
          <w:color w:val="070707"/>
          <w:spacing w:val="-10"/>
          <w:w w:val="105"/>
          <w:sz w:val="24"/>
          <w:szCs w:val="24"/>
        </w:rPr>
        <w:t xml:space="preserve"> </w:t>
      </w:r>
      <w:r w:rsidRPr="00B12A31">
        <w:rPr>
          <w:color w:val="070707"/>
          <w:w w:val="105"/>
          <w:sz w:val="24"/>
          <w:szCs w:val="24"/>
        </w:rPr>
        <w:t>all available information relating to curtailments, and to adjust penalty provisions for Transmission Providers who discriminatorily curtail a customer. (Section V., Part</w:t>
      </w:r>
      <w:r w:rsidRPr="00B12A31">
        <w:rPr>
          <w:color w:val="070707"/>
          <w:spacing w:val="33"/>
          <w:w w:val="105"/>
          <w:sz w:val="24"/>
          <w:szCs w:val="24"/>
        </w:rPr>
        <w:t xml:space="preserve"> </w:t>
      </w:r>
      <w:r w:rsidRPr="00B12A31">
        <w:rPr>
          <w:color w:val="070707"/>
          <w:w w:val="105"/>
          <w:sz w:val="24"/>
          <w:szCs w:val="24"/>
        </w:rPr>
        <w:t>F.)</w:t>
      </w:r>
    </w:p>
    <w:p w:rsidR="00F435CE" w:rsidRDefault="00F435CE" w:rsidP="00BD6598">
      <w:pPr>
        <w:pStyle w:val="Heading4"/>
        <w:keepNext w:val="0"/>
        <w:keepLines w:val="0"/>
        <w:widowControl w:val="0"/>
        <w:numPr>
          <w:ilvl w:val="0"/>
          <w:numId w:val="6"/>
        </w:numPr>
        <w:tabs>
          <w:tab w:val="left" w:pos="1562"/>
          <w:tab w:val="left" w:pos="1563"/>
        </w:tabs>
        <w:adjustRightInd/>
        <w:spacing w:before="12" w:after="0"/>
      </w:pPr>
      <w:r>
        <w:rPr>
          <w:w w:val="105"/>
        </w:rPr>
        <w:t>Posting of Transmission Curtailment Information on</w:t>
      </w:r>
      <w:r>
        <w:rPr>
          <w:spacing w:val="-12"/>
          <w:w w:val="105"/>
        </w:rPr>
        <w:t xml:space="preserve"> </w:t>
      </w:r>
      <w:r>
        <w:rPr>
          <w:w w:val="105"/>
        </w:rPr>
        <w:t>OASIS</w:t>
      </w:r>
    </w:p>
    <w:p w:rsidR="00F435CE" w:rsidRDefault="00F435CE" w:rsidP="00BD6598">
      <w:pPr>
        <w:pStyle w:val="BodyText"/>
        <w:spacing w:before="7"/>
        <w:rPr>
          <w:b/>
          <w:sz w:val="24"/>
        </w:rPr>
      </w:pPr>
    </w:p>
    <w:p w:rsidR="00F435CE" w:rsidRPr="00D951EA" w:rsidRDefault="00F435CE" w:rsidP="00BD6598">
      <w:pPr>
        <w:pStyle w:val="ListParagraph"/>
        <w:numPr>
          <w:ilvl w:val="0"/>
          <w:numId w:val="7"/>
        </w:numPr>
        <w:tabs>
          <w:tab w:val="left" w:pos="1560"/>
          <w:tab w:val="left" w:pos="1561"/>
        </w:tabs>
        <w:spacing w:before="1"/>
        <w:ind w:right="110"/>
        <w:rPr>
          <w:sz w:val="24"/>
          <w:szCs w:val="24"/>
          <w:highlight w:val="green"/>
        </w:rPr>
      </w:pPr>
      <w:r w:rsidRPr="00BD6598">
        <w:rPr>
          <w:w w:val="105"/>
          <w:sz w:val="24"/>
          <w:szCs w:val="24"/>
        </w:rPr>
        <w:t>The Commission sought comments on the posting of information related to curtailments. NOPR at P 442. Specifically, the Commission noted the plethora of comments claiming that the current informational postings on curtailments are insufficient and sought to determine</w:t>
      </w:r>
      <w:r w:rsidRPr="00BD6598">
        <w:rPr>
          <w:spacing w:val="-4"/>
          <w:w w:val="105"/>
          <w:sz w:val="24"/>
          <w:szCs w:val="24"/>
        </w:rPr>
        <w:t xml:space="preserve"> </w:t>
      </w:r>
      <w:r w:rsidRPr="00BD6598">
        <w:rPr>
          <w:w w:val="105"/>
          <w:sz w:val="24"/>
          <w:szCs w:val="24"/>
        </w:rPr>
        <w:t>if</w:t>
      </w:r>
      <w:r w:rsidRPr="00BD6598">
        <w:rPr>
          <w:spacing w:val="-10"/>
          <w:w w:val="105"/>
          <w:sz w:val="24"/>
          <w:szCs w:val="24"/>
        </w:rPr>
        <w:t xml:space="preserve"> </w:t>
      </w:r>
      <w:r w:rsidRPr="00BD6598">
        <w:rPr>
          <w:w w:val="105"/>
          <w:sz w:val="24"/>
          <w:szCs w:val="24"/>
        </w:rPr>
        <w:t>the</w:t>
      </w:r>
      <w:r w:rsidRPr="00BD6598">
        <w:rPr>
          <w:spacing w:val="-7"/>
          <w:w w:val="105"/>
          <w:sz w:val="24"/>
          <w:szCs w:val="24"/>
        </w:rPr>
        <w:t xml:space="preserve"> </w:t>
      </w:r>
      <w:r w:rsidRPr="00BD6598">
        <w:rPr>
          <w:w w:val="105"/>
          <w:sz w:val="24"/>
          <w:szCs w:val="24"/>
        </w:rPr>
        <w:t>insufficiency</w:t>
      </w:r>
      <w:r w:rsidRPr="00BD6598">
        <w:rPr>
          <w:spacing w:val="6"/>
          <w:w w:val="105"/>
          <w:sz w:val="24"/>
          <w:szCs w:val="24"/>
        </w:rPr>
        <w:t xml:space="preserve"> </w:t>
      </w:r>
      <w:r w:rsidRPr="00BD6598">
        <w:rPr>
          <w:w w:val="105"/>
          <w:sz w:val="24"/>
          <w:szCs w:val="24"/>
        </w:rPr>
        <w:t>of</w:t>
      </w:r>
      <w:r w:rsidRPr="00BD6598">
        <w:rPr>
          <w:spacing w:val="-14"/>
          <w:w w:val="105"/>
          <w:sz w:val="24"/>
          <w:szCs w:val="24"/>
        </w:rPr>
        <w:t xml:space="preserve"> </w:t>
      </w:r>
      <w:r w:rsidRPr="00BD6598">
        <w:rPr>
          <w:w w:val="105"/>
          <w:sz w:val="24"/>
          <w:szCs w:val="24"/>
        </w:rPr>
        <w:t>curtailment</w:t>
      </w:r>
      <w:r w:rsidRPr="00BD6598">
        <w:rPr>
          <w:spacing w:val="10"/>
          <w:w w:val="105"/>
          <w:sz w:val="24"/>
          <w:szCs w:val="24"/>
        </w:rPr>
        <w:t xml:space="preserve"> </w:t>
      </w:r>
      <w:r w:rsidRPr="00BD6598">
        <w:rPr>
          <w:w w:val="105"/>
          <w:sz w:val="24"/>
          <w:szCs w:val="24"/>
        </w:rPr>
        <w:t>information</w:t>
      </w:r>
      <w:r w:rsidRPr="00BD6598">
        <w:rPr>
          <w:spacing w:val="-4"/>
          <w:w w:val="105"/>
          <w:sz w:val="24"/>
          <w:szCs w:val="24"/>
        </w:rPr>
        <w:t xml:space="preserve"> </w:t>
      </w:r>
      <w:r w:rsidRPr="00BD6598">
        <w:rPr>
          <w:w w:val="105"/>
          <w:sz w:val="24"/>
          <w:szCs w:val="24"/>
        </w:rPr>
        <w:t>was</w:t>
      </w:r>
      <w:r w:rsidRPr="00BD6598">
        <w:rPr>
          <w:spacing w:val="-15"/>
          <w:w w:val="105"/>
          <w:sz w:val="24"/>
          <w:szCs w:val="24"/>
        </w:rPr>
        <w:t xml:space="preserve"> </w:t>
      </w:r>
      <w:r w:rsidRPr="00BD6598">
        <w:rPr>
          <w:w w:val="105"/>
          <w:sz w:val="24"/>
          <w:szCs w:val="24"/>
        </w:rPr>
        <w:t>due</w:t>
      </w:r>
      <w:r w:rsidRPr="00BD6598">
        <w:rPr>
          <w:spacing w:val="-10"/>
          <w:w w:val="105"/>
          <w:sz w:val="24"/>
          <w:szCs w:val="24"/>
        </w:rPr>
        <w:t xml:space="preserve"> </w:t>
      </w:r>
      <w:r w:rsidRPr="00BD6598">
        <w:rPr>
          <w:w w:val="105"/>
          <w:sz w:val="24"/>
          <w:szCs w:val="24"/>
        </w:rPr>
        <w:t>to</w:t>
      </w:r>
      <w:r w:rsidRPr="00BD6598">
        <w:rPr>
          <w:spacing w:val="-16"/>
          <w:w w:val="105"/>
          <w:sz w:val="24"/>
          <w:szCs w:val="24"/>
        </w:rPr>
        <w:t xml:space="preserve"> </w:t>
      </w:r>
      <w:r w:rsidRPr="00BD6598">
        <w:rPr>
          <w:w w:val="105"/>
          <w:sz w:val="24"/>
          <w:szCs w:val="24"/>
        </w:rPr>
        <w:t>poor</w:t>
      </w:r>
      <w:r w:rsidRPr="00BD6598">
        <w:rPr>
          <w:spacing w:val="-2"/>
          <w:w w:val="105"/>
          <w:sz w:val="24"/>
          <w:szCs w:val="24"/>
        </w:rPr>
        <w:t xml:space="preserve"> </w:t>
      </w:r>
      <w:r w:rsidRPr="00BD6598">
        <w:rPr>
          <w:w w:val="105"/>
          <w:sz w:val="24"/>
          <w:szCs w:val="24"/>
        </w:rPr>
        <w:t>posting</w:t>
      </w:r>
      <w:r w:rsidRPr="00BD6598">
        <w:rPr>
          <w:spacing w:val="-2"/>
          <w:w w:val="105"/>
          <w:sz w:val="24"/>
          <w:szCs w:val="24"/>
        </w:rPr>
        <w:t xml:space="preserve"> </w:t>
      </w:r>
      <w:r w:rsidRPr="00BD6598">
        <w:rPr>
          <w:w w:val="105"/>
          <w:sz w:val="24"/>
          <w:szCs w:val="24"/>
        </w:rPr>
        <w:t>requirements,</w:t>
      </w:r>
      <w:r w:rsidRPr="00BD6598">
        <w:rPr>
          <w:spacing w:val="6"/>
          <w:w w:val="105"/>
          <w:sz w:val="24"/>
          <w:szCs w:val="24"/>
        </w:rPr>
        <w:t xml:space="preserve"> </w:t>
      </w:r>
      <w:r w:rsidRPr="00BD6598">
        <w:rPr>
          <w:w w:val="105"/>
          <w:sz w:val="24"/>
          <w:szCs w:val="24"/>
        </w:rPr>
        <w:t xml:space="preserve">a lack of compliance with those requirements, or some other cause. </w:t>
      </w:r>
      <w:r w:rsidRPr="00B12A31">
        <w:rPr>
          <w:w w:val="105"/>
          <w:sz w:val="24"/>
          <w:szCs w:val="24"/>
        </w:rPr>
        <w:t>The Commission should enforce its requirement that transmission providers to post all curtailment information. Without strict enforcement, this requirement has not been faithfully</w:t>
      </w:r>
      <w:r w:rsidR="002107AB" w:rsidRPr="00B12A31">
        <w:rPr>
          <w:w w:val="105"/>
          <w:sz w:val="24"/>
          <w:szCs w:val="24"/>
        </w:rPr>
        <w:t xml:space="preserve"> </w:t>
      </w:r>
      <w:r w:rsidRPr="00B12A31">
        <w:rPr>
          <w:w w:val="105"/>
          <w:sz w:val="24"/>
          <w:szCs w:val="24"/>
        </w:rPr>
        <w:t>implemented.</w:t>
      </w:r>
      <w:r w:rsidRPr="00BD6598">
        <w:rPr>
          <w:w w:val="105"/>
          <w:sz w:val="24"/>
          <w:szCs w:val="24"/>
          <w:highlight w:val="yellow"/>
        </w:rPr>
        <w:t xml:space="preserve"> </w:t>
      </w:r>
      <w:r w:rsidRPr="00D951EA">
        <w:rPr>
          <w:w w:val="105"/>
          <w:sz w:val="24"/>
          <w:szCs w:val="24"/>
          <w:highlight w:val="green"/>
        </w:rPr>
        <w:t>To ensure compliance, the Commission should adopt generic penalties for curtailment violations. NOPR at P</w:t>
      </w:r>
      <w:r w:rsidRPr="00D951EA">
        <w:rPr>
          <w:spacing w:val="-20"/>
          <w:w w:val="105"/>
          <w:sz w:val="24"/>
          <w:szCs w:val="24"/>
          <w:highlight w:val="green"/>
        </w:rPr>
        <w:t xml:space="preserve"> </w:t>
      </w:r>
      <w:r w:rsidRPr="00D951EA">
        <w:rPr>
          <w:w w:val="105"/>
          <w:sz w:val="24"/>
          <w:szCs w:val="24"/>
          <w:highlight w:val="green"/>
        </w:rPr>
        <w:t>443.</w:t>
      </w:r>
    </w:p>
    <w:p w:rsidR="00F435CE" w:rsidRDefault="00F435CE">
      <w:pPr>
        <w:pStyle w:val="CommentText"/>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5CE" w:rsidRDefault="00F435CE" w:rsidP="003D1991">
      <w:pPr>
        <w:spacing w:after="0" w:line="240" w:lineRule="auto"/>
      </w:pPr>
      <w:r>
        <w:separator/>
      </w:r>
    </w:p>
  </w:endnote>
  <w:endnote w:type="continuationSeparator" w:id="0">
    <w:p w:rsidR="00F435CE" w:rsidRDefault="00F435CE" w:rsidP="003D1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312242"/>
      <w:docPartObj>
        <w:docPartGallery w:val="Page Numbers (Bottom of Page)"/>
        <w:docPartUnique/>
      </w:docPartObj>
    </w:sdtPr>
    <w:sdtEndPr>
      <w:rPr>
        <w:noProof/>
      </w:rPr>
    </w:sdtEndPr>
    <w:sdtContent>
      <w:p w:rsidR="002107AB" w:rsidRDefault="002107AB">
        <w:pPr>
          <w:pStyle w:val="Footer"/>
          <w:rPr>
            <w:noProof/>
          </w:rPr>
        </w:pPr>
        <w:r>
          <w:t xml:space="preserve">Page | </w:t>
        </w:r>
        <w:r>
          <w:fldChar w:fldCharType="begin"/>
        </w:r>
        <w:r>
          <w:instrText xml:space="preserve"> PAGE   \* MERGEFORMAT </w:instrText>
        </w:r>
        <w:r>
          <w:fldChar w:fldCharType="separate"/>
        </w:r>
        <w:r w:rsidR="006E0D59">
          <w:rPr>
            <w:noProof/>
          </w:rPr>
          <w:t>1</w:t>
        </w:r>
        <w:r>
          <w:rPr>
            <w:noProof/>
          </w:rPr>
          <w:fldChar w:fldCharType="end"/>
        </w:r>
      </w:p>
      <w:p w:rsidR="002107AB" w:rsidRDefault="002107AB">
        <w:pPr>
          <w:pStyle w:val="Footer"/>
        </w:pPr>
        <w:r>
          <w:rPr>
            <w:noProof/>
          </w:rPr>
          <w:t>Work paper supplied by Duke Energy -- February 2018</w:t>
        </w:r>
      </w:p>
    </w:sdtContent>
  </w:sdt>
  <w:p w:rsidR="002107AB" w:rsidRDefault="002107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5CE" w:rsidRDefault="00F435CE" w:rsidP="003D1991">
      <w:pPr>
        <w:spacing w:after="0" w:line="240" w:lineRule="auto"/>
      </w:pPr>
      <w:r>
        <w:separator/>
      </w:r>
    </w:p>
  </w:footnote>
  <w:footnote w:type="continuationSeparator" w:id="0">
    <w:p w:rsidR="00F435CE" w:rsidRDefault="00F435CE" w:rsidP="003D1991">
      <w:pPr>
        <w:spacing w:after="0" w:line="240" w:lineRule="auto"/>
      </w:pPr>
      <w:r>
        <w:continuationSeparator/>
      </w:r>
    </w:p>
  </w:footnote>
  <w:footnote w:id="1">
    <w:p w:rsidR="00F435CE" w:rsidRPr="0094729B" w:rsidRDefault="00F435CE" w:rsidP="003D1991">
      <w:pPr>
        <w:pStyle w:val="FootnoteText"/>
        <w:ind w:firstLine="0"/>
      </w:pPr>
      <w:r w:rsidRPr="0094729B">
        <w:rPr>
          <w:rStyle w:val="FootnoteReference"/>
        </w:rPr>
        <w:footnoteRef/>
      </w:r>
      <w:r w:rsidRPr="0094729B">
        <w:t xml:space="preserve"> PNM-TNMP</w:t>
      </w:r>
      <w:r w:rsidRPr="0094729B">
        <w:rPr>
          <w:color w:val="0000FF"/>
        </w:rPr>
        <w:t xml:space="preserve"> </w:t>
      </w:r>
      <w:r w:rsidRPr="0094729B">
        <w:t xml:space="preserve">and </w:t>
      </w:r>
      <w:proofErr w:type="spellStart"/>
      <w:r w:rsidRPr="0094729B">
        <w:t>TranServ</w:t>
      </w:r>
      <w:proofErr w:type="spellEnd"/>
      <w:r w:rsidRPr="0094729B">
        <w:t>.</w:t>
      </w:r>
    </w:p>
  </w:footnote>
  <w:footnote w:id="2">
    <w:p w:rsidR="00F435CE" w:rsidRPr="0094729B" w:rsidRDefault="00F435CE" w:rsidP="003D1991">
      <w:pPr>
        <w:pStyle w:val="FootnoteText"/>
      </w:pPr>
      <w:r w:rsidRPr="0094729B">
        <w:rPr>
          <w:rStyle w:val="FootnoteReference"/>
        </w:rPr>
        <w:footnoteRef/>
      </w:r>
      <w:r w:rsidRPr="0094729B">
        <w:t xml:space="preserve"> </w:t>
      </w:r>
      <w:r w:rsidRPr="0094729B">
        <w:rPr>
          <w:u w:val="single"/>
        </w:rPr>
        <w:t>See</w:t>
      </w:r>
      <w:r w:rsidRPr="0094729B">
        <w:t xml:space="preserve"> Order No 888-A at 30,276</w:t>
      </w:r>
      <w:r w:rsidRPr="0094729B">
        <w:rPr>
          <w:rFonts w:ascii="Arial" w:hAnsi="Arial" w:cs="Arial"/>
          <w:color w:val="000000"/>
          <w:sz w:val="20"/>
        </w:rPr>
        <w:t>.</w:t>
      </w:r>
      <w:r w:rsidRPr="0094729B">
        <w:t xml:space="preserve">  In </w:t>
      </w:r>
      <w:r w:rsidRPr="0094729B">
        <w:rPr>
          <w:u w:val="single"/>
        </w:rPr>
        <w:t>Allegheny Power System, Inc.</w:t>
      </w:r>
      <w:r w:rsidRPr="0094729B">
        <w:t xml:space="preserve">, 80 FERC </w:t>
      </w:r>
      <w:r>
        <w:t xml:space="preserve">     </w:t>
      </w:r>
      <w:r w:rsidRPr="0094729B">
        <w:t xml:space="preserve">¶ 61,143 at </w:t>
      </w:r>
      <w:r w:rsidRPr="0094729B">
        <w:rPr>
          <w:bCs/>
        </w:rPr>
        <w:t>61,549</w:t>
      </w:r>
      <w:r w:rsidRPr="0094729B">
        <w:t xml:space="preserve"> (1997), the Commission clarified that where a transmission provider has not proposed an express crediting provision for the interruption of non-firm point-to-point customers, the transmission provider must compute its bill to an interrupted non-firm customer as if the term of service actually rendered were the term of service reserved.  In other words, if a customer with a weekly reservation was interrupted after one day, its bill must be computed as if it had a daily reservation, and if a customer with a daily reservation was interrupted after ten hours, its bill must be computed using the hourly rate applied to ten hours of service.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6A0F1DDC66FD457487150CC3FB7D42B1"/>
      </w:placeholder>
      <w:dataBinding w:prefixMappings="xmlns:ns0='http://schemas.openxmlformats.org/package/2006/metadata/core-properties' xmlns:ns1='http://purl.org/dc/elements/1.1/'" w:xpath="/ns0:coreProperties[1]/ns1:title[1]" w:storeItemID="{6C3C8BC8-F283-45AE-878A-BAB7291924A1}"/>
      <w:text/>
    </w:sdtPr>
    <w:sdtEndPr/>
    <w:sdtContent>
      <w:p w:rsidR="00F435CE" w:rsidRDefault="00F435CE">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Excerpt from </w:t>
        </w:r>
        <w:r w:rsidR="00FF4303">
          <w:rPr>
            <w:rFonts w:asciiTheme="majorHAnsi" w:eastAsiaTheme="majorEastAsia" w:hAnsiTheme="majorHAnsi" w:cstheme="majorBidi"/>
            <w:sz w:val="32"/>
            <w:szCs w:val="32"/>
          </w:rPr>
          <w:t xml:space="preserve">FERC </w:t>
        </w:r>
        <w:r>
          <w:rPr>
            <w:rFonts w:asciiTheme="majorHAnsi" w:eastAsiaTheme="majorEastAsia" w:hAnsiTheme="majorHAnsi" w:cstheme="majorBidi"/>
            <w:sz w:val="32"/>
            <w:szCs w:val="32"/>
          </w:rPr>
          <w:t>Order 890 on Transmission Curtailments</w:t>
        </w:r>
        <w:r w:rsidR="00FF4303">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 xml:space="preserve"> (includ</w:t>
        </w:r>
        <w:r w:rsidR="00FF4303">
          <w:rPr>
            <w:rFonts w:asciiTheme="majorHAnsi" w:eastAsiaTheme="majorEastAsia" w:hAnsiTheme="majorHAnsi" w:cstheme="majorBidi"/>
            <w:sz w:val="32"/>
            <w:szCs w:val="32"/>
          </w:rPr>
          <w:t>ing</w:t>
        </w:r>
        <w:r>
          <w:rPr>
            <w:rFonts w:asciiTheme="majorHAnsi" w:eastAsiaTheme="majorEastAsia" w:hAnsiTheme="majorHAnsi" w:cstheme="majorBidi"/>
            <w:sz w:val="32"/>
            <w:szCs w:val="32"/>
          </w:rPr>
          <w:t xml:space="preserve"> </w:t>
        </w:r>
        <w:r w:rsidR="002107AB">
          <w:rPr>
            <w:rFonts w:asciiTheme="majorHAnsi" w:eastAsiaTheme="majorEastAsia" w:hAnsiTheme="majorHAnsi" w:cstheme="majorBidi"/>
            <w:sz w:val="32"/>
            <w:szCs w:val="32"/>
          </w:rPr>
          <w:t xml:space="preserve">industry </w:t>
        </w:r>
        <w:r>
          <w:rPr>
            <w:rFonts w:asciiTheme="majorHAnsi" w:eastAsiaTheme="majorEastAsia" w:hAnsiTheme="majorHAnsi" w:cstheme="majorBidi"/>
            <w:sz w:val="32"/>
            <w:szCs w:val="32"/>
          </w:rPr>
          <w:t xml:space="preserve">comments that FERC </w:t>
        </w:r>
        <w:r w:rsidR="00FF4303">
          <w:rPr>
            <w:rFonts w:asciiTheme="majorHAnsi" w:eastAsiaTheme="majorEastAsia" w:hAnsiTheme="majorHAnsi" w:cstheme="majorBidi"/>
            <w:sz w:val="32"/>
            <w:szCs w:val="32"/>
          </w:rPr>
          <w:t>referred</w:t>
        </w:r>
        <w:r>
          <w:rPr>
            <w:rFonts w:asciiTheme="majorHAnsi" w:eastAsiaTheme="majorEastAsia" w:hAnsiTheme="majorHAnsi" w:cstheme="majorBidi"/>
            <w:sz w:val="32"/>
            <w:szCs w:val="32"/>
          </w:rPr>
          <w:t xml:space="preserve"> to in the </w:t>
        </w:r>
        <w:r w:rsidR="00FF4303">
          <w:rPr>
            <w:rFonts w:asciiTheme="majorHAnsi" w:eastAsiaTheme="majorEastAsia" w:hAnsiTheme="majorHAnsi" w:cstheme="majorBidi"/>
            <w:sz w:val="32"/>
            <w:szCs w:val="32"/>
          </w:rPr>
          <w:t>O</w:t>
        </w:r>
        <w:r>
          <w:rPr>
            <w:rFonts w:asciiTheme="majorHAnsi" w:eastAsiaTheme="majorEastAsia" w:hAnsiTheme="majorHAnsi" w:cstheme="majorBidi"/>
            <w:sz w:val="32"/>
            <w:szCs w:val="32"/>
          </w:rPr>
          <w:t>rder)</w:t>
        </w:r>
      </w:p>
    </w:sdtContent>
  </w:sdt>
  <w:p w:rsidR="00F435CE" w:rsidRDefault="00F435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08DE"/>
    <w:multiLevelType w:val="hybridMultilevel"/>
    <w:tmpl w:val="F8F68A60"/>
    <w:lvl w:ilvl="0" w:tplc="015C6040">
      <w:start w:val="7"/>
      <w:numFmt w:val="decimal"/>
      <w:lvlText w:val="%1."/>
      <w:lvlJc w:val="left"/>
      <w:pPr>
        <w:ind w:left="1449" w:hanging="729"/>
      </w:pPr>
      <w:rPr>
        <w:rFonts w:hint="default"/>
        <w:b/>
        <w:bCs/>
        <w:spacing w:val="-1"/>
        <w:w w:val="104"/>
      </w:rPr>
    </w:lvl>
    <w:lvl w:ilvl="1" w:tplc="5988386C">
      <w:start w:val="1"/>
      <w:numFmt w:val="decimal"/>
      <w:lvlText w:val="%2."/>
      <w:lvlJc w:val="left"/>
      <w:pPr>
        <w:ind w:left="731" w:hanging="720"/>
        <w:jc w:val="right"/>
      </w:pPr>
      <w:rPr>
        <w:rFonts w:hint="default"/>
        <w:w w:val="104"/>
      </w:rPr>
    </w:lvl>
    <w:lvl w:ilvl="2" w:tplc="3EFE0B16">
      <w:numFmt w:val="bullet"/>
      <w:lvlText w:val="•"/>
      <w:lvlJc w:val="left"/>
      <w:pPr>
        <w:ind w:left="2423" w:hanging="720"/>
      </w:pPr>
      <w:rPr>
        <w:rFonts w:hint="default"/>
      </w:rPr>
    </w:lvl>
    <w:lvl w:ilvl="3" w:tplc="9134F5CA">
      <w:numFmt w:val="bullet"/>
      <w:lvlText w:val="•"/>
      <w:lvlJc w:val="left"/>
      <w:pPr>
        <w:ind w:left="3392" w:hanging="720"/>
      </w:pPr>
      <w:rPr>
        <w:rFonts w:hint="default"/>
      </w:rPr>
    </w:lvl>
    <w:lvl w:ilvl="4" w:tplc="0BF884A4">
      <w:numFmt w:val="bullet"/>
      <w:lvlText w:val="•"/>
      <w:lvlJc w:val="left"/>
      <w:pPr>
        <w:ind w:left="4361" w:hanging="720"/>
      </w:pPr>
      <w:rPr>
        <w:rFonts w:hint="default"/>
      </w:rPr>
    </w:lvl>
    <w:lvl w:ilvl="5" w:tplc="F866FE70">
      <w:numFmt w:val="bullet"/>
      <w:lvlText w:val="•"/>
      <w:lvlJc w:val="left"/>
      <w:pPr>
        <w:ind w:left="5330" w:hanging="720"/>
      </w:pPr>
      <w:rPr>
        <w:rFonts w:hint="default"/>
      </w:rPr>
    </w:lvl>
    <w:lvl w:ilvl="6" w:tplc="97EA9BB4">
      <w:numFmt w:val="bullet"/>
      <w:lvlText w:val="•"/>
      <w:lvlJc w:val="left"/>
      <w:pPr>
        <w:ind w:left="6299" w:hanging="720"/>
      </w:pPr>
      <w:rPr>
        <w:rFonts w:hint="default"/>
      </w:rPr>
    </w:lvl>
    <w:lvl w:ilvl="7" w:tplc="E14496DA">
      <w:numFmt w:val="bullet"/>
      <w:lvlText w:val="•"/>
      <w:lvlJc w:val="left"/>
      <w:pPr>
        <w:ind w:left="7268" w:hanging="720"/>
      </w:pPr>
      <w:rPr>
        <w:rFonts w:hint="default"/>
      </w:rPr>
    </w:lvl>
    <w:lvl w:ilvl="8" w:tplc="CA0007C8">
      <w:numFmt w:val="bullet"/>
      <w:lvlText w:val="•"/>
      <w:lvlJc w:val="left"/>
      <w:pPr>
        <w:ind w:left="8237" w:hanging="720"/>
      </w:pPr>
      <w:rPr>
        <w:rFonts w:hint="default"/>
      </w:rPr>
    </w:lvl>
  </w:abstractNum>
  <w:abstractNum w:abstractNumId="1">
    <w:nsid w:val="10EC5729"/>
    <w:multiLevelType w:val="hybridMultilevel"/>
    <w:tmpl w:val="E774F9C4"/>
    <w:lvl w:ilvl="0" w:tplc="C90EC1F2">
      <w:start w:val="8"/>
      <w:numFmt w:val="lowerRoman"/>
      <w:lvlText w:val="%1."/>
      <w:lvlJc w:val="left"/>
      <w:pPr>
        <w:tabs>
          <w:tab w:val="num" w:pos="2520"/>
        </w:tabs>
        <w:ind w:left="252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7DF6834"/>
    <w:multiLevelType w:val="hybridMultilevel"/>
    <w:tmpl w:val="B38CB248"/>
    <w:lvl w:ilvl="0" w:tplc="9018625A">
      <w:start w:val="6"/>
      <w:numFmt w:val="upperLetter"/>
      <w:lvlText w:val="%1."/>
      <w:lvlJc w:val="left"/>
      <w:pPr>
        <w:ind w:left="1433" w:hanging="713"/>
      </w:pPr>
      <w:rPr>
        <w:rFonts w:hint="default"/>
        <w:b/>
        <w:bCs/>
        <w:spacing w:val="-1"/>
        <w:w w:val="10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C406F40"/>
    <w:multiLevelType w:val="hybridMultilevel"/>
    <w:tmpl w:val="886ACE40"/>
    <w:lvl w:ilvl="0" w:tplc="7A3CB9BA">
      <w:start w:val="39"/>
      <w:numFmt w:val="decimal"/>
      <w:lvlText w:val="%1."/>
      <w:lvlJc w:val="left"/>
      <w:pPr>
        <w:ind w:left="1440" w:hanging="720"/>
      </w:pPr>
      <w:rPr>
        <w:rFonts w:hint="default"/>
        <w:w w:val="10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3E5D19"/>
    <w:multiLevelType w:val="multilevel"/>
    <w:tmpl w:val="57663CFC"/>
    <w:lvl w:ilvl="0">
      <w:start w:val="1"/>
      <w:numFmt w:val="upperRoman"/>
      <w:pStyle w:val="Heading1"/>
      <w:lvlText w:val="%1."/>
      <w:lvlJc w:val="left"/>
      <w:pPr>
        <w:tabs>
          <w:tab w:val="num" w:pos="2160"/>
        </w:tabs>
        <w:ind w:left="2160" w:hanging="720"/>
      </w:pPr>
      <w:rPr>
        <w:rFonts w:hint="default"/>
      </w:rPr>
    </w:lvl>
    <w:lvl w:ilvl="1">
      <w:start w:val="1"/>
      <w:numFmt w:val="upperLetter"/>
      <w:pStyle w:val="Heading2"/>
      <w:lvlText w:val="%2."/>
      <w:lvlJc w:val="left"/>
      <w:pPr>
        <w:tabs>
          <w:tab w:val="num" w:pos="2880"/>
        </w:tabs>
        <w:ind w:left="2880" w:hanging="720"/>
      </w:pPr>
      <w:rPr>
        <w:rFonts w:hint="default"/>
      </w:rPr>
    </w:lvl>
    <w:lvl w:ilvl="2">
      <w:start w:val="8"/>
      <w:numFmt w:val="decimal"/>
      <w:pStyle w:val="Heading3"/>
      <w:lvlText w:val="%3."/>
      <w:lvlJc w:val="left"/>
      <w:pPr>
        <w:tabs>
          <w:tab w:val="num" w:pos="3600"/>
        </w:tabs>
        <w:ind w:left="3600" w:hanging="720"/>
      </w:pPr>
      <w:rPr>
        <w:rFonts w:hint="default"/>
      </w:rPr>
    </w:lvl>
    <w:lvl w:ilvl="3">
      <w:start w:val="1"/>
      <w:numFmt w:val="lowerLetter"/>
      <w:pStyle w:val="Heading4"/>
      <w:lvlText w:val="%4."/>
      <w:lvlJc w:val="left"/>
      <w:pPr>
        <w:tabs>
          <w:tab w:val="num" w:pos="4320"/>
        </w:tabs>
        <w:ind w:left="4320" w:hanging="720"/>
      </w:pPr>
      <w:rPr>
        <w:rFonts w:hint="default"/>
      </w:rPr>
    </w:lvl>
    <w:lvl w:ilvl="4">
      <w:start w:val="1"/>
      <w:numFmt w:val="lowerRoman"/>
      <w:pStyle w:val="Heading5"/>
      <w:lvlText w:val="%5."/>
      <w:lvlJc w:val="left"/>
      <w:pPr>
        <w:tabs>
          <w:tab w:val="num" w:pos="5040"/>
        </w:tabs>
        <w:ind w:left="5040" w:hanging="720"/>
      </w:pPr>
      <w:rPr>
        <w:rFonts w:hint="default"/>
      </w:rPr>
    </w:lvl>
    <w:lvl w:ilvl="5">
      <w:start w:val="1"/>
      <w:numFmt w:val="lowerLetter"/>
      <w:pStyle w:val="Heading6"/>
      <w:lvlText w:val="(%6)"/>
      <w:lvlJc w:val="left"/>
      <w:pPr>
        <w:tabs>
          <w:tab w:val="num" w:pos="5760"/>
        </w:tabs>
        <w:ind w:left="5760" w:hanging="720"/>
      </w:pPr>
      <w:rPr>
        <w:rFonts w:hint="default"/>
      </w:rPr>
    </w:lvl>
    <w:lvl w:ilvl="6">
      <w:start w:val="1"/>
      <w:numFmt w:val="decimal"/>
      <w:pStyle w:val="Heading7"/>
      <w:lvlText w:val="(%7)"/>
      <w:lvlJc w:val="left"/>
      <w:pPr>
        <w:tabs>
          <w:tab w:val="num" w:pos="6480"/>
        </w:tabs>
        <w:ind w:left="6480" w:hanging="720"/>
      </w:pPr>
      <w:rPr>
        <w:rFonts w:hint="default"/>
      </w:rPr>
    </w:lvl>
    <w:lvl w:ilvl="7">
      <w:start w:val="1"/>
      <w:numFmt w:val="lowerRoman"/>
      <w:pStyle w:val="Heading8"/>
      <w:lvlText w:val="(%8)"/>
      <w:lvlJc w:val="left"/>
      <w:pPr>
        <w:tabs>
          <w:tab w:val="num" w:pos="7200"/>
        </w:tabs>
        <w:ind w:left="7200" w:hanging="720"/>
      </w:pPr>
      <w:rPr>
        <w:rFonts w:hint="default"/>
      </w:rPr>
    </w:lvl>
    <w:lvl w:ilvl="8">
      <w:start w:val="1"/>
      <w:numFmt w:val="decimalZero"/>
      <w:pStyle w:val="Heading9"/>
      <w:lvlText w:val="(%9)"/>
      <w:lvlJc w:val="left"/>
      <w:pPr>
        <w:tabs>
          <w:tab w:val="num" w:pos="7920"/>
        </w:tabs>
        <w:ind w:left="7920" w:hanging="720"/>
      </w:pPr>
      <w:rPr>
        <w:rFonts w:hint="default"/>
      </w:rPr>
    </w:lvl>
  </w:abstractNum>
  <w:abstractNum w:abstractNumId="5">
    <w:nsid w:val="72C40950"/>
    <w:multiLevelType w:val="multilevel"/>
    <w:tmpl w:val="414AFDCA"/>
    <w:lvl w:ilvl="0">
      <w:start w:val="16"/>
      <w:numFmt w:val="upperLetter"/>
      <w:lvlText w:val="%1"/>
      <w:lvlJc w:val="left"/>
      <w:pPr>
        <w:ind w:left="846" w:hanging="448"/>
      </w:pPr>
      <w:rPr>
        <w:rFonts w:hint="default"/>
      </w:rPr>
    </w:lvl>
    <w:lvl w:ilvl="1">
      <w:start w:val="15"/>
      <w:numFmt w:val="upperLetter"/>
      <w:lvlText w:val="%1.%2."/>
      <w:lvlJc w:val="left"/>
      <w:pPr>
        <w:ind w:left="846" w:hanging="448"/>
      </w:pPr>
      <w:rPr>
        <w:rFonts w:ascii="Arial" w:eastAsia="Arial" w:hAnsi="Arial" w:cs="Arial" w:hint="default"/>
        <w:b/>
        <w:bCs/>
        <w:spacing w:val="-1"/>
        <w:w w:val="107"/>
        <w:sz w:val="19"/>
        <w:szCs w:val="19"/>
      </w:rPr>
    </w:lvl>
    <w:lvl w:ilvl="2">
      <w:start w:val="9"/>
      <w:numFmt w:val="decimal"/>
      <w:lvlText w:val="%3"/>
      <w:lvlJc w:val="left"/>
      <w:pPr>
        <w:ind w:left="1801" w:hanging="721"/>
      </w:pPr>
      <w:rPr>
        <w:rFonts w:hint="default"/>
        <w:b/>
        <w:bCs/>
        <w:w w:val="100"/>
      </w:rPr>
    </w:lvl>
    <w:lvl w:ilvl="3">
      <w:numFmt w:val="bullet"/>
      <w:lvlText w:val="•"/>
      <w:lvlJc w:val="left"/>
      <w:pPr>
        <w:ind w:left="2531" w:hanging="721"/>
      </w:pPr>
      <w:rPr>
        <w:rFonts w:hint="default"/>
      </w:rPr>
    </w:lvl>
    <w:lvl w:ilvl="4">
      <w:numFmt w:val="bullet"/>
      <w:lvlText w:val="•"/>
      <w:lvlJc w:val="left"/>
      <w:pPr>
        <w:ind w:left="2877" w:hanging="721"/>
      </w:pPr>
      <w:rPr>
        <w:rFonts w:hint="default"/>
      </w:rPr>
    </w:lvl>
    <w:lvl w:ilvl="5">
      <w:numFmt w:val="bullet"/>
      <w:lvlText w:val="•"/>
      <w:lvlJc w:val="left"/>
      <w:pPr>
        <w:ind w:left="3222" w:hanging="721"/>
      </w:pPr>
      <w:rPr>
        <w:rFonts w:hint="default"/>
      </w:rPr>
    </w:lvl>
    <w:lvl w:ilvl="6">
      <w:numFmt w:val="bullet"/>
      <w:lvlText w:val="•"/>
      <w:lvlJc w:val="left"/>
      <w:pPr>
        <w:ind w:left="3568" w:hanging="721"/>
      </w:pPr>
      <w:rPr>
        <w:rFonts w:hint="default"/>
      </w:rPr>
    </w:lvl>
    <w:lvl w:ilvl="7">
      <w:numFmt w:val="bullet"/>
      <w:lvlText w:val="•"/>
      <w:lvlJc w:val="left"/>
      <w:pPr>
        <w:ind w:left="3914" w:hanging="721"/>
      </w:pPr>
      <w:rPr>
        <w:rFonts w:hint="default"/>
      </w:rPr>
    </w:lvl>
    <w:lvl w:ilvl="8">
      <w:numFmt w:val="bullet"/>
      <w:lvlText w:val="•"/>
      <w:lvlJc w:val="left"/>
      <w:pPr>
        <w:ind w:left="4260" w:hanging="721"/>
      </w:pPr>
      <w:rPr>
        <w:rFonts w:hint="default"/>
      </w:rPr>
    </w:lvl>
  </w:abstractNum>
  <w:abstractNum w:abstractNumId="6">
    <w:nsid w:val="7E4E4DD3"/>
    <w:multiLevelType w:val="hybridMultilevel"/>
    <w:tmpl w:val="47AA9D1A"/>
    <w:lvl w:ilvl="0" w:tplc="383A6020">
      <w:start w:val="1620"/>
      <w:numFmt w:val="decimal"/>
      <w:pStyle w:val="FERCparanumber"/>
      <w:lvlText w:val="%1."/>
      <w:lvlJc w:val="left"/>
      <w:pPr>
        <w:tabs>
          <w:tab w:val="num" w:pos="720"/>
        </w:tabs>
        <w:ind w:left="0" w:firstLine="0"/>
      </w:pPr>
      <w:rPr>
        <w:rFonts w:hint="default"/>
        <w:b w:val="0"/>
        <w:i w:val="0"/>
        <w:color w:val="auto"/>
        <w:sz w:val="26"/>
        <w:szCs w:val="26"/>
      </w:rPr>
    </w:lvl>
    <w:lvl w:ilvl="1" w:tplc="FFFFFFFF">
      <w:start w:val="1"/>
      <w:numFmt w:val="lowerLetter"/>
      <w:lvlText w:val="%2."/>
      <w:lvlJc w:val="left"/>
      <w:pPr>
        <w:tabs>
          <w:tab w:val="num" w:pos="1440"/>
        </w:tabs>
        <w:ind w:left="1440" w:hanging="360"/>
      </w:pPr>
    </w:lvl>
    <w:lvl w:ilvl="2" w:tplc="FFFFFFFF">
      <w:start w:val="2"/>
      <w:numFmt w:val="lowerLetter"/>
      <w:lvlText w:val="%3."/>
      <w:lvlJc w:val="left"/>
      <w:pPr>
        <w:tabs>
          <w:tab w:val="num" w:pos="2700"/>
        </w:tabs>
        <w:ind w:left="2700" w:hanging="720"/>
      </w:pPr>
      <w:rPr>
        <w:rFonts w:hint="default"/>
        <w:u w:val="none"/>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6"/>
  </w:num>
  <w:num w:numId="3">
    <w:abstractNumId w:val="1"/>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numStart w:val="92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991"/>
    <w:rsid w:val="00062D0E"/>
    <w:rsid w:val="000F2820"/>
    <w:rsid w:val="001647B8"/>
    <w:rsid w:val="001B3ADD"/>
    <w:rsid w:val="002107AB"/>
    <w:rsid w:val="002578E6"/>
    <w:rsid w:val="00264F0E"/>
    <w:rsid w:val="002D6CDC"/>
    <w:rsid w:val="002F458D"/>
    <w:rsid w:val="0038498D"/>
    <w:rsid w:val="003D1991"/>
    <w:rsid w:val="004315D8"/>
    <w:rsid w:val="004B43B7"/>
    <w:rsid w:val="004F0C8A"/>
    <w:rsid w:val="00532955"/>
    <w:rsid w:val="0061712D"/>
    <w:rsid w:val="006E0D59"/>
    <w:rsid w:val="008D0A8B"/>
    <w:rsid w:val="00981DD4"/>
    <w:rsid w:val="00A034FB"/>
    <w:rsid w:val="00A17931"/>
    <w:rsid w:val="00A6386B"/>
    <w:rsid w:val="00B04F6E"/>
    <w:rsid w:val="00B12A31"/>
    <w:rsid w:val="00BD6598"/>
    <w:rsid w:val="00C3788C"/>
    <w:rsid w:val="00C651F5"/>
    <w:rsid w:val="00CE7FE1"/>
    <w:rsid w:val="00D92D8D"/>
    <w:rsid w:val="00D951EA"/>
    <w:rsid w:val="00DD100D"/>
    <w:rsid w:val="00DE079C"/>
    <w:rsid w:val="00F435CE"/>
    <w:rsid w:val="00F6048D"/>
    <w:rsid w:val="00FF4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FERCparanumber"/>
    <w:link w:val="Heading1Char"/>
    <w:qFormat/>
    <w:rsid w:val="003D1991"/>
    <w:pPr>
      <w:keepNext/>
      <w:keepLines/>
      <w:numPr>
        <w:numId w:val="1"/>
      </w:numPr>
      <w:autoSpaceDE w:val="0"/>
      <w:autoSpaceDN w:val="0"/>
      <w:adjustRightInd w:val="0"/>
      <w:spacing w:after="260" w:line="240" w:lineRule="auto"/>
      <w:outlineLvl w:val="0"/>
    </w:pPr>
    <w:rPr>
      <w:rFonts w:ascii="Times New Roman" w:eastAsia="Times New Roman" w:hAnsi="Times New Roman" w:cs="Times New Roman"/>
      <w:b/>
      <w:bCs/>
      <w:kern w:val="32"/>
      <w:sz w:val="26"/>
      <w:szCs w:val="26"/>
      <w:u w:val="single"/>
    </w:rPr>
  </w:style>
  <w:style w:type="paragraph" w:styleId="Heading2">
    <w:name w:val="heading 2"/>
    <w:basedOn w:val="Normal"/>
    <w:next w:val="FERCparanumber"/>
    <w:link w:val="Heading2Char"/>
    <w:qFormat/>
    <w:rsid w:val="003D1991"/>
    <w:pPr>
      <w:keepNext/>
      <w:keepLines/>
      <w:numPr>
        <w:ilvl w:val="1"/>
        <w:numId w:val="1"/>
      </w:numPr>
      <w:autoSpaceDE w:val="0"/>
      <w:autoSpaceDN w:val="0"/>
      <w:adjustRightInd w:val="0"/>
      <w:spacing w:after="260" w:line="240" w:lineRule="auto"/>
      <w:outlineLvl w:val="1"/>
    </w:pPr>
    <w:rPr>
      <w:rFonts w:ascii="Times New Roman" w:eastAsia="Times New Roman" w:hAnsi="Times New Roman" w:cs="Times New Roman"/>
      <w:b/>
      <w:bCs/>
      <w:iCs/>
      <w:kern w:val="32"/>
      <w:sz w:val="26"/>
      <w:szCs w:val="26"/>
      <w:u w:val="single"/>
    </w:rPr>
  </w:style>
  <w:style w:type="paragraph" w:styleId="Heading3">
    <w:name w:val="heading 3"/>
    <w:basedOn w:val="Normal"/>
    <w:next w:val="FERCparanumber"/>
    <w:link w:val="Heading3Char"/>
    <w:qFormat/>
    <w:rsid w:val="003D1991"/>
    <w:pPr>
      <w:keepNext/>
      <w:keepLines/>
      <w:numPr>
        <w:ilvl w:val="2"/>
        <w:numId w:val="1"/>
      </w:numPr>
      <w:autoSpaceDE w:val="0"/>
      <w:autoSpaceDN w:val="0"/>
      <w:adjustRightInd w:val="0"/>
      <w:spacing w:after="260" w:line="240" w:lineRule="auto"/>
      <w:outlineLvl w:val="2"/>
    </w:pPr>
    <w:rPr>
      <w:rFonts w:ascii="Times New Roman" w:eastAsia="Times New Roman" w:hAnsi="Times New Roman" w:cs="Times New Roman"/>
      <w:b/>
      <w:bCs/>
      <w:kern w:val="32"/>
      <w:sz w:val="26"/>
      <w:szCs w:val="26"/>
      <w:u w:val="single"/>
    </w:rPr>
  </w:style>
  <w:style w:type="paragraph" w:styleId="Heading4">
    <w:name w:val="heading 4"/>
    <w:basedOn w:val="Normal"/>
    <w:next w:val="FERCparanumber"/>
    <w:link w:val="Heading4Char"/>
    <w:qFormat/>
    <w:rsid w:val="003D1991"/>
    <w:pPr>
      <w:keepNext/>
      <w:keepLines/>
      <w:numPr>
        <w:ilvl w:val="3"/>
        <w:numId w:val="1"/>
      </w:numPr>
      <w:autoSpaceDE w:val="0"/>
      <w:autoSpaceDN w:val="0"/>
      <w:adjustRightInd w:val="0"/>
      <w:spacing w:after="240" w:line="240" w:lineRule="auto"/>
      <w:outlineLvl w:val="3"/>
    </w:pPr>
    <w:rPr>
      <w:rFonts w:ascii="Times New Roman" w:eastAsia="Times New Roman" w:hAnsi="Times New Roman" w:cs="Times New Roman"/>
      <w:b/>
      <w:bCs/>
      <w:kern w:val="32"/>
      <w:sz w:val="26"/>
      <w:szCs w:val="26"/>
      <w:u w:val="single"/>
    </w:rPr>
  </w:style>
  <w:style w:type="paragraph" w:styleId="Heading5">
    <w:name w:val="heading 5"/>
    <w:basedOn w:val="Normal"/>
    <w:next w:val="FERCparanumber"/>
    <w:link w:val="Heading5Char"/>
    <w:qFormat/>
    <w:rsid w:val="003D1991"/>
    <w:pPr>
      <w:keepNext/>
      <w:keepLines/>
      <w:numPr>
        <w:ilvl w:val="4"/>
        <w:numId w:val="1"/>
      </w:numPr>
      <w:autoSpaceDE w:val="0"/>
      <w:autoSpaceDN w:val="0"/>
      <w:adjustRightInd w:val="0"/>
      <w:spacing w:after="260" w:line="240" w:lineRule="auto"/>
      <w:outlineLvl w:val="4"/>
    </w:pPr>
    <w:rPr>
      <w:rFonts w:ascii="Times New Roman" w:eastAsia="Times New Roman" w:hAnsi="Times New Roman" w:cs="Times New Roman"/>
      <w:b/>
      <w:bCs/>
      <w:iCs/>
      <w:kern w:val="32"/>
      <w:sz w:val="26"/>
      <w:szCs w:val="26"/>
      <w:u w:val="single"/>
    </w:rPr>
  </w:style>
  <w:style w:type="paragraph" w:styleId="Heading6">
    <w:name w:val="heading 6"/>
    <w:basedOn w:val="Normal"/>
    <w:next w:val="FERCparanumber"/>
    <w:link w:val="Heading6Char"/>
    <w:qFormat/>
    <w:rsid w:val="003D1991"/>
    <w:pPr>
      <w:keepNext/>
      <w:keepLines/>
      <w:numPr>
        <w:ilvl w:val="5"/>
        <w:numId w:val="1"/>
      </w:numPr>
      <w:autoSpaceDE w:val="0"/>
      <w:autoSpaceDN w:val="0"/>
      <w:adjustRightInd w:val="0"/>
      <w:spacing w:after="260" w:line="240" w:lineRule="auto"/>
      <w:outlineLvl w:val="5"/>
    </w:pPr>
    <w:rPr>
      <w:rFonts w:ascii="Times New Roman" w:eastAsia="Times New Roman" w:hAnsi="Times New Roman" w:cs="Times New Roman"/>
      <w:b/>
      <w:bCs/>
      <w:kern w:val="32"/>
      <w:sz w:val="26"/>
      <w:szCs w:val="26"/>
      <w:u w:val="single"/>
    </w:rPr>
  </w:style>
  <w:style w:type="paragraph" w:styleId="Heading7">
    <w:name w:val="heading 7"/>
    <w:basedOn w:val="Normal"/>
    <w:next w:val="FERCparanumber"/>
    <w:link w:val="Heading7Char"/>
    <w:qFormat/>
    <w:rsid w:val="003D1991"/>
    <w:pPr>
      <w:keepNext/>
      <w:keepLines/>
      <w:numPr>
        <w:ilvl w:val="6"/>
        <w:numId w:val="1"/>
      </w:numPr>
      <w:autoSpaceDE w:val="0"/>
      <w:autoSpaceDN w:val="0"/>
      <w:adjustRightInd w:val="0"/>
      <w:spacing w:after="260" w:line="240" w:lineRule="auto"/>
      <w:outlineLvl w:val="6"/>
    </w:pPr>
    <w:rPr>
      <w:rFonts w:ascii="Times New Roman" w:eastAsia="Times New Roman" w:hAnsi="Times New Roman" w:cs="Times New Roman"/>
      <w:b/>
      <w:kern w:val="32"/>
      <w:sz w:val="26"/>
      <w:szCs w:val="26"/>
      <w:u w:val="single"/>
    </w:rPr>
  </w:style>
  <w:style w:type="paragraph" w:styleId="Heading8">
    <w:name w:val="heading 8"/>
    <w:basedOn w:val="Normal"/>
    <w:next w:val="FERCparanumber"/>
    <w:link w:val="Heading8Char"/>
    <w:qFormat/>
    <w:rsid w:val="003D1991"/>
    <w:pPr>
      <w:keepNext/>
      <w:keepLines/>
      <w:numPr>
        <w:ilvl w:val="7"/>
        <w:numId w:val="1"/>
      </w:numPr>
      <w:autoSpaceDE w:val="0"/>
      <w:autoSpaceDN w:val="0"/>
      <w:adjustRightInd w:val="0"/>
      <w:spacing w:after="260" w:line="240" w:lineRule="auto"/>
      <w:outlineLvl w:val="7"/>
    </w:pPr>
    <w:rPr>
      <w:rFonts w:ascii="Times New Roman" w:eastAsia="Times New Roman" w:hAnsi="Times New Roman" w:cs="Times New Roman"/>
      <w:b/>
      <w:iCs/>
      <w:kern w:val="32"/>
      <w:sz w:val="26"/>
      <w:szCs w:val="26"/>
      <w:u w:val="single"/>
    </w:rPr>
  </w:style>
  <w:style w:type="paragraph" w:styleId="Heading9">
    <w:name w:val="heading 9"/>
    <w:basedOn w:val="Normal"/>
    <w:next w:val="FERCparanumber"/>
    <w:link w:val="Heading9Char"/>
    <w:qFormat/>
    <w:rsid w:val="003D1991"/>
    <w:pPr>
      <w:keepNext/>
      <w:keepLines/>
      <w:numPr>
        <w:ilvl w:val="8"/>
        <w:numId w:val="1"/>
      </w:numPr>
      <w:autoSpaceDE w:val="0"/>
      <w:autoSpaceDN w:val="0"/>
      <w:adjustRightInd w:val="0"/>
      <w:spacing w:after="260" w:line="240" w:lineRule="auto"/>
      <w:outlineLvl w:val="8"/>
    </w:pPr>
    <w:rPr>
      <w:rFonts w:ascii="Times New Roman" w:eastAsia="Times New Roman" w:hAnsi="Times New Roman" w:cs="Times New Roman"/>
      <w:b/>
      <w:kern w:val="32"/>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991"/>
    <w:rPr>
      <w:rFonts w:ascii="Times New Roman" w:eastAsia="Times New Roman" w:hAnsi="Times New Roman" w:cs="Times New Roman"/>
      <w:b/>
      <w:bCs/>
      <w:kern w:val="32"/>
      <w:sz w:val="26"/>
      <w:szCs w:val="26"/>
      <w:u w:val="single"/>
    </w:rPr>
  </w:style>
  <w:style w:type="character" w:customStyle="1" w:styleId="Heading2Char">
    <w:name w:val="Heading 2 Char"/>
    <w:basedOn w:val="DefaultParagraphFont"/>
    <w:link w:val="Heading2"/>
    <w:rsid w:val="003D1991"/>
    <w:rPr>
      <w:rFonts w:ascii="Times New Roman" w:eastAsia="Times New Roman" w:hAnsi="Times New Roman" w:cs="Times New Roman"/>
      <w:b/>
      <w:bCs/>
      <w:iCs/>
      <w:kern w:val="32"/>
      <w:sz w:val="26"/>
      <w:szCs w:val="26"/>
      <w:u w:val="single"/>
    </w:rPr>
  </w:style>
  <w:style w:type="character" w:customStyle="1" w:styleId="Heading3Char">
    <w:name w:val="Heading 3 Char"/>
    <w:basedOn w:val="DefaultParagraphFont"/>
    <w:link w:val="Heading3"/>
    <w:rsid w:val="003D1991"/>
    <w:rPr>
      <w:rFonts w:ascii="Times New Roman" w:eastAsia="Times New Roman" w:hAnsi="Times New Roman" w:cs="Times New Roman"/>
      <w:b/>
      <w:bCs/>
      <w:kern w:val="32"/>
      <w:sz w:val="26"/>
      <w:szCs w:val="26"/>
      <w:u w:val="single"/>
    </w:rPr>
  </w:style>
  <w:style w:type="character" w:customStyle="1" w:styleId="Heading4Char">
    <w:name w:val="Heading 4 Char"/>
    <w:basedOn w:val="DefaultParagraphFont"/>
    <w:link w:val="Heading4"/>
    <w:rsid w:val="003D1991"/>
    <w:rPr>
      <w:rFonts w:ascii="Times New Roman" w:eastAsia="Times New Roman" w:hAnsi="Times New Roman" w:cs="Times New Roman"/>
      <w:b/>
      <w:bCs/>
      <w:kern w:val="32"/>
      <w:sz w:val="26"/>
      <w:szCs w:val="26"/>
      <w:u w:val="single"/>
    </w:rPr>
  </w:style>
  <w:style w:type="character" w:customStyle="1" w:styleId="Heading5Char">
    <w:name w:val="Heading 5 Char"/>
    <w:basedOn w:val="DefaultParagraphFont"/>
    <w:link w:val="Heading5"/>
    <w:rsid w:val="003D1991"/>
    <w:rPr>
      <w:rFonts w:ascii="Times New Roman" w:eastAsia="Times New Roman" w:hAnsi="Times New Roman" w:cs="Times New Roman"/>
      <w:b/>
      <w:bCs/>
      <w:iCs/>
      <w:kern w:val="32"/>
      <w:sz w:val="26"/>
      <w:szCs w:val="26"/>
      <w:u w:val="single"/>
    </w:rPr>
  </w:style>
  <w:style w:type="character" w:customStyle="1" w:styleId="Heading6Char">
    <w:name w:val="Heading 6 Char"/>
    <w:basedOn w:val="DefaultParagraphFont"/>
    <w:link w:val="Heading6"/>
    <w:rsid w:val="003D1991"/>
    <w:rPr>
      <w:rFonts w:ascii="Times New Roman" w:eastAsia="Times New Roman" w:hAnsi="Times New Roman" w:cs="Times New Roman"/>
      <w:b/>
      <w:bCs/>
      <w:kern w:val="32"/>
      <w:sz w:val="26"/>
      <w:szCs w:val="26"/>
      <w:u w:val="single"/>
    </w:rPr>
  </w:style>
  <w:style w:type="character" w:customStyle="1" w:styleId="Heading7Char">
    <w:name w:val="Heading 7 Char"/>
    <w:basedOn w:val="DefaultParagraphFont"/>
    <w:link w:val="Heading7"/>
    <w:rsid w:val="003D1991"/>
    <w:rPr>
      <w:rFonts w:ascii="Times New Roman" w:eastAsia="Times New Roman" w:hAnsi="Times New Roman" w:cs="Times New Roman"/>
      <w:b/>
      <w:kern w:val="32"/>
      <w:sz w:val="26"/>
      <w:szCs w:val="26"/>
      <w:u w:val="single"/>
    </w:rPr>
  </w:style>
  <w:style w:type="character" w:customStyle="1" w:styleId="Heading8Char">
    <w:name w:val="Heading 8 Char"/>
    <w:basedOn w:val="DefaultParagraphFont"/>
    <w:link w:val="Heading8"/>
    <w:rsid w:val="003D1991"/>
    <w:rPr>
      <w:rFonts w:ascii="Times New Roman" w:eastAsia="Times New Roman" w:hAnsi="Times New Roman" w:cs="Times New Roman"/>
      <w:b/>
      <w:iCs/>
      <w:kern w:val="32"/>
      <w:sz w:val="26"/>
      <w:szCs w:val="26"/>
      <w:u w:val="single"/>
    </w:rPr>
  </w:style>
  <w:style w:type="character" w:customStyle="1" w:styleId="Heading9Char">
    <w:name w:val="Heading 9 Char"/>
    <w:basedOn w:val="DefaultParagraphFont"/>
    <w:link w:val="Heading9"/>
    <w:rsid w:val="003D1991"/>
    <w:rPr>
      <w:rFonts w:ascii="Times New Roman" w:eastAsia="Times New Roman" w:hAnsi="Times New Roman" w:cs="Times New Roman"/>
      <w:b/>
      <w:kern w:val="32"/>
      <w:sz w:val="26"/>
      <w:szCs w:val="26"/>
      <w:u w:val="single"/>
    </w:rPr>
  </w:style>
  <w:style w:type="paragraph" w:customStyle="1" w:styleId="FERCparanumber">
    <w:name w:val="FERC paranumber"/>
    <w:basedOn w:val="Normal"/>
    <w:link w:val="FERCparanumberChar"/>
    <w:rsid w:val="003D1991"/>
    <w:pPr>
      <w:numPr>
        <w:numId w:val="2"/>
      </w:numPr>
      <w:autoSpaceDE w:val="0"/>
      <w:autoSpaceDN w:val="0"/>
      <w:adjustRightInd w:val="0"/>
      <w:spacing w:after="0" w:line="480" w:lineRule="auto"/>
    </w:pPr>
    <w:rPr>
      <w:rFonts w:ascii="Times New Roman" w:eastAsia="Times New Roman" w:hAnsi="Times New Roman" w:cs="Times New Roman"/>
      <w:sz w:val="26"/>
      <w:szCs w:val="26"/>
    </w:rPr>
  </w:style>
  <w:style w:type="character" w:customStyle="1" w:styleId="FERCparanumberChar">
    <w:name w:val="FERC paranumber Char"/>
    <w:basedOn w:val="DefaultParagraphFont"/>
    <w:link w:val="FERCparanumber"/>
    <w:rsid w:val="003D1991"/>
    <w:rPr>
      <w:rFonts w:ascii="Times New Roman" w:eastAsia="Times New Roman" w:hAnsi="Times New Roman" w:cs="Times New Roman"/>
      <w:sz w:val="26"/>
      <w:szCs w:val="26"/>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2"/>
    <w:rsid w:val="003D1991"/>
    <w:pPr>
      <w:spacing w:after="240" w:line="240" w:lineRule="auto"/>
      <w:ind w:firstLine="720"/>
    </w:pPr>
    <w:rPr>
      <w:rFonts w:ascii="Times New Roman" w:eastAsia="Times New Roman" w:hAnsi="Times New Roman" w:cs="Times New Roman"/>
      <w:sz w:val="26"/>
      <w:szCs w:val="20"/>
    </w:rPr>
  </w:style>
  <w:style w:type="character" w:customStyle="1" w:styleId="FootnoteTextChar">
    <w:name w:val="Footnote Text Char"/>
    <w:basedOn w:val="DefaultParagraphFont"/>
    <w:uiPriority w:val="99"/>
    <w:semiHidden/>
    <w:rsid w:val="003D1991"/>
    <w:rPr>
      <w:sz w:val="20"/>
      <w:szCs w:val="20"/>
    </w:rPr>
  </w:style>
  <w:style w:type="character" w:customStyle="1" w:styleId="FootnoteTextChar2">
    <w:name w:val="Footnote Text Char2"/>
    <w:aliases w:val="Footnote Text Char1 Char Char,Footnote Text Char Char Char Char,Footnote Text Char1 Char1,Footnote Text Char Char1 Char,fn Char,Footnote Text Char Char Char1,Footnote Text Char1 Char Char Char1 Char,Footnote Text MRP Char"/>
    <w:basedOn w:val="DefaultParagraphFont"/>
    <w:link w:val="FootnoteText"/>
    <w:rsid w:val="003D1991"/>
    <w:rPr>
      <w:rFonts w:ascii="Times New Roman" w:eastAsia="Times New Roman" w:hAnsi="Times New Roman" w:cs="Times New Roman"/>
      <w:sz w:val="26"/>
      <w:szCs w:val="20"/>
    </w:rPr>
  </w:style>
  <w:style w:type="character" w:styleId="FootnoteReference">
    <w:name w:val="footnote reference"/>
    <w:aliases w:val="o,fr,Style 13,Style 12,Style 15,Style 17,Style 9,o1,fr1,o2,fr2,o3,fr3,Style 18,(NECG) Footnote Reference,Style 20,Style 7"/>
    <w:basedOn w:val="DefaultParagraphFont"/>
    <w:rsid w:val="003D1991"/>
    <w:rPr>
      <w:rFonts w:ascii="Times New Roman" w:hAnsi="Times New Roman"/>
      <w:b/>
      <w:sz w:val="26"/>
      <w:szCs w:val="26"/>
      <w:vertAlign w:val="superscript"/>
    </w:rPr>
  </w:style>
  <w:style w:type="paragraph" w:styleId="Header">
    <w:name w:val="header"/>
    <w:basedOn w:val="Normal"/>
    <w:link w:val="HeaderChar"/>
    <w:uiPriority w:val="99"/>
    <w:unhideWhenUsed/>
    <w:rsid w:val="003D1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991"/>
  </w:style>
  <w:style w:type="paragraph" w:styleId="Footer">
    <w:name w:val="footer"/>
    <w:basedOn w:val="Normal"/>
    <w:link w:val="FooterChar"/>
    <w:uiPriority w:val="99"/>
    <w:unhideWhenUsed/>
    <w:rsid w:val="003D1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991"/>
  </w:style>
  <w:style w:type="paragraph" w:styleId="BalloonText">
    <w:name w:val="Balloon Text"/>
    <w:basedOn w:val="Normal"/>
    <w:link w:val="BalloonTextChar"/>
    <w:uiPriority w:val="99"/>
    <w:semiHidden/>
    <w:unhideWhenUsed/>
    <w:rsid w:val="003D1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991"/>
    <w:rPr>
      <w:rFonts w:ascii="Tahoma" w:hAnsi="Tahoma" w:cs="Tahoma"/>
      <w:sz w:val="16"/>
      <w:szCs w:val="16"/>
    </w:rPr>
  </w:style>
  <w:style w:type="character" w:styleId="CommentReference">
    <w:name w:val="annotation reference"/>
    <w:basedOn w:val="DefaultParagraphFont"/>
    <w:uiPriority w:val="99"/>
    <w:semiHidden/>
    <w:unhideWhenUsed/>
    <w:rsid w:val="00DE079C"/>
    <w:rPr>
      <w:sz w:val="16"/>
      <w:szCs w:val="16"/>
    </w:rPr>
  </w:style>
  <w:style w:type="paragraph" w:styleId="CommentText">
    <w:name w:val="annotation text"/>
    <w:basedOn w:val="Normal"/>
    <w:link w:val="CommentTextChar"/>
    <w:uiPriority w:val="99"/>
    <w:semiHidden/>
    <w:unhideWhenUsed/>
    <w:rsid w:val="00DE079C"/>
    <w:pPr>
      <w:spacing w:line="240" w:lineRule="auto"/>
    </w:pPr>
    <w:rPr>
      <w:sz w:val="20"/>
      <w:szCs w:val="20"/>
    </w:rPr>
  </w:style>
  <w:style w:type="character" w:customStyle="1" w:styleId="CommentTextChar">
    <w:name w:val="Comment Text Char"/>
    <w:basedOn w:val="DefaultParagraphFont"/>
    <w:link w:val="CommentText"/>
    <w:uiPriority w:val="99"/>
    <w:semiHidden/>
    <w:rsid w:val="00DE079C"/>
    <w:rPr>
      <w:sz w:val="20"/>
      <w:szCs w:val="20"/>
    </w:rPr>
  </w:style>
  <w:style w:type="paragraph" w:styleId="CommentSubject">
    <w:name w:val="annotation subject"/>
    <w:basedOn w:val="CommentText"/>
    <w:next w:val="CommentText"/>
    <w:link w:val="CommentSubjectChar"/>
    <w:uiPriority w:val="99"/>
    <w:semiHidden/>
    <w:unhideWhenUsed/>
    <w:rsid w:val="00DE079C"/>
    <w:rPr>
      <w:b/>
      <w:bCs/>
    </w:rPr>
  </w:style>
  <w:style w:type="character" w:customStyle="1" w:styleId="CommentSubjectChar">
    <w:name w:val="Comment Subject Char"/>
    <w:basedOn w:val="CommentTextChar"/>
    <w:link w:val="CommentSubject"/>
    <w:uiPriority w:val="99"/>
    <w:semiHidden/>
    <w:rsid w:val="00DE079C"/>
    <w:rPr>
      <w:b/>
      <w:bCs/>
      <w:sz w:val="20"/>
      <w:szCs w:val="20"/>
    </w:rPr>
  </w:style>
  <w:style w:type="paragraph" w:customStyle="1" w:styleId="Default">
    <w:name w:val="Default"/>
    <w:rsid w:val="00DE07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ERCParagraphs">
    <w:name w:val="FERC Paragraphs"/>
    <w:basedOn w:val="Default"/>
    <w:next w:val="Default"/>
    <w:uiPriority w:val="99"/>
    <w:rsid w:val="00DE079C"/>
    <w:rPr>
      <w:color w:val="auto"/>
    </w:rPr>
  </w:style>
  <w:style w:type="paragraph" w:customStyle="1" w:styleId="NormalFiling">
    <w:name w:val="Normal Filing"/>
    <w:basedOn w:val="Default"/>
    <w:next w:val="Default"/>
    <w:uiPriority w:val="99"/>
    <w:rsid w:val="00DE079C"/>
    <w:rPr>
      <w:color w:val="auto"/>
    </w:rPr>
  </w:style>
  <w:style w:type="paragraph" w:styleId="Revision">
    <w:name w:val="Revision"/>
    <w:hidden/>
    <w:uiPriority w:val="99"/>
    <w:semiHidden/>
    <w:rsid w:val="00DE079C"/>
    <w:pPr>
      <w:spacing w:after="0" w:line="240" w:lineRule="auto"/>
    </w:pPr>
  </w:style>
  <w:style w:type="paragraph" w:styleId="BodyText">
    <w:name w:val="Body Text"/>
    <w:basedOn w:val="Normal"/>
    <w:link w:val="BodyTextChar"/>
    <w:uiPriority w:val="1"/>
    <w:unhideWhenUsed/>
    <w:qFormat/>
    <w:rsid w:val="00D92D8D"/>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D92D8D"/>
    <w:rPr>
      <w:rFonts w:ascii="Times New Roman" w:eastAsia="Times New Roman" w:hAnsi="Times New Roman" w:cs="Times New Roman"/>
      <w:sz w:val="21"/>
      <w:szCs w:val="21"/>
    </w:rPr>
  </w:style>
  <w:style w:type="paragraph" w:styleId="ListParagraph">
    <w:name w:val="List Paragraph"/>
    <w:basedOn w:val="Normal"/>
    <w:uiPriority w:val="1"/>
    <w:qFormat/>
    <w:rsid w:val="00A034FB"/>
    <w:pPr>
      <w:widowControl w:val="0"/>
      <w:autoSpaceDE w:val="0"/>
      <w:autoSpaceDN w:val="0"/>
      <w:spacing w:after="0" w:line="240" w:lineRule="auto"/>
      <w:ind w:left="110" w:firstLine="725"/>
    </w:pPr>
    <w:rPr>
      <w:rFonts w:ascii="Times New Roman" w:eastAsia="Times New Roman" w:hAnsi="Times New Roman" w:cs="Times New Roman"/>
    </w:rPr>
  </w:style>
  <w:style w:type="paragraph" w:styleId="Subtitle">
    <w:name w:val="Subtitle"/>
    <w:basedOn w:val="Normal"/>
    <w:link w:val="SubtitleChar"/>
    <w:qFormat/>
    <w:rsid w:val="002F4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center"/>
    </w:pPr>
    <w:rPr>
      <w:rFonts w:ascii="Times New Roman" w:eastAsia="Times New Roman" w:hAnsi="Times New Roman" w:cs="Times New Roman"/>
      <w:b/>
      <w:caps/>
      <w:snapToGrid w:val="0"/>
      <w:sz w:val="24"/>
      <w:szCs w:val="20"/>
    </w:rPr>
  </w:style>
  <w:style w:type="character" w:customStyle="1" w:styleId="SubtitleChar">
    <w:name w:val="Subtitle Char"/>
    <w:basedOn w:val="DefaultParagraphFont"/>
    <w:link w:val="Subtitle"/>
    <w:rsid w:val="002F458D"/>
    <w:rPr>
      <w:rFonts w:ascii="Times New Roman" w:eastAsia="Times New Roman" w:hAnsi="Times New Roman" w:cs="Times New Roman"/>
      <w:b/>
      <w:caps/>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FERCparanumber"/>
    <w:link w:val="Heading1Char"/>
    <w:qFormat/>
    <w:rsid w:val="003D1991"/>
    <w:pPr>
      <w:keepNext/>
      <w:keepLines/>
      <w:numPr>
        <w:numId w:val="1"/>
      </w:numPr>
      <w:autoSpaceDE w:val="0"/>
      <w:autoSpaceDN w:val="0"/>
      <w:adjustRightInd w:val="0"/>
      <w:spacing w:after="260" w:line="240" w:lineRule="auto"/>
      <w:outlineLvl w:val="0"/>
    </w:pPr>
    <w:rPr>
      <w:rFonts w:ascii="Times New Roman" w:eastAsia="Times New Roman" w:hAnsi="Times New Roman" w:cs="Times New Roman"/>
      <w:b/>
      <w:bCs/>
      <w:kern w:val="32"/>
      <w:sz w:val="26"/>
      <w:szCs w:val="26"/>
      <w:u w:val="single"/>
    </w:rPr>
  </w:style>
  <w:style w:type="paragraph" w:styleId="Heading2">
    <w:name w:val="heading 2"/>
    <w:basedOn w:val="Normal"/>
    <w:next w:val="FERCparanumber"/>
    <w:link w:val="Heading2Char"/>
    <w:qFormat/>
    <w:rsid w:val="003D1991"/>
    <w:pPr>
      <w:keepNext/>
      <w:keepLines/>
      <w:numPr>
        <w:ilvl w:val="1"/>
        <w:numId w:val="1"/>
      </w:numPr>
      <w:autoSpaceDE w:val="0"/>
      <w:autoSpaceDN w:val="0"/>
      <w:adjustRightInd w:val="0"/>
      <w:spacing w:after="260" w:line="240" w:lineRule="auto"/>
      <w:outlineLvl w:val="1"/>
    </w:pPr>
    <w:rPr>
      <w:rFonts w:ascii="Times New Roman" w:eastAsia="Times New Roman" w:hAnsi="Times New Roman" w:cs="Times New Roman"/>
      <w:b/>
      <w:bCs/>
      <w:iCs/>
      <w:kern w:val="32"/>
      <w:sz w:val="26"/>
      <w:szCs w:val="26"/>
      <w:u w:val="single"/>
    </w:rPr>
  </w:style>
  <w:style w:type="paragraph" w:styleId="Heading3">
    <w:name w:val="heading 3"/>
    <w:basedOn w:val="Normal"/>
    <w:next w:val="FERCparanumber"/>
    <w:link w:val="Heading3Char"/>
    <w:qFormat/>
    <w:rsid w:val="003D1991"/>
    <w:pPr>
      <w:keepNext/>
      <w:keepLines/>
      <w:numPr>
        <w:ilvl w:val="2"/>
        <w:numId w:val="1"/>
      </w:numPr>
      <w:autoSpaceDE w:val="0"/>
      <w:autoSpaceDN w:val="0"/>
      <w:adjustRightInd w:val="0"/>
      <w:spacing w:after="260" w:line="240" w:lineRule="auto"/>
      <w:outlineLvl w:val="2"/>
    </w:pPr>
    <w:rPr>
      <w:rFonts w:ascii="Times New Roman" w:eastAsia="Times New Roman" w:hAnsi="Times New Roman" w:cs="Times New Roman"/>
      <w:b/>
      <w:bCs/>
      <w:kern w:val="32"/>
      <w:sz w:val="26"/>
      <w:szCs w:val="26"/>
      <w:u w:val="single"/>
    </w:rPr>
  </w:style>
  <w:style w:type="paragraph" w:styleId="Heading4">
    <w:name w:val="heading 4"/>
    <w:basedOn w:val="Normal"/>
    <w:next w:val="FERCparanumber"/>
    <w:link w:val="Heading4Char"/>
    <w:qFormat/>
    <w:rsid w:val="003D1991"/>
    <w:pPr>
      <w:keepNext/>
      <w:keepLines/>
      <w:numPr>
        <w:ilvl w:val="3"/>
        <w:numId w:val="1"/>
      </w:numPr>
      <w:autoSpaceDE w:val="0"/>
      <w:autoSpaceDN w:val="0"/>
      <w:adjustRightInd w:val="0"/>
      <w:spacing w:after="240" w:line="240" w:lineRule="auto"/>
      <w:outlineLvl w:val="3"/>
    </w:pPr>
    <w:rPr>
      <w:rFonts w:ascii="Times New Roman" w:eastAsia="Times New Roman" w:hAnsi="Times New Roman" w:cs="Times New Roman"/>
      <w:b/>
      <w:bCs/>
      <w:kern w:val="32"/>
      <w:sz w:val="26"/>
      <w:szCs w:val="26"/>
      <w:u w:val="single"/>
    </w:rPr>
  </w:style>
  <w:style w:type="paragraph" w:styleId="Heading5">
    <w:name w:val="heading 5"/>
    <w:basedOn w:val="Normal"/>
    <w:next w:val="FERCparanumber"/>
    <w:link w:val="Heading5Char"/>
    <w:qFormat/>
    <w:rsid w:val="003D1991"/>
    <w:pPr>
      <w:keepNext/>
      <w:keepLines/>
      <w:numPr>
        <w:ilvl w:val="4"/>
        <w:numId w:val="1"/>
      </w:numPr>
      <w:autoSpaceDE w:val="0"/>
      <w:autoSpaceDN w:val="0"/>
      <w:adjustRightInd w:val="0"/>
      <w:spacing w:after="260" w:line="240" w:lineRule="auto"/>
      <w:outlineLvl w:val="4"/>
    </w:pPr>
    <w:rPr>
      <w:rFonts w:ascii="Times New Roman" w:eastAsia="Times New Roman" w:hAnsi="Times New Roman" w:cs="Times New Roman"/>
      <w:b/>
      <w:bCs/>
      <w:iCs/>
      <w:kern w:val="32"/>
      <w:sz w:val="26"/>
      <w:szCs w:val="26"/>
      <w:u w:val="single"/>
    </w:rPr>
  </w:style>
  <w:style w:type="paragraph" w:styleId="Heading6">
    <w:name w:val="heading 6"/>
    <w:basedOn w:val="Normal"/>
    <w:next w:val="FERCparanumber"/>
    <w:link w:val="Heading6Char"/>
    <w:qFormat/>
    <w:rsid w:val="003D1991"/>
    <w:pPr>
      <w:keepNext/>
      <w:keepLines/>
      <w:numPr>
        <w:ilvl w:val="5"/>
        <w:numId w:val="1"/>
      </w:numPr>
      <w:autoSpaceDE w:val="0"/>
      <w:autoSpaceDN w:val="0"/>
      <w:adjustRightInd w:val="0"/>
      <w:spacing w:after="260" w:line="240" w:lineRule="auto"/>
      <w:outlineLvl w:val="5"/>
    </w:pPr>
    <w:rPr>
      <w:rFonts w:ascii="Times New Roman" w:eastAsia="Times New Roman" w:hAnsi="Times New Roman" w:cs="Times New Roman"/>
      <w:b/>
      <w:bCs/>
      <w:kern w:val="32"/>
      <w:sz w:val="26"/>
      <w:szCs w:val="26"/>
      <w:u w:val="single"/>
    </w:rPr>
  </w:style>
  <w:style w:type="paragraph" w:styleId="Heading7">
    <w:name w:val="heading 7"/>
    <w:basedOn w:val="Normal"/>
    <w:next w:val="FERCparanumber"/>
    <w:link w:val="Heading7Char"/>
    <w:qFormat/>
    <w:rsid w:val="003D1991"/>
    <w:pPr>
      <w:keepNext/>
      <w:keepLines/>
      <w:numPr>
        <w:ilvl w:val="6"/>
        <w:numId w:val="1"/>
      </w:numPr>
      <w:autoSpaceDE w:val="0"/>
      <w:autoSpaceDN w:val="0"/>
      <w:adjustRightInd w:val="0"/>
      <w:spacing w:after="260" w:line="240" w:lineRule="auto"/>
      <w:outlineLvl w:val="6"/>
    </w:pPr>
    <w:rPr>
      <w:rFonts w:ascii="Times New Roman" w:eastAsia="Times New Roman" w:hAnsi="Times New Roman" w:cs="Times New Roman"/>
      <w:b/>
      <w:kern w:val="32"/>
      <w:sz w:val="26"/>
      <w:szCs w:val="26"/>
      <w:u w:val="single"/>
    </w:rPr>
  </w:style>
  <w:style w:type="paragraph" w:styleId="Heading8">
    <w:name w:val="heading 8"/>
    <w:basedOn w:val="Normal"/>
    <w:next w:val="FERCparanumber"/>
    <w:link w:val="Heading8Char"/>
    <w:qFormat/>
    <w:rsid w:val="003D1991"/>
    <w:pPr>
      <w:keepNext/>
      <w:keepLines/>
      <w:numPr>
        <w:ilvl w:val="7"/>
        <w:numId w:val="1"/>
      </w:numPr>
      <w:autoSpaceDE w:val="0"/>
      <w:autoSpaceDN w:val="0"/>
      <w:adjustRightInd w:val="0"/>
      <w:spacing w:after="260" w:line="240" w:lineRule="auto"/>
      <w:outlineLvl w:val="7"/>
    </w:pPr>
    <w:rPr>
      <w:rFonts w:ascii="Times New Roman" w:eastAsia="Times New Roman" w:hAnsi="Times New Roman" w:cs="Times New Roman"/>
      <w:b/>
      <w:iCs/>
      <w:kern w:val="32"/>
      <w:sz w:val="26"/>
      <w:szCs w:val="26"/>
      <w:u w:val="single"/>
    </w:rPr>
  </w:style>
  <w:style w:type="paragraph" w:styleId="Heading9">
    <w:name w:val="heading 9"/>
    <w:basedOn w:val="Normal"/>
    <w:next w:val="FERCparanumber"/>
    <w:link w:val="Heading9Char"/>
    <w:qFormat/>
    <w:rsid w:val="003D1991"/>
    <w:pPr>
      <w:keepNext/>
      <w:keepLines/>
      <w:numPr>
        <w:ilvl w:val="8"/>
        <w:numId w:val="1"/>
      </w:numPr>
      <w:autoSpaceDE w:val="0"/>
      <w:autoSpaceDN w:val="0"/>
      <w:adjustRightInd w:val="0"/>
      <w:spacing w:after="260" w:line="240" w:lineRule="auto"/>
      <w:outlineLvl w:val="8"/>
    </w:pPr>
    <w:rPr>
      <w:rFonts w:ascii="Times New Roman" w:eastAsia="Times New Roman" w:hAnsi="Times New Roman" w:cs="Times New Roman"/>
      <w:b/>
      <w:kern w:val="32"/>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1991"/>
    <w:rPr>
      <w:rFonts w:ascii="Times New Roman" w:eastAsia="Times New Roman" w:hAnsi="Times New Roman" w:cs="Times New Roman"/>
      <w:b/>
      <w:bCs/>
      <w:kern w:val="32"/>
      <w:sz w:val="26"/>
      <w:szCs w:val="26"/>
      <w:u w:val="single"/>
    </w:rPr>
  </w:style>
  <w:style w:type="character" w:customStyle="1" w:styleId="Heading2Char">
    <w:name w:val="Heading 2 Char"/>
    <w:basedOn w:val="DefaultParagraphFont"/>
    <w:link w:val="Heading2"/>
    <w:rsid w:val="003D1991"/>
    <w:rPr>
      <w:rFonts w:ascii="Times New Roman" w:eastAsia="Times New Roman" w:hAnsi="Times New Roman" w:cs="Times New Roman"/>
      <w:b/>
      <w:bCs/>
      <w:iCs/>
      <w:kern w:val="32"/>
      <w:sz w:val="26"/>
      <w:szCs w:val="26"/>
      <w:u w:val="single"/>
    </w:rPr>
  </w:style>
  <w:style w:type="character" w:customStyle="1" w:styleId="Heading3Char">
    <w:name w:val="Heading 3 Char"/>
    <w:basedOn w:val="DefaultParagraphFont"/>
    <w:link w:val="Heading3"/>
    <w:rsid w:val="003D1991"/>
    <w:rPr>
      <w:rFonts w:ascii="Times New Roman" w:eastAsia="Times New Roman" w:hAnsi="Times New Roman" w:cs="Times New Roman"/>
      <w:b/>
      <w:bCs/>
      <w:kern w:val="32"/>
      <w:sz w:val="26"/>
      <w:szCs w:val="26"/>
      <w:u w:val="single"/>
    </w:rPr>
  </w:style>
  <w:style w:type="character" w:customStyle="1" w:styleId="Heading4Char">
    <w:name w:val="Heading 4 Char"/>
    <w:basedOn w:val="DefaultParagraphFont"/>
    <w:link w:val="Heading4"/>
    <w:rsid w:val="003D1991"/>
    <w:rPr>
      <w:rFonts w:ascii="Times New Roman" w:eastAsia="Times New Roman" w:hAnsi="Times New Roman" w:cs="Times New Roman"/>
      <w:b/>
      <w:bCs/>
      <w:kern w:val="32"/>
      <w:sz w:val="26"/>
      <w:szCs w:val="26"/>
      <w:u w:val="single"/>
    </w:rPr>
  </w:style>
  <w:style w:type="character" w:customStyle="1" w:styleId="Heading5Char">
    <w:name w:val="Heading 5 Char"/>
    <w:basedOn w:val="DefaultParagraphFont"/>
    <w:link w:val="Heading5"/>
    <w:rsid w:val="003D1991"/>
    <w:rPr>
      <w:rFonts w:ascii="Times New Roman" w:eastAsia="Times New Roman" w:hAnsi="Times New Roman" w:cs="Times New Roman"/>
      <w:b/>
      <w:bCs/>
      <w:iCs/>
      <w:kern w:val="32"/>
      <w:sz w:val="26"/>
      <w:szCs w:val="26"/>
      <w:u w:val="single"/>
    </w:rPr>
  </w:style>
  <w:style w:type="character" w:customStyle="1" w:styleId="Heading6Char">
    <w:name w:val="Heading 6 Char"/>
    <w:basedOn w:val="DefaultParagraphFont"/>
    <w:link w:val="Heading6"/>
    <w:rsid w:val="003D1991"/>
    <w:rPr>
      <w:rFonts w:ascii="Times New Roman" w:eastAsia="Times New Roman" w:hAnsi="Times New Roman" w:cs="Times New Roman"/>
      <w:b/>
      <w:bCs/>
      <w:kern w:val="32"/>
      <w:sz w:val="26"/>
      <w:szCs w:val="26"/>
      <w:u w:val="single"/>
    </w:rPr>
  </w:style>
  <w:style w:type="character" w:customStyle="1" w:styleId="Heading7Char">
    <w:name w:val="Heading 7 Char"/>
    <w:basedOn w:val="DefaultParagraphFont"/>
    <w:link w:val="Heading7"/>
    <w:rsid w:val="003D1991"/>
    <w:rPr>
      <w:rFonts w:ascii="Times New Roman" w:eastAsia="Times New Roman" w:hAnsi="Times New Roman" w:cs="Times New Roman"/>
      <w:b/>
      <w:kern w:val="32"/>
      <w:sz w:val="26"/>
      <w:szCs w:val="26"/>
      <w:u w:val="single"/>
    </w:rPr>
  </w:style>
  <w:style w:type="character" w:customStyle="1" w:styleId="Heading8Char">
    <w:name w:val="Heading 8 Char"/>
    <w:basedOn w:val="DefaultParagraphFont"/>
    <w:link w:val="Heading8"/>
    <w:rsid w:val="003D1991"/>
    <w:rPr>
      <w:rFonts w:ascii="Times New Roman" w:eastAsia="Times New Roman" w:hAnsi="Times New Roman" w:cs="Times New Roman"/>
      <w:b/>
      <w:iCs/>
      <w:kern w:val="32"/>
      <w:sz w:val="26"/>
      <w:szCs w:val="26"/>
      <w:u w:val="single"/>
    </w:rPr>
  </w:style>
  <w:style w:type="character" w:customStyle="1" w:styleId="Heading9Char">
    <w:name w:val="Heading 9 Char"/>
    <w:basedOn w:val="DefaultParagraphFont"/>
    <w:link w:val="Heading9"/>
    <w:rsid w:val="003D1991"/>
    <w:rPr>
      <w:rFonts w:ascii="Times New Roman" w:eastAsia="Times New Roman" w:hAnsi="Times New Roman" w:cs="Times New Roman"/>
      <w:b/>
      <w:kern w:val="32"/>
      <w:sz w:val="26"/>
      <w:szCs w:val="26"/>
      <w:u w:val="single"/>
    </w:rPr>
  </w:style>
  <w:style w:type="paragraph" w:customStyle="1" w:styleId="FERCparanumber">
    <w:name w:val="FERC paranumber"/>
    <w:basedOn w:val="Normal"/>
    <w:link w:val="FERCparanumberChar"/>
    <w:rsid w:val="003D1991"/>
    <w:pPr>
      <w:numPr>
        <w:numId w:val="2"/>
      </w:numPr>
      <w:autoSpaceDE w:val="0"/>
      <w:autoSpaceDN w:val="0"/>
      <w:adjustRightInd w:val="0"/>
      <w:spacing w:after="0" w:line="480" w:lineRule="auto"/>
    </w:pPr>
    <w:rPr>
      <w:rFonts w:ascii="Times New Roman" w:eastAsia="Times New Roman" w:hAnsi="Times New Roman" w:cs="Times New Roman"/>
      <w:sz w:val="26"/>
      <w:szCs w:val="26"/>
    </w:rPr>
  </w:style>
  <w:style w:type="character" w:customStyle="1" w:styleId="FERCparanumberChar">
    <w:name w:val="FERC paranumber Char"/>
    <w:basedOn w:val="DefaultParagraphFont"/>
    <w:link w:val="FERCparanumber"/>
    <w:rsid w:val="003D1991"/>
    <w:rPr>
      <w:rFonts w:ascii="Times New Roman" w:eastAsia="Times New Roman" w:hAnsi="Times New Roman" w:cs="Times New Roman"/>
      <w:sz w:val="26"/>
      <w:szCs w:val="26"/>
    </w:rPr>
  </w:style>
  <w:style w:type="paragraph" w:styleId="FootnoteText">
    <w:name w:val="footnote text"/>
    <w:aliases w:val="Footnote Text Char1 Char,Footnote Text Char Char Char,Footnote Text Char1,Footnote Text Char Char1,fn,Footnote Text Char Char,Footnote Text Char1 Char Char Char1,Footnote Text Char Char Char Char Char1,Footnote Text MRP"/>
    <w:basedOn w:val="Normal"/>
    <w:link w:val="FootnoteTextChar2"/>
    <w:rsid w:val="003D1991"/>
    <w:pPr>
      <w:spacing w:after="240" w:line="240" w:lineRule="auto"/>
      <w:ind w:firstLine="720"/>
    </w:pPr>
    <w:rPr>
      <w:rFonts w:ascii="Times New Roman" w:eastAsia="Times New Roman" w:hAnsi="Times New Roman" w:cs="Times New Roman"/>
      <w:sz w:val="26"/>
      <w:szCs w:val="20"/>
    </w:rPr>
  </w:style>
  <w:style w:type="character" w:customStyle="1" w:styleId="FootnoteTextChar">
    <w:name w:val="Footnote Text Char"/>
    <w:basedOn w:val="DefaultParagraphFont"/>
    <w:uiPriority w:val="99"/>
    <w:semiHidden/>
    <w:rsid w:val="003D1991"/>
    <w:rPr>
      <w:sz w:val="20"/>
      <w:szCs w:val="20"/>
    </w:rPr>
  </w:style>
  <w:style w:type="character" w:customStyle="1" w:styleId="FootnoteTextChar2">
    <w:name w:val="Footnote Text Char2"/>
    <w:aliases w:val="Footnote Text Char1 Char Char,Footnote Text Char Char Char Char,Footnote Text Char1 Char1,Footnote Text Char Char1 Char,fn Char,Footnote Text Char Char Char1,Footnote Text Char1 Char Char Char1 Char,Footnote Text MRP Char"/>
    <w:basedOn w:val="DefaultParagraphFont"/>
    <w:link w:val="FootnoteText"/>
    <w:rsid w:val="003D1991"/>
    <w:rPr>
      <w:rFonts w:ascii="Times New Roman" w:eastAsia="Times New Roman" w:hAnsi="Times New Roman" w:cs="Times New Roman"/>
      <w:sz w:val="26"/>
      <w:szCs w:val="20"/>
    </w:rPr>
  </w:style>
  <w:style w:type="character" w:styleId="FootnoteReference">
    <w:name w:val="footnote reference"/>
    <w:aliases w:val="o,fr,Style 13,Style 12,Style 15,Style 17,Style 9,o1,fr1,o2,fr2,o3,fr3,Style 18,(NECG) Footnote Reference,Style 20,Style 7"/>
    <w:basedOn w:val="DefaultParagraphFont"/>
    <w:rsid w:val="003D1991"/>
    <w:rPr>
      <w:rFonts w:ascii="Times New Roman" w:hAnsi="Times New Roman"/>
      <w:b/>
      <w:sz w:val="26"/>
      <w:szCs w:val="26"/>
      <w:vertAlign w:val="superscript"/>
    </w:rPr>
  </w:style>
  <w:style w:type="paragraph" w:styleId="Header">
    <w:name w:val="header"/>
    <w:basedOn w:val="Normal"/>
    <w:link w:val="HeaderChar"/>
    <w:uiPriority w:val="99"/>
    <w:unhideWhenUsed/>
    <w:rsid w:val="003D1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991"/>
  </w:style>
  <w:style w:type="paragraph" w:styleId="Footer">
    <w:name w:val="footer"/>
    <w:basedOn w:val="Normal"/>
    <w:link w:val="FooterChar"/>
    <w:uiPriority w:val="99"/>
    <w:unhideWhenUsed/>
    <w:rsid w:val="003D1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991"/>
  </w:style>
  <w:style w:type="paragraph" w:styleId="BalloonText">
    <w:name w:val="Balloon Text"/>
    <w:basedOn w:val="Normal"/>
    <w:link w:val="BalloonTextChar"/>
    <w:uiPriority w:val="99"/>
    <w:semiHidden/>
    <w:unhideWhenUsed/>
    <w:rsid w:val="003D19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991"/>
    <w:rPr>
      <w:rFonts w:ascii="Tahoma" w:hAnsi="Tahoma" w:cs="Tahoma"/>
      <w:sz w:val="16"/>
      <w:szCs w:val="16"/>
    </w:rPr>
  </w:style>
  <w:style w:type="character" w:styleId="CommentReference">
    <w:name w:val="annotation reference"/>
    <w:basedOn w:val="DefaultParagraphFont"/>
    <w:uiPriority w:val="99"/>
    <w:semiHidden/>
    <w:unhideWhenUsed/>
    <w:rsid w:val="00DE079C"/>
    <w:rPr>
      <w:sz w:val="16"/>
      <w:szCs w:val="16"/>
    </w:rPr>
  </w:style>
  <w:style w:type="paragraph" w:styleId="CommentText">
    <w:name w:val="annotation text"/>
    <w:basedOn w:val="Normal"/>
    <w:link w:val="CommentTextChar"/>
    <w:uiPriority w:val="99"/>
    <w:semiHidden/>
    <w:unhideWhenUsed/>
    <w:rsid w:val="00DE079C"/>
    <w:pPr>
      <w:spacing w:line="240" w:lineRule="auto"/>
    </w:pPr>
    <w:rPr>
      <w:sz w:val="20"/>
      <w:szCs w:val="20"/>
    </w:rPr>
  </w:style>
  <w:style w:type="character" w:customStyle="1" w:styleId="CommentTextChar">
    <w:name w:val="Comment Text Char"/>
    <w:basedOn w:val="DefaultParagraphFont"/>
    <w:link w:val="CommentText"/>
    <w:uiPriority w:val="99"/>
    <w:semiHidden/>
    <w:rsid w:val="00DE079C"/>
    <w:rPr>
      <w:sz w:val="20"/>
      <w:szCs w:val="20"/>
    </w:rPr>
  </w:style>
  <w:style w:type="paragraph" w:styleId="CommentSubject">
    <w:name w:val="annotation subject"/>
    <w:basedOn w:val="CommentText"/>
    <w:next w:val="CommentText"/>
    <w:link w:val="CommentSubjectChar"/>
    <w:uiPriority w:val="99"/>
    <w:semiHidden/>
    <w:unhideWhenUsed/>
    <w:rsid w:val="00DE079C"/>
    <w:rPr>
      <w:b/>
      <w:bCs/>
    </w:rPr>
  </w:style>
  <w:style w:type="character" w:customStyle="1" w:styleId="CommentSubjectChar">
    <w:name w:val="Comment Subject Char"/>
    <w:basedOn w:val="CommentTextChar"/>
    <w:link w:val="CommentSubject"/>
    <w:uiPriority w:val="99"/>
    <w:semiHidden/>
    <w:rsid w:val="00DE079C"/>
    <w:rPr>
      <w:b/>
      <w:bCs/>
      <w:sz w:val="20"/>
      <w:szCs w:val="20"/>
    </w:rPr>
  </w:style>
  <w:style w:type="paragraph" w:customStyle="1" w:styleId="Default">
    <w:name w:val="Default"/>
    <w:rsid w:val="00DE079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ERCParagraphs">
    <w:name w:val="FERC Paragraphs"/>
    <w:basedOn w:val="Default"/>
    <w:next w:val="Default"/>
    <w:uiPriority w:val="99"/>
    <w:rsid w:val="00DE079C"/>
    <w:rPr>
      <w:color w:val="auto"/>
    </w:rPr>
  </w:style>
  <w:style w:type="paragraph" w:customStyle="1" w:styleId="NormalFiling">
    <w:name w:val="Normal Filing"/>
    <w:basedOn w:val="Default"/>
    <w:next w:val="Default"/>
    <w:uiPriority w:val="99"/>
    <w:rsid w:val="00DE079C"/>
    <w:rPr>
      <w:color w:val="auto"/>
    </w:rPr>
  </w:style>
  <w:style w:type="paragraph" w:styleId="Revision">
    <w:name w:val="Revision"/>
    <w:hidden/>
    <w:uiPriority w:val="99"/>
    <w:semiHidden/>
    <w:rsid w:val="00DE079C"/>
    <w:pPr>
      <w:spacing w:after="0" w:line="240" w:lineRule="auto"/>
    </w:pPr>
  </w:style>
  <w:style w:type="paragraph" w:styleId="BodyText">
    <w:name w:val="Body Text"/>
    <w:basedOn w:val="Normal"/>
    <w:link w:val="BodyTextChar"/>
    <w:uiPriority w:val="1"/>
    <w:unhideWhenUsed/>
    <w:qFormat/>
    <w:rsid w:val="00D92D8D"/>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D92D8D"/>
    <w:rPr>
      <w:rFonts w:ascii="Times New Roman" w:eastAsia="Times New Roman" w:hAnsi="Times New Roman" w:cs="Times New Roman"/>
      <w:sz w:val="21"/>
      <w:szCs w:val="21"/>
    </w:rPr>
  </w:style>
  <w:style w:type="paragraph" w:styleId="ListParagraph">
    <w:name w:val="List Paragraph"/>
    <w:basedOn w:val="Normal"/>
    <w:uiPriority w:val="1"/>
    <w:qFormat/>
    <w:rsid w:val="00A034FB"/>
    <w:pPr>
      <w:widowControl w:val="0"/>
      <w:autoSpaceDE w:val="0"/>
      <w:autoSpaceDN w:val="0"/>
      <w:spacing w:after="0" w:line="240" w:lineRule="auto"/>
      <w:ind w:left="110" w:firstLine="725"/>
    </w:pPr>
    <w:rPr>
      <w:rFonts w:ascii="Times New Roman" w:eastAsia="Times New Roman" w:hAnsi="Times New Roman" w:cs="Times New Roman"/>
    </w:rPr>
  </w:style>
  <w:style w:type="paragraph" w:styleId="Subtitle">
    <w:name w:val="Subtitle"/>
    <w:basedOn w:val="Normal"/>
    <w:link w:val="SubtitleChar"/>
    <w:qFormat/>
    <w:rsid w:val="002F458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line="240" w:lineRule="auto"/>
      <w:jc w:val="center"/>
    </w:pPr>
    <w:rPr>
      <w:rFonts w:ascii="Times New Roman" w:eastAsia="Times New Roman" w:hAnsi="Times New Roman" w:cs="Times New Roman"/>
      <w:b/>
      <w:caps/>
      <w:snapToGrid w:val="0"/>
      <w:sz w:val="24"/>
      <w:szCs w:val="20"/>
    </w:rPr>
  </w:style>
  <w:style w:type="character" w:customStyle="1" w:styleId="SubtitleChar">
    <w:name w:val="Subtitle Char"/>
    <w:basedOn w:val="DefaultParagraphFont"/>
    <w:link w:val="Subtitle"/>
    <w:rsid w:val="002F458D"/>
    <w:rPr>
      <w:rFonts w:ascii="Times New Roman" w:eastAsia="Times New Roman" w:hAnsi="Times New Roman" w:cs="Times New Roman"/>
      <w:b/>
      <w:caps/>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A0F1DDC66FD457487150CC3FB7D42B1"/>
        <w:category>
          <w:name w:val="General"/>
          <w:gallery w:val="placeholder"/>
        </w:category>
        <w:types>
          <w:type w:val="bbPlcHdr"/>
        </w:types>
        <w:behaviors>
          <w:behavior w:val="content"/>
        </w:behaviors>
        <w:guid w:val="{3CA33639-A112-4F72-9ECF-8E2660FF8409}"/>
      </w:docPartPr>
      <w:docPartBody>
        <w:p w:rsidR="00AF1FFF" w:rsidRDefault="005B0CE8" w:rsidP="005B0CE8">
          <w:pPr>
            <w:pStyle w:val="6A0F1DDC66FD457487150CC3FB7D42B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CE8"/>
    <w:rsid w:val="005B0CE8"/>
    <w:rsid w:val="00865AAB"/>
    <w:rsid w:val="00A35E52"/>
    <w:rsid w:val="00AF1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0F1DDC66FD457487150CC3FB7D42B1">
    <w:name w:val="6A0F1DDC66FD457487150CC3FB7D42B1"/>
    <w:rsid w:val="005B0C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0F1DDC66FD457487150CC3FB7D42B1">
    <w:name w:val="6A0F1DDC66FD457487150CC3FB7D42B1"/>
    <w:rsid w:val="005B0C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1993</Words>
  <Characters>11362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Excerpt from FERC Order 890 on Transmission Curtailments            (including industry comments that FERC referred to in the Order)</vt:lpstr>
    </vt:vector>
  </TitlesOfParts>
  <Company>Duke Energy</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Excerpt from FERC Order 890 on Transmission Curtailments            (including industry comments that FERC referred to in the Order)</dc:title>
  <dc:creator>Pritchard, Alan C</dc:creator>
  <cp:lastModifiedBy>Pritchard, Alan C</cp:lastModifiedBy>
  <cp:revision>2</cp:revision>
  <dcterms:created xsi:type="dcterms:W3CDTF">2018-02-06T15:48:00Z</dcterms:created>
  <dcterms:modified xsi:type="dcterms:W3CDTF">2018-02-06T15:48:00Z</dcterms:modified>
</cp:coreProperties>
</file>