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200206404"/>
        <w:docPartObj>
          <w:docPartGallery w:val="Table of Contents"/>
          <w:docPartUnique/>
        </w:docPartObj>
      </w:sdtPr>
      <w:sdtEndPr>
        <w:rPr>
          <w:b/>
          <w:noProof/>
        </w:rPr>
      </w:sdtEndPr>
      <w:sdtContent>
        <w:p w:rsidR="00B93F0A" w:rsidRDefault="00B93F0A">
          <w:pPr>
            <w:pStyle w:val="TOCHeading"/>
          </w:pPr>
          <w:r>
            <w:t>Contents</w:t>
          </w:r>
        </w:p>
        <w:p w:rsidR="00726E72" w:rsidRPr="00726E72" w:rsidRDefault="00B93F0A">
          <w:pPr>
            <w:pStyle w:val="TOC1"/>
            <w:tabs>
              <w:tab w:val="right" w:leader="dot" w:pos="9350"/>
            </w:tabs>
            <w:rPr>
              <w:rFonts w:eastAsiaTheme="minorEastAsia"/>
              <w:b/>
              <w:noProof/>
            </w:rPr>
          </w:pPr>
          <w:r w:rsidRPr="00726E72">
            <w:rPr>
              <w:b/>
            </w:rPr>
            <w:fldChar w:fldCharType="begin"/>
          </w:r>
          <w:r w:rsidRPr="00726E72">
            <w:rPr>
              <w:b/>
            </w:rPr>
            <w:instrText xml:space="preserve"> TOC \o "1-3" \h \z \u </w:instrText>
          </w:r>
          <w:r w:rsidRPr="00726E72">
            <w:rPr>
              <w:b/>
            </w:rPr>
            <w:fldChar w:fldCharType="separate"/>
          </w:r>
          <w:hyperlink w:anchor="_Toc505608819" w:history="1">
            <w:r w:rsidR="00726E72" w:rsidRPr="00726E72">
              <w:rPr>
                <w:rStyle w:val="Hyperlink"/>
                <w:b/>
                <w:noProof/>
              </w:rPr>
              <w:t>NAESB 2018 WEQ Annual Plan Item 2.a.i.1</w:t>
            </w:r>
            <w:r w:rsidR="00726E72" w:rsidRPr="00726E72">
              <w:rPr>
                <w:b/>
                <w:noProof/>
                <w:webHidden/>
              </w:rPr>
              <w:tab/>
            </w:r>
            <w:r w:rsidR="00726E72" w:rsidRPr="00726E72">
              <w:rPr>
                <w:b/>
                <w:noProof/>
                <w:webHidden/>
              </w:rPr>
              <w:fldChar w:fldCharType="begin"/>
            </w:r>
            <w:r w:rsidR="00726E72" w:rsidRPr="00726E72">
              <w:rPr>
                <w:b/>
                <w:noProof/>
                <w:webHidden/>
              </w:rPr>
              <w:instrText xml:space="preserve"> PAGEREF _Toc505608819 \h </w:instrText>
            </w:r>
            <w:r w:rsidR="00726E72" w:rsidRPr="00726E72">
              <w:rPr>
                <w:b/>
                <w:noProof/>
                <w:webHidden/>
              </w:rPr>
            </w:r>
            <w:r w:rsidR="00726E72" w:rsidRPr="00726E72">
              <w:rPr>
                <w:b/>
                <w:noProof/>
                <w:webHidden/>
              </w:rPr>
              <w:fldChar w:fldCharType="separate"/>
            </w:r>
            <w:r w:rsidR="00726E72" w:rsidRPr="00726E72">
              <w:rPr>
                <w:b/>
                <w:noProof/>
                <w:webHidden/>
              </w:rPr>
              <w:t>1</w:t>
            </w:r>
            <w:r w:rsidR="00726E72" w:rsidRPr="00726E72">
              <w:rPr>
                <w:b/>
                <w:noProof/>
                <w:webHidden/>
              </w:rPr>
              <w:fldChar w:fldCharType="end"/>
            </w:r>
          </w:hyperlink>
        </w:p>
        <w:p w:rsidR="00726E72" w:rsidRPr="00726E72" w:rsidRDefault="003E5FEF">
          <w:pPr>
            <w:pStyle w:val="TOC1"/>
            <w:tabs>
              <w:tab w:val="right" w:leader="dot" w:pos="9350"/>
            </w:tabs>
            <w:rPr>
              <w:rFonts w:eastAsiaTheme="minorEastAsia"/>
              <w:b/>
              <w:noProof/>
            </w:rPr>
          </w:pPr>
          <w:hyperlink w:anchor="_Toc505608820" w:history="1">
            <w:r w:rsidR="00726E72" w:rsidRPr="00726E72">
              <w:rPr>
                <w:rStyle w:val="Hyperlink"/>
                <w:b/>
                <w:noProof/>
              </w:rPr>
              <w:t>Review of FERC Order on Transmission Curtailments</w:t>
            </w:r>
            <w:r w:rsidR="00726E72" w:rsidRPr="00726E72">
              <w:rPr>
                <w:b/>
                <w:noProof/>
                <w:webHidden/>
              </w:rPr>
              <w:tab/>
            </w:r>
            <w:r w:rsidR="00726E72" w:rsidRPr="00726E72">
              <w:rPr>
                <w:b/>
                <w:noProof/>
                <w:webHidden/>
              </w:rPr>
              <w:fldChar w:fldCharType="begin"/>
            </w:r>
            <w:r w:rsidR="00726E72" w:rsidRPr="00726E72">
              <w:rPr>
                <w:b/>
                <w:noProof/>
                <w:webHidden/>
              </w:rPr>
              <w:instrText xml:space="preserve"> PAGEREF _Toc505608820 \h </w:instrText>
            </w:r>
            <w:r w:rsidR="00726E72" w:rsidRPr="00726E72">
              <w:rPr>
                <w:b/>
                <w:noProof/>
                <w:webHidden/>
              </w:rPr>
            </w:r>
            <w:r w:rsidR="00726E72" w:rsidRPr="00726E72">
              <w:rPr>
                <w:b/>
                <w:noProof/>
                <w:webHidden/>
              </w:rPr>
              <w:fldChar w:fldCharType="separate"/>
            </w:r>
            <w:r w:rsidR="00726E72" w:rsidRPr="00726E72">
              <w:rPr>
                <w:b/>
                <w:noProof/>
                <w:webHidden/>
              </w:rPr>
              <w:t>2</w:t>
            </w:r>
            <w:r w:rsidR="00726E72" w:rsidRPr="00726E72">
              <w:rPr>
                <w:b/>
                <w:noProof/>
                <w:webHidden/>
              </w:rPr>
              <w:fldChar w:fldCharType="end"/>
            </w:r>
          </w:hyperlink>
        </w:p>
        <w:p w:rsidR="00726E72" w:rsidRPr="00726E72" w:rsidRDefault="003E5FEF">
          <w:pPr>
            <w:pStyle w:val="TOC1"/>
            <w:tabs>
              <w:tab w:val="right" w:leader="dot" w:pos="9350"/>
            </w:tabs>
            <w:rPr>
              <w:rFonts w:eastAsiaTheme="minorEastAsia"/>
              <w:b/>
              <w:noProof/>
            </w:rPr>
          </w:pPr>
          <w:hyperlink w:anchor="_Toc505608821" w:history="1">
            <w:r w:rsidR="00726E72" w:rsidRPr="00726E72">
              <w:rPr>
                <w:rStyle w:val="Hyperlink"/>
                <w:b/>
                <w:noProof/>
              </w:rPr>
              <w:t>Recommendation</w:t>
            </w:r>
            <w:r w:rsidR="00726E72" w:rsidRPr="00726E72">
              <w:rPr>
                <w:b/>
                <w:noProof/>
                <w:webHidden/>
              </w:rPr>
              <w:tab/>
            </w:r>
            <w:r w:rsidR="00726E72" w:rsidRPr="00726E72">
              <w:rPr>
                <w:b/>
                <w:noProof/>
                <w:webHidden/>
              </w:rPr>
              <w:fldChar w:fldCharType="begin"/>
            </w:r>
            <w:r w:rsidR="00726E72" w:rsidRPr="00726E72">
              <w:rPr>
                <w:b/>
                <w:noProof/>
                <w:webHidden/>
              </w:rPr>
              <w:instrText xml:space="preserve"> PAGEREF _Toc505608821 \h </w:instrText>
            </w:r>
            <w:r w:rsidR="00726E72" w:rsidRPr="00726E72">
              <w:rPr>
                <w:b/>
                <w:noProof/>
                <w:webHidden/>
              </w:rPr>
            </w:r>
            <w:r w:rsidR="00726E72" w:rsidRPr="00726E72">
              <w:rPr>
                <w:b/>
                <w:noProof/>
                <w:webHidden/>
              </w:rPr>
              <w:fldChar w:fldCharType="separate"/>
            </w:r>
            <w:r w:rsidR="00726E72" w:rsidRPr="00726E72">
              <w:rPr>
                <w:b/>
                <w:noProof/>
                <w:webHidden/>
              </w:rPr>
              <w:t>3</w:t>
            </w:r>
            <w:r w:rsidR="00726E72" w:rsidRPr="00726E72">
              <w:rPr>
                <w:b/>
                <w:noProof/>
                <w:webHidden/>
              </w:rPr>
              <w:fldChar w:fldCharType="end"/>
            </w:r>
          </w:hyperlink>
        </w:p>
        <w:p w:rsidR="00B93F0A" w:rsidRPr="00726E72" w:rsidRDefault="00B93F0A">
          <w:pPr>
            <w:rPr>
              <w:b/>
            </w:rPr>
          </w:pPr>
          <w:r w:rsidRPr="00726E72">
            <w:rPr>
              <w:b/>
              <w:bCs/>
              <w:noProof/>
            </w:rPr>
            <w:fldChar w:fldCharType="end"/>
          </w:r>
        </w:p>
      </w:sdtContent>
    </w:sdt>
    <w:p w:rsidR="00B93F0A" w:rsidRDefault="00B93F0A" w:rsidP="008462E6">
      <w:r w:rsidRPr="004906C3">
        <w:rPr>
          <w:color w:val="FF0000"/>
        </w:rPr>
        <w:t>--------------------------------------------------------------------------------------------------</w:t>
      </w:r>
      <w:r w:rsidR="008462E6" w:rsidRPr="004906C3">
        <w:rPr>
          <w:color w:val="FF0000"/>
        </w:rPr>
        <w:t>---------------------------------------</w:t>
      </w:r>
    </w:p>
    <w:p w:rsidR="00E90524" w:rsidRPr="00B93F0A" w:rsidRDefault="008559C3" w:rsidP="00B93F0A">
      <w:pPr>
        <w:pStyle w:val="Heading1"/>
      </w:pPr>
      <w:bookmarkStart w:id="0" w:name="_Toc505608819"/>
      <w:r w:rsidRPr="008559C3">
        <w:t>NAESB 2018</w:t>
      </w:r>
      <w:r w:rsidR="008462E6">
        <w:t xml:space="preserve"> WEQ</w:t>
      </w:r>
      <w:r w:rsidRPr="008559C3">
        <w:t xml:space="preserve"> Annual Plan Item 2.a.i.1</w:t>
      </w:r>
      <w:bookmarkEnd w:id="0"/>
    </w:p>
    <w:tbl>
      <w:tblPr>
        <w:tblW w:w="9630" w:type="dxa"/>
        <w:tblInd w:w="17" w:type="dxa"/>
        <w:tblLayout w:type="fixed"/>
        <w:tblCellMar>
          <w:top w:w="60" w:type="dxa"/>
          <w:left w:w="17" w:type="dxa"/>
          <w:right w:w="17" w:type="dxa"/>
        </w:tblCellMar>
        <w:tblLook w:val="04A0" w:firstRow="1" w:lastRow="0" w:firstColumn="1" w:lastColumn="0" w:noHBand="0" w:noVBand="1"/>
      </w:tblPr>
      <w:tblGrid>
        <w:gridCol w:w="360"/>
        <w:gridCol w:w="540"/>
        <w:gridCol w:w="5579"/>
        <w:gridCol w:w="2790"/>
        <w:gridCol w:w="361"/>
      </w:tblGrid>
      <w:tr w:rsidR="00E90524" w:rsidTr="00E90524">
        <w:trPr>
          <w:cantSplit/>
          <w:tblHeader/>
        </w:trPr>
        <w:tc>
          <w:tcPr>
            <w:tcW w:w="9630" w:type="dxa"/>
            <w:gridSpan w:val="5"/>
            <w:tcBorders>
              <w:top w:val="nil"/>
              <w:left w:val="nil"/>
              <w:bottom w:val="single" w:sz="4" w:space="0" w:color="auto"/>
              <w:right w:val="nil"/>
            </w:tcBorders>
            <w:hideMark/>
          </w:tcPr>
          <w:p w:rsidR="00E90524" w:rsidRPr="00B93F0A" w:rsidRDefault="00E90524">
            <w:pPr>
              <w:pStyle w:val="TableText"/>
              <w:spacing w:before="40" w:after="40"/>
              <w:jc w:val="center"/>
              <w:rPr>
                <w:rFonts w:ascii="Times New Roman" w:hAnsi="Times New Roman"/>
                <w:b/>
                <w:i/>
                <w:sz w:val="18"/>
                <w:szCs w:val="18"/>
              </w:rPr>
            </w:pPr>
            <w:bookmarkStart w:id="1" w:name="OLE_LINK3"/>
            <w:bookmarkStart w:id="2" w:name="OLE_LINK4"/>
            <w:r w:rsidRPr="00B93F0A">
              <w:rPr>
                <w:rFonts w:ascii="Times New Roman" w:hAnsi="Times New Roman"/>
                <w:b/>
                <w:i/>
                <w:sz w:val="18"/>
                <w:szCs w:val="18"/>
              </w:rPr>
              <w:t>NORTH AMERICAN ENERGY STANDARDS BOARD</w:t>
            </w:r>
            <w:bookmarkStart w:id="3" w:name="OLE_LINK1"/>
            <w:bookmarkStart w:id="4" w:name="OLE_LINK2"/>
            <w:r w:rsidRPr="00B93F0A">
              <w:rPr>
                <w:rFonts w:ascii="Times New Roman" w:hAnsi="Times New Roman"/>
                <w:b/>
                <w:i/>
                <w:sz w:val="18"/>
                <w:szCs w:val="18"/>
              </w:rPr>
              <w:br/>
              <w:t xml:space="preserve">2018 ANNUAL PLAN for the WHOLESALE ELECTRIC QUADRANT </w:t>
            </w:r>
            <w:r w:rsidRPr="00B93F0A">
              <w:rPr>
                <w:rFonts w:ascii="Times New Roman" w:hAnsi="Times New Roman"/>
                <w:b/>
                <w:i/>
                <w:sz w:val="18"/>
                <w:szCs w:val="18"/>
              </w:rPr>
              <w:br/>
            </w:r>
            <w:bookmarkEnd w:id="1"/>
            <w:bookmarkEnd w:id="2"/>
            <w:bookmarkEnd w:id="3"/>
            <w:bookmarkEnd w:id="4"/>
            <w:r w:rsidRPr="00B93F0A">
              <w:rPr>
                <w:rFonts w:ascii="Times New Roman" w:hAnsi="Times New Roman"/>
                <w:b/>
                <w:i/>
                <w:sz w:val="18"/>
                <w:szCs w:val="18"/>
              </w:rPr>
              <w:t>Proposed by the WEQ Annual Plan Subcommittee on October 18, 2017 and as revised by the WEQ Executive Committee on October 24, 2017</w:t>
            </w:r>
          </w:p>
        </w:tc>
      </w:tr>
      <w:tr w:rsidR="00E90524" w:rsidRPr="00B93F0A" w:rsidTr="00E90524">
        <w:trPr>
          <w:gridAfter w:val="2"/>
          <w:wAfter w:w="3151" w:type="dxa"/>
          <w:cantSplit/>
          <w:tblHeader/>
        </w:trPr>
        <w:tc>
          <w:tcPr>
            <w:tcW w:w="6479" w:type="dxa"/>
            <w:gridSpan w:val="3"/>
            <w:tcBorders>
              <w:top w:val="single" w:sz="4" w:space="0" w:color="auto"/>
              <w:left w:val="nil"/>
              <w:bottom w:val="single" w:sz="4" w:space="0" w:color="auto"/>
              <w:right w:val="nil"/>
            </w:tcBorders>
            <w:hideMark/>
          </w:tcPr>
          <w:p w:rsidR="00E90524" w:rsidRPr="00B93F0A" w:rsidRDefault="00E90524">
            <w:pPr>
              <w:pStyle w:val="TableText"/>
              <w:spacing w:before="40" w:after="40"/>
              <w:jc w:val="center"/>
              <w:rPr>
                <w:rFonts w:ascii="Times New Roman" w:hAnsi="Times New Roman"/>
                <w:b/>
                <w:i/>
                <w:sz w:val="18"/>
                <w:szCs w:val="18"/>
              </w:rPr>
            </w:pPr>
            <w:r w:rsidRPr="00B93F0A">
              <w:rPr>
                <w:rFonts w:ascii="Times New Roman" w:hAnsi="Times New Roman"/>
                <w:b/>
                <w:i/>
                <w:sz w:val="18"/>
                <w:szCs w:val="18"/>
              </w:rPr>
              <w:t>Item Description</w:t>
            </w:r>
          </w:p>
        </w:tc>
      </w:tr>
      <w:tr w:rsidR="00E90524" w:rsidRPr="00B93F0A" w:rsidTr="00E90524">
        <w:trPr>
          <w:gridAfter w:val="1"/>
          <w:wAfter w:w="361" w:type="dxa"/>
        </w:trPr>
        <w:tc>
          <w:tcPr>
            <w:tcW w:w="9269" w:type="dxa"/>
            <w:gridSpan w:val="4"/>
            <w:hideMark/>
          </w:tcPr>
          <w:p w:rsidR="00E90524" w:rsidRPr="00B93F0A" w:rsidRDefault="00E90524">
            <w:pPr>
              <w:pStyle w:val="TableText"/>
              <w:widowControl w:val="0"/>
              <w:spacing w:before="40" w:after="40"/>
              <w:ind w:left="144"/>
              <w:rPr>
                <w:rFonts w:ascii="Times New Roman" w:hAnsi="Times New Roman"/>
                <w:b/>
                <w:i/>
                <w:color w:val="auto"/>
                <w:sz w:val="18"/>
                <w:szCs w:val="18"/>
              </w:rPr>
            </w:pPr>
            <w:r w:rsidRPr="00B93F0A">
              <w:rPr>
                <w:rFonts w:ascii="Times New Roman" w:hAnsi="Times New Roman"/>
                <w:b/>
                <w:i/>
                <w:color w:val="auto"/>
                <w:sz w:val="18"/>
                <w:szCs w:val="18"/>
              </w:rPr>
              <w:t>2. Develop business practice standards in support of the FERC RM05-25-000 and RM05-17-000 (OATT Reform)</w:t>
            </w:r>
            <w:r w:rsidRPr="00B93F0A">
              <w:rPr>
                <w:rStyle w:val="FootnoteReference"/>
                <w:b/>
                <w:i/>
                <w:color w:val="auto"/>
                <w:sz w:val="18"/>
                <w:szCs w:val="18"/>
              </w:rPr>
              <w:footnoteReference w:id="1"/>
            </w:r>
          </w:p>
        </w:tc>
      </w:tr>
      <w:tr w:rsidR="00E90524" w:rsidRPr="00B93F0A" w:rsidTr="00E90524">
        <w:trPr>
          <w:gridAfter w:val="1"/>
          <w:wAfter w:w="361" w:type="dxa"/>
        </w:trPr>
        <w:tc>
          <w:tcPr>
            <w:tcW w:w="360" w:type="dxa"/>
            <w:hideMark/>
          </w:tcPr>
          <w:p w:rsidR="00E90524" w:rsidRPr="00B93F0A" w:rsidRDefault="00E90524">
            <w:pPr>
              <w:pStyle w:val="TableText"/>
              <w:widowControl w:val="0"/>
              <w:spacing w:before="40" w:after="40"/>
              <w:ind w:left="144"/>
              <w:rPr>
                <w:rFonts w:ascii="Times New Roman" w:hAnsi="Times New Roman"/>
                <w:i/>
                <w:sz w:val="18"/>
                <w:szCs w:val="18"/>
              </w:rPr>
            </w:pPr>
            <w:r w:rsidRPr="00B93F0A">
              <w:rPr>
                <w:rFonts w:ascii="Times New Roman" w:hAnsi="Times New Roman"/>
                <w:i/>
                <w:sz w:val="18"/>
                <w:szCs w:val="18"/>
              </w:rPr>
              <w:t>a)</w:t>
            </w:r>
          </w:p>
        </w:tc>
        <w:tc>
          <w:tcPr>
            <w:tcW w:w="8909" w:type="dxa"/>
            <w:gridSpan w:val="3"/>
            <w:hideMark/>
          </w:tcPr>
          <w:p w:rsidR="00E90524" w:rsidRPr="00B93F0A" w:rsidRDefault="00E90524">
            <w:pPr>
              <w:pStyle w:val="TableText"/>
              <w:tabs>
                <w:tab w:val="num" w:pos="73"/>
              </w:tabs>
              <w:spacing w:before="40" w:after="40"/>
              <w:ind w:left="144"/>
              <w:rPr>
                <w:rFonts w:ascii="Times New Roman" w:hAnsi="Times New Roman"/>
                <w:i/>
                <w:sz w:val="18"/>
                <w:szCs w:val="18"/>
              </w:rPr>
            </w:pPr>
            <w:r w:rsidRPr="00B93F0A">
              <w:rPr>
                <w:rFonts w:ascii="Times New Roman" w:hAnsi="Times New Roman"/>
                <w:i/>
                <w:sz w:val="18"/>
                <w:szCs w:val="18"/>
              </w:rPr>
              <w:t>Develop business practice standards to better coordinate the use of the transmission system among neighboring transmission providers.</w:t>
            </w:r>
          </w:p>
          <w:p w:rsidR="00E90524" w:rsidRPr="00B93F0A" w:rsidRDefault="00E90524">
            <w:pPr>
              <w:pStyle w:val="TableText"/>
              <w:widowControl w:val="0"/>
              <w:spacing w:before="40" w:after="40"/>
              <w:ind w:left="144"/>
              <w:rPr>
                <w:rFonts w:ascii="Times New Roman" w:hAnsi="Times New Roman"/>
                <w:i/>
                <w:sz w:val="18"/>
                <w:szCs w:val="18"/>
              </w:rPr>
            </w:pPr>
            <w:r w:rsidRPr="00B93F0A">
              <w:rPr>
                <w:rFonts w:ascii="Times New Roman" w:hAnsi="Times New Roman"/>
                <w:i/>
                <w:sz w:val="18"/>
                <w:szCs w:val="18"/>
              </w:rPr>
              <w:t xml:space="preserve">Request R05004 was expanded to include the </w:t>
            </w:r>
            <w:hyperlink r:id="rId9" w:history="1">
              <w:r w:rsidRPr="00B93F0A">
                <w:rPr>
                  <w:rStyle w:val="Hyperlink"/>
                  <w:i/>
                  <w:sz w:val="18"/>
                  <w:szCs w:val="18"/>
                </w:rPr>
                <w:t>Order No. 890 (Docket Nos.RM05-17-000 and RM02-25-000)</w:t>
              </w:r>
            </w:hyperlink>
            <w:r w:rsidRPr="00B93F0A">
              <w:rPr>
                <w:rFonts w:ascii="Times New Roman" w:hAnsi="Times New Roman"/>
                <w:i/>
                <w:sz w:val="18"/>
                <w:szCs w:val="18"/>
              </w:rPr>
              <w:t>, (</w:t>
            </w:r>
            <w:hyperlink r:id="rId10" w:history="1">
              <w:r w:rsidRPr="00B93F0A">
                <w:rPr>
                  <w:rStyle w:val="Hyperlink"/>
                  <w:i/>
                  <w:sz w:val="18"/>
                  <w:szCs w:val="18"/>
                </w:rPr>
                <w:t>Order No. 890-A (Docket Nos. RM05-17-001, 002 and RM05-25-001, 002</w:t>
              </w:r>
            </w:hyperlink>
            <w:r w:rsidRPr="00B93F0A">
              <w:rPr>
                <w:rFonts w:ascii="Times New Roman" w:hAnsi="Times New Roman"/>
                <w:i/>
                <w:sz w:val="18"/>
                <w:szCs w:val="18"/>
              </w:rPr>
              <w:t xml:space="preserve">), and </w:t>
            </w:r>
            <w:hyperlink r:id="rId11" w:history="1">
              <w:r w:rsidRPr="00B93F0A">
                <w:rPr>
                  <w:rStyle w:val="Hyperlink"/>
                  <w:i/>
                  <w:sz w:val="18"/>
                  <w:szCs w:val="18"/>
                </w:rPr>
                <w:t>Order No. 890-B (Docket Nos. RM05-17-03 and RM05-25-03)</w:t>
              </w:r>
            </w:hyperlink>
            <w:r w:rsidRPr="00B93F0A">
              <w:rPr>
                <w:rFonts w:ascii="Times New Roman" w:hAnsi="Times New Roman"/>
                <w:i/>
                <w:sz w:val="18"/>
                <w:szCs w:val="18"/>
              </w:rPr>
              <w:t xml:space="preserve"> “Preventing Undue Discrimination and Preference in Transmission Services” </w:t>
            </w:r>
          </w:p>
        </w:tc>
      </w:tr>
      <w:tr w:rsidR="00E90524" w:rsidRPr="00B93F0A" w:rsidTr="00E90524">
        <w:trPr>
          <w:gridAfter w:val="1"/>
          <w:wAfter w:w="361" w:type="dxa"/>
          <w:cantSplit/>
        </w:trPr>
        <w:tc>
          <w:tcPr>
            <w:tcW w:w="360" w:type="dxa"/>
          </w:tcPr>
          <w:p w:rsidR="00E90524" w:rsidRPr="00B93F0A" w:rsidRDefault="00E90524">
            <w:pPr>
              <w:pStyle w:val="TableText"/>
              <w:widowControl w:val="0"/>
              <w:spacing w:before="40" w:after="40"/>
              <w:ind w:left="144"/>
              <w:rPr>
                <w:rFonts w:ascii="Times New Roman" w:hAnsi="Times New Roman"/>
                <w:i/>
                <w:sz w:val="18"/>
                <w:szCs w:val="18"/>
              </w:rPr>
            </w:pPr>
          </w:p>
        </w:tc>
        <w:tc>
          <w:tcPr>
            <w:tcW w:w="540" w:type="dxa"/>
            <w:hideMark/>
          </w:tcPr>
          <w:p w:rsidR="00E90524" w:rsidRPr="00B93F0A" w:rsidRDefault="00E90524">
            <w:pPr>
              <w:pStyle w:val="TableText"/>
              <w:tabs>
                <w:tab w:val="num" w:pos="73"/>
              </w:tabs>
              <w:spacing w:before="40" w:after="40"/>
              <w:ind w:left="144"/>
              <w:rPr>
                <w:rFonts w:ascii="Times New Roman" w:hAnsi="Times New Roman"/>
                <w:i/>
                <w:sz w:val="18"/>
                <w:szCs w:val="18"/>
              </w:rPr>
            </w:pPr>
            <w:r w:rsidRPr="00B93F0A">
              <w:rPr>
                <w:rFonts w:ascii="Times New Roman" w:hAnsi="Times New Roman"/>
                <w:i/>
                <w:sz w:val="18"/>
                <w:szCs w:val="18"/>
              </w:rPr>
              <w:t>i)</w:t>
            </w:r>
          </w:p>
        </w:tc>
        <w:tc>
          <w:tcPr>
            <w:tcW w:w="8369" w:type="dxa"/>
            <w:gridSpan w:val="2"/>
            <w:hideMark/>
          </w:tcPr>
          <w:p w:rsidR="00E90524" w:rsidRPr="00B93F0A" w:rsidRDefault="00E90524">
            <w:pPr>
              <w:pStyle w:val="TableText"/>
              <w:widowControl w:val="0"/>
              <w:spacing w:before="40" w:after="40"/>
              <w:ind w:left="144"/>
              <w:rPr>
                <w:rFonts w:ascii="Times New Roman" w:hAnsi="Times New Roman"/>
                <w:i/>
                <w:color w:val="auto"/>
                <w:sz w:val="18"/>
                <w:szCs w:val="18"/>
              </w:rPr>
            </w:pPr>
            <w:r w:rsidRPr="00B93F0A">
              <w:rPr>
                <w:rFonts w:ascii="Times New Roman" w:hAnsi="Times New Roman"/>
                <w:i/>
                <w:sz w:val="18"/>
                <w:szCs w:val="18"/>
              </w:rPr>
              <w:t>Miscellaneous (Paragraph 1627</w:t>
            </w:r>
            <w:r w:rsidRPr="00B93F0A">
              <w:rPr>
                <w:rStyle w:val="FootnoteReference"/>
                <w:i/>
                <w:sz w:val="18"/>
                <w:szCs w:val="18"/>
              </w:rPr>
              <w:footnoteReference w:id="2"/>
            </w:r>
            <w:r w:rsidRPr="00B93F0A">
              <w:rPr>
                <w:rFonts w:ascii="Times New Roman" w:hAnsi="Times New Roman"/>
                <w:i/>
                <w:sz w:val="18"/>
                <w:szCs w:val="18"/>
              </w:rPr>
              <w:t xml:space="preserve"> of FERC Order No. 890)</w:t>
            </w:r>
          </w:p>
        </w:tc>
      </w:tr>
      <w:tr w:rsidR="00E90524" w:rsidRPr="00B93F0A" w:rsidTr="00E90524">
        <w:trPr>
          <w:gridAfter w:val="2"/>
          <w:wAfter w:w="3151" w:type="dxa"/>
          <w:cantSplit/>
        </w:trPr>
        <w:tc>
          <w:tcPr>
            <w:tcW w:w="360" w:type="dxa"/>
          </w:tcPr>
          <w:p w:rsidR="00E90524" w:rsidRPr="00B93F0A" w:rsidRDefault="00E90524">
            <w:pPr>
              <w:pStyle w:val="TableText"/>
              <w:widowControl w:val="0"/>
              <w:spacing w:before="40" w:after="40"/>
              <w:ind w:left="144"/>
              <w:rPr>
                <w:rFonts w:ascii="Times New Roman" w:hAnsi="Times New Roman"/>
                <w:i/>
                <w:sz w:val="18"/>
                <w:szCs w:val="18"/>
              </w:rPr>
            </w:pPr>
          </w:p>
        </w:tc>
        <w:tc>
          <w:tcPr>
            <w:tcW w:w="540" w:type="dxa"/>
          </w:tcPr>
          <w:p w:rsidR="00E90524" w:rsidRPr="00B93F0A" w:rsidRDefault="00E90524">
            <w:pPr>
              <w:pStyle w:val="TableText"/>
              <w:tabs>
                <w:tab w:val="num" w:pos="73"/>
              </w:tabs>
              <w:spacing w:before="40" w:after="40"/>
              <w:ind w:left="144"/>
              <w:rPr>
                <w:rFonts w:ascii="Times New Roman" w:hAnsi="Times New Roman"/>
                <w:i/>
                <w:sz w:val="18"/>
                <w:szCs w:val="18"/>
              </w:rPr>
            </w:pPr>
          </w:p>
        </w:tc>
        <w:tc>
          <w:tcPr>
            <w:tcW w:w="5579" w:type="dxa"/>
            <w:hideMark/>
          </w:tcPr>
          <w:p w:rsidR="00E90524" w:rsidRPr="00B93F0A" w:rsidRDefault="00E90524" w:rsidP="00A35411">
            <w:pPr>
              <w:pStyle w:val="TableText"/>
              <w:numPr>
                <w:ilvl w:val="0"/>
                <w:numId w:val="1"/>
              </w:numPr>
              <w:tabs>
                <w:tab w:val="num" w:pos="523"/>
              </w:tabs>
              <w:spacing w:before="40" w:after="40"/>
              <w:ind w:left="523"/>
              <w:rPr>
                <w:rFonts w:ascii="Times New Roman" w:hAnsi="Times New Roman"/>
                <w:i/>
                <w:sz w:val="18"/>
                <w:szCs w:val="18"/>
              </w:rPr>
            </w:pPr>
            <w:r w:rsidRPr="00B93F0A">
              <w:rPr>
                <w:rFonts w:ascii="Times New Roman" w:hAnsi="Times New Roman"/>
                <w:i/>
                <w:sz w:val="18"/>
                <w:szCs w:val="18"/>
              </w:rPr>
              <w:t>Paragraphs 1627 of Order 890 – Posting of additional information on OASIS regarding firm transmission curtailments</w:t>
            </w:r>
          </w:p>
          <w:p w:rsidR="00E90524" w:rsidRPr="00B93F0A" w:rsidRDefault="00E90524">
            <w:pPr>
              <w:pStyle w:val="TableText"/>
              <w:tabs>
                <w:tab w:val="num" w:pos="73"/>
                <w:tab w:val="num" w:pos="523"/>
              </w:tabs>
              <w:spacing w:before="40" w:after="40"/>
              <w:ind w:left="523" w:hanging="360"/>
              <w:rPr>
                <w:rFonts w:ascii="Times New Roman" w:hAnsi="Times New Roman"/>
                <w:i/>
                <w:sz w:val="18"/>
                <w:szCs w:val="18"/>
              </w:rPr>
            </w:pPr>
            <w:r w:rsidRPr="00B93F0A">
              <w:rPr>
                <w:rFonts w:ascii="Times New Roman" w:hAnsi="Times New Roman"/>
                <w:i/>
                <w:sz w:val="18"/>
                <w:szCs w:val="18"/>
              </w:rPr>
              <w:t>Status: Started</w:t>
            </w:r>
          </w:p>
        </w:tc>
      </w:tr>
    </w:tbl>
    <w:p w:rsidR="008559C3" w:rsidRDefault="008559C3"/>
    <w:p w:rsidR="008559C3" w:rsidRDefault="008559C3">
      <w:r>
        <w:br w:type="page"/>
      </w:r>
    </w:p>
    <w:p w:rsidR="00B93F0A" w:rsidRPr="008462E6" w:rsidRDefault="00B93F0A" w:rsidP="00B93F0A">
      <w:pPr>
        <w:pStyle w:val="Heading1"/>
        <w:rPr>
          <w:sz w:val="32"/>
        </w:rPr>
      </w:pPr>
      <w:bookmarkStart w:id="5" w:name="_Toc505608820"/>
      <w:r w:rsidRPr="008462E6">
        <w:rPr>
          <w:sz w:val="32"/>
        </w:rPr>
        <w:lastRenderedPageBreak/>
        <w:t>Review of FERC Order on Transmission Curtailments</w:t>
      </w:r>
      <w:bookmarkEnd w:id="5"/>
    </w:p>
    <w:p w:rsidR="008559C3" w:rsidRPr="008462E6" w:rsidRDefault="008559C3">
      <w:pPr>
        <w:rPr>
          <w:sz w:val="24"/>
        </w:rPr>
      </w:pPr>
      <w:r w:rsidRPr="008462E6">
        <w:rPr>
          <w:sz w:val="24"/>
        </w:rPr>
        <w:t xml:space="preserve">Paragraph 1627 is the second paragraph of the </w:t>
      </w:r>
      <w:r w:rsidRPr="008462E6">
        <w:rPr>
          <w:b/>
          <w:i/>
          <w:sz w:val="24"/>
        </w:rPr>
        <w:t>Commission Determination</w:t>
      </w:r>
      <w:r w:rsidRPr="008462E6">
        <w:rPr>
          <w:sz w:val="24"/>
        </w:rPr>
        <w:t xml:space="preserve"> discussion </w:t>
      </w:r>
      <w:r w:rsidR="00B93F0A" w:rsidRPr="008462E6">
        <w:rPr>
          <w:sz w:val="24"/>
        </w:rPr>
        <w:t>on</w:t>
      </w:r>
      <w:r w:rsidRPr="008462E6">
        <w:rPr>
          <w:sz w:val="24"/>
        </w:rPr>
        <w:t xml:space="preserve"> the topic of </w:t>
      </w:r>
      <w:r w:rsidRPr="008462E6">
        <w:rPr>
          <w:b/>
          <w:i/>
          <w:sz w:val="24"/>
        </w:rPr>
        <w:t>Transmission Curtailments</w:t>
      </w:r>
      <w:r w:rsidRPr="008462E6">
        <w:rPr>
          <w:sz w:val="24"/>
        </w:rPr>
        <w:t xml:space="preserve">.  </w:t>
      </w:r>
    </w:p>
    <w:p w:rsidR="008559C3" w:rsidRPr="008462E6" w:rsidRDefault="008559C3" w:rsidP="007F25B9">
      <w:pPr>
        <w:spacing w:after="0"/>
        <w:rPr>
          <w:sz w:val="24"/>
        </w:rPr>
      </w:pPr>
      <w:r w:rsidRPr="008462E6">
        <w:rPr>
          <w:sz w:val="24"/>
        </w:rPr>
        <w:t>The a</w:t>
      </w:r>
      <w:r w:rsidR="00F2117D" w:rsidRPr="008462E6">
        <w:rPr>
          <w:sz w:val="24"/>
        </w:rPr>
        <w:t xml:space="preserve">ccompanying document, </w:t>
      </w:r>
      <w:r w:rsidR="00D00842" w:rsidRPr="00D00842">
        <w:rPr>
          <w:i/>
          <w:sz w:val="24"/>
          <w:u w:val="single"/>
        </w:rPr>
        <w:t>Excerpt from Order 890 -- discussion on Transmission Curtailments (2018 WEQ API 2ai1).docx</w:t>
      </w:r>
      <w:r w:rsidR="0024145F" w:rsidRPr="008462E6">
        <w:rPr>
          <w:sz w:val="24"/>
        </w:rPr>
        <w:t>, shows</w:t>
      </w:r>
      <w:r w:rsidR="00F2117D" w:rsidRPr="008462E6">
        <w:rPr>
          <w:sz w:val="24"/>
        </w:rPr>
        <w:t xml:space="preserve"> </w:t>
      </w:r>
      <w:r w:rsidRPr="008462E6">
        <w:rPr>
          <w:sz w:val="24"/>
        </w:rPr>
        <w:t xml:space="preserve">the full discussion in Order 890 of </w:t>
      </w:r>
      <w:r w:rsidRPr="008462E6">
        <w:rPr>
          <w:b/>
          <w:i/>
          <w:sz w:val="24"/>
        </w:rPr>
        <w:t>Transmission Curtailments</w:t>
      </w:r>
      <w:r w:rsidRPr="008462E6">
        <w:rPr>
          <w:sz w:val="24"/>
        </w:rPr>
        <w:t xml:space="preserve">.  </w:t>
      </w:r>
      <w:r w:rsidR="0010346C" w:rsidRPr="008462E6">
        <w:rPr>
          <w:sz w:val="24"/>
        </w:rPr>
        <w:t>This document is offered as a work paper for the subcommittees to use to better discern the issues that were raised and addressed by the FERC in this order.</w:t>
      </w:r>
    </w:p>
    <w:p w:rsidR="008559C3" w:rsidRPr="008462E6" w:rsidRDefault="0010346C" w:rsidP="008559C3">
      <w:pPr>
        <w:pStyle w:val="ListParagraph"/>
        <w:numPr>
          <w:ilvl w:val="0"/>
          <w:numId w:val="5"/>
        </w:numPr>
        <w:rPr>
          <w:sz w:val="22"/>
        </w:rPr>
      </w:pPr>
      <w:r w:rsidRPr="008462E6">
        <w:rPr>
          <w:sz w:val="22"/>
        </w:rPr>
        <w:t>The document</w:t>
      </w:r>
      <w:r w:rsidR="008559C3" w:rsidRPr="008462E6">
        <w:rPr>
          <w:sz w:val="22"/>
        </w:rPr>
        <w:t xml:space="preserve"> includes the following paragraphs:</w:t>
      </w:r>
    </w:p>
    <w:p w:rsidR="008559C3" w:rsidRPr="008462E6" w:rsidRDefault="008559C3" w:rsidP="008559C3">
      <w:pPr>
        <w:pStyle w:val="ListParagraph"/>
        <w:numPr>
          <w:ilvl w:val="1"/>
          <w:numId w:val="5"/>
        </w:numPr>
        <w:rPr>
          <w:sz w:val="22"/>
        </w:rPr>
      </w:pPr>
      <w:r w:rsidRPr="008462E6">
        <w:rPr>
          <w:sz w:val="22"/>
        </w:rPr>
        <w:t>1620: an introduction to the topic</w:t>
      </w:r>
    </w:p>
    <w:p w:rsidR="008559C3" w:rsidRPr="008462E6" w:rsidRDefault="008559C3" w:rsidP="008559C3">
      <w:pPr>
        <w:pStyle w:val="ListParagraph"/>
        <w:numPr>
          <w:ilvl w:val="1"/>
          <w:numId w:val="5"/>
        </w:numPr>
        <w:rPr>
          <w:sz w:val="22"/>
        </w:rPr>
      </w:pPr>
      <w:r w:rsidRPr="008462E6">
        <w:rPr>
          <w:sz w:val="22"/>
        </w:rPr>
        <w:t>1621-1625: Comments</w:t>
      </w:r>
    </w:p>
    <w:p w:rsidR="008559C3" w:rsidRPr="008462E6" w:rsidRDefault="008559C3" w:rsidP="008559C3">
      <w:pPr>
        <w:pStyle w:val="ListParagraph"/>
        <w:numPr>
          <w:ilvl w:val="1"/>
          <w:numId w:val="5"/>
        </w:numPr>
        <w:rPr>
          <w:sz w:val="22"/>
        </w:rPr>
      </w:pPr>
      <w:r w:rsidRPr="008462E6">
        <w:rPr>
          <w:sz w:val="22"/>
        </w:rPr>
        <w:t>1626-1632: Commission Determination</w:t>
      </w:r>
    </w:p>
    <w:p w:rsidR="0010346C" w:rsidRPr="008462E6" w:rsidRDefault="0010346C" w:rsidP="0010346C">
      <w:pPr>
        <w:pStyle w:val="ListParagraph"/>
        <w:numPr>
          <w:ilvl w:val="0"/>
          <w:numId w:val="5"/>
        </w:numPr>
        <w:rPr>
          <w:sz w:val="22"/>
        </w:rPr>
      </w:pPr>
      <w:r w:rsidRPr="008462E6">
        <w:rPr>
          <w:sz w:val="22"/>
        </w:rPr>
        <w:t>The document also includes the portions of the filed comments that FERC addresses in paragraphs 1621-1625.  These portions of the filed comments are attached to the document in the form of Word comments.</w:t>
      </w:r>
    </w:p>
    <w:p w:rsidR="0010346C" w:rsidRPr="008462E6" w:rsidRDefault="0010346C" w:rsidP="0010346C">
      <w:pPr>
        <w:rPr>
          <w:sz w:val="24"/>
        </w:rPr>
      </w:pPr>
    </w:p>
    <w:p w:rsidR="0010346C" w:rsidRPr="008462E6" w:rsidRDefault="00666E68" w:rsidP="0010346C">
      <w:pPr>
        <w:rPr>
          <w:sz w:val="24"/>
        </w:rPr>
      </w:pPr>
      <w:r>
        <w:rPr>
          <w:sz w:val="24"/>
        </w:rPr>
        <w:t xml:space="preserve">A review of the whole section on Transmission Curtailments provides additional context to the language extracted for Annual Plan Item 2ai1.  </w:t>
      </w:r>
      <w:r w:rsidR="00F06E08">
        <w:rPr>
          <w:sz w:val="24"/>
        </w:rPr>
        <w:t>T</w:t>
      </w:r>
      <w:r w:rsidR="0010346C" w:rsidRPr="008462E6">
        <w:rPr>
          <w:sz w:val="24"/>
        </w:rPr>
        <w:t>he following observations</w:t>
      </w:r>
      <w:r w:rsidR="00F06E08">
        <w:rPr>
          <w:sz w:val="24"/>
        </w:rPr>
        <w:t xml:space="preserve"> are made</w:t>
      </w:r>
      <w:r w:rsidR="0010346C" w:rsidRPr="008462E6">
        <w:rPr>
          <w:sz w:val="24"/>
        </w:rPr>
        <w:t xml:space="preserve"> </w:t>
      </w:r>
      <w:r w:rsidR="00F06E08">
        <w:rPr>
          <w:sz w:val="24"/>
        </w:rPr>
        <w:t>from a review of</w:t>
      </w:r>
      <w:r w:rsidR="0010346C" w:rsidRPr="008462E6">
        <w:rPr>
          <w:sz w:val="24"/>
        </w:rPr>
        <w:t xml:space="preserve"> the information</w:t>
      </w:r>
      <w:r w:rsidR="00F06E08" w:rsidRPr="00F06E08">
        <w:rPr>
          <w:sz w:val="24"/>
        </w:rPr>
        <w:t xml:space="preserve"> </w:t>
      </w:r>
      <w:r w:rsidR="00F06E08">
        <w:rPr>
          <w:sz w:val="24"/>
        </w:rPr>
        <w:t>that is relevant</w:t>
      </w:r>
      <w:r w:rsidR="00F06E08" w:rsidRPr="008462E6">
        <w:rPr>
          <w:sz w:val="24"/>
        </w:rPr>
        <w:t xml:space="preserve"> to the Annual Plan Item</w:t>
      </w:r>
      <w:r w:rsidR="0010346C" w:rsidRPr="008462E6">
        <w:rPr>
          <w:sz w:val="24"/>
        </w:rPr>
        <w:t>:</w:t>
      </w:r>
    </w:p>
    <w:p w:rsidR="0010346C" w:rsidRPr="008462E6" w:rsidRDefault="0025225F" w:rsidP="008462E6">
      <w:pPr>
        <w:pStyle w:val="ListParagraph"/>
        <w:numPr>
          <w:ilvl w:val="0"/>
          <w:numId w:val="6"/>
        </w:numPr>
        <w:spacing w:after="120"/>
        <w:contextualSpacing w:val="0"/>
        <w:rPr>
          <w:sz w:val="22"/>
        </w:rPr>
      </w:pPr>
      <w:r w:rsidRPr="008462E6">
        <w:rPr>
          <w:sz w:val="22"/>
        </w:rPr>
        <w:t>APPA</w:t>
      </w:r>
      <w:r w:rsidR="00A70CD9" w:rsidRPr="008462E6">
        <w:rPr>
          <w:sz w:val="22"/>
        </w:rPr>
        <w:t>’s</w:t>
      </w:r>
      <w:r w:rsidRPr="008462E6">
        <w:rPr>
          <w:sz w:val="22"/>
        </w:rPr>
        <w:t xml:space="preserve"> suggestion for additional curtailment information is provided in light of</w:t>
      </w:r>
      <w:r w:rsidR="00A70CD9" w:rsidRPr="008462E6">
        <w:rPr>
          <w:sz w:val="22"/>
        </w:rPr>
        <w:t xml:space="preserve"> expectations for increased</w:t>
      </w:r>
      <w:r w:rsidRPr="008462E6">
        <w:rPr>
          <w:sz w:val="22"/>
        </w:rPr>
        <w:t xml:space="preserve"> pro rata curtailments and </w:t>
      </w:r>
      <w:r w:rsidRPr="00726E72">
        <w:rPr>
          <w:sz w:val="22"/>
          <w:u w:val="single"/>
        </w:rPr>
        <w:t>asks for information specific to each curtailment</w:t>
      </w:r>
      <w:r w:rsidR="0021064E" w:rsidRPr="008462E6">
        <w:rPr>
          <w:sz w:val="22"/>
        </w:rPr>
        <w:t xml:space="preserve">.  </w:t>
      </w:r>
    </w:p>
    <w:p w:rsidR="0021064E" w:rsidRPr="008462E6" w:rsidRDefault="0021064E" w:rsidP="008462E6">
      <w:pPr>
        <w:pStyle w:val="ListParagraph"/>
        <w:numPr>
          <w:ilvl w:val="0"/>
          <w:numId w:val="6"/>
        </w:numPr>
        <w:spacing w:after="120"/>
        <w:contextualSpacing w:val="0"/>
        <w:rPr>
          <w:sz w:val="22"/>
        </w:rPr>
      </w:pPr>
      <w:r w:rsidRPr="008462E6">
        <w:rPr>
          <w:sz w:val="22"/>
        </w:rPr>
        <w:t xml:space="preserve">TAPS comments are also persuasive to the FERC and their comments seem to be asking for a </w:t>
      </w:r>
      <w:r w:rsidRPr="00726E72">
        <w:rPr>
          <w:sz w:val="22"/>
          <w:u w:val="single"/>
        </w:rPr>
        <w:t>big picture view of TLR information so that they may see the impact on their transactions in relationship to the impact on other transactions</w:t>
      </w:r>
      <w:r w:rsidRPr="008462E6">
        <w:rPr>
          <w:sz w:val="22"/>
        </w:rPr>
        <w:t>.</w:t>
      </w:r>
    </w:p>
    <w:p w:rsidR="0025225F" w:rsidRPr="008462E6" w:rsidRDefault="0025225F" w:rsidP="008462E6">
      <w:pPr>
        <w:pStyle w:val="ListParagraph"/>
        <w:numPr>
          <w:ilvl w:val="0"/>
          <w:numId w:val="6"/>
        </w:numPr>
        <w:spacing w:after="120"/>
        <w:contextualSpacing w:val="0"/>
        <w:rPr>
          <w:sz w:val="22"/>
        </w:rPr>
      </w:pPr>
      <w:r w:rsidRPr="008462E6">
        <w:rPr>
          <w:sz w:val="22"/>
        </w:rPr>
        <w:t xml:space="preserve">Numerous entities commented that </w:t>
      </w:r>
      <w:r w:rsidR="00A70CD9" w:rsidRPr="008462E6">
        <w:rPr>
          <w:sz w:val="22"/>
        </w:rPr>
        <w:t xml:space="preserve">transaction specific </w:t>
      </w:r>
      <w:r w:rsidRPr="008462E6">
        <w:rPr>
          <w:sz w:val="22"/>
        </w:rPr>
        <w:t>curtailment information is available on OASIS and</w:t>
      </w:r>
      <w:r w:rsidR="00A70CD9" w:rsidRPr="008462E6">
        <w:rPr>
          <w:sz w:val="22"/>
        </w:rPr>
        <w:t xml:space="preserve"> they</w:t>
      </w:r>
      <w:r w:rsidRPr="008462E6">
        <w:rPr>
          <w:sz w:val="22"/>
        </w:rPr>
        <w:t xml:space="preserve"> asked that if additional information</w:t>
      </w:r>
      <w:r w:rsidR="00A70CD9" w:rsidRPr="008462E6">
        <w:rPr>
          <w:sz w:val="22"/>
        </w:rPr>
        <w:t xml:space="preserve"> is to be required</w:t>
      </w:r>
      <w:r w:rsidRPr="008462E6">
        <w:rPr>
          <w:sz w:val="22"/>
        </w:rPr>
        <w:t xml:space="preserve"> that </w:t>
      </w:r>
      <w:r w:rsidRPr="00726E72">
        <w:rPr>
          <w:sz w:val="22"/>
          <w:u w:val="single"/>
        </w:rPr>
        <w:t>NAESB be asked to develop the appropriate standards</w:t>
      </w:r>
      <w:r w:rsidRPr="008462E6">
        <w:rPr>
          <w:sz w:val="22"/>
        </w:rPr>
        <w:t>.</w:t>
      </w:r>
    </w:p>
    <w:p w:rsidR="0025225F" w:rsidRPr="00726E72" w:rsidRDefault="0025225F" w:rsidP="008462E6">
      <w:pPr>
        <w:pStyle w:val="ListParagraph"/>
        <w:numPr>
          <w:ilvl w:val="0"/>
          <w:numId w:val="6"/>
        </w:numPr>
        <w:spacing w:after="120"/>
        <w:contextualSpacing w:val="0"/>
        <w:rPr>
          <w:sz w:val="22"/>
          <w:u w:val="single"/>
        </w:rPr>
      </w:pPr>
      <w:r w:rsidRPr="008462E6">
        <w:rPr>
          <w:sz w:val="22"/>
        </w:rPr>
        <w:t>FERC</w:t>
      </w:r>
      <w:r w:rsidR="007D641A" w:rsidRPr="008462E6">
        <w:rPr>
          <w:sz w:val="22"/>
        </w:rPr>
        <w:t xml:space="preserve"> in paragraph 1627 establishes a requirement for additional information to be posted on OASIS after NAESB develops appropriate standards.  </w:t>
      </w:r>
      <w:r w:rsidR="007D641A" w:rsidRPr="00726E72">
        <w:rPr>
          <w:sz w:val="22"/>
          <w:u w:val="single"/>
        </w:rPr>
        <w:t xml:space="preserve">The </w:t>
      </w:r>
      <w:r w:rsidR="0024145F" w:rsidRPr="00726E72">
        <w:rPr>
          <w:sz w:val="22"/>
          <w:u w:val="single"/>
        </w:rPr>
        <w:t>requirements of this additional information are</w:t>
      </w:r>
      <w:r w:rsidR="007D641A" w:rsidRPr="00726E72">
        <w:rPr>
          <w:sz w:val="22"/>
          <w:u w:val="single"/>
        </w:rPr>
        <w:t xml:space="preserve"> </w:t>
      </w:r>
      <w:r w:rsidR="00C42A79" w:rsidRPr="00726E72">
        <w:rPr>
          <w:sz w:val="22"/>
          <w:u w:val="single"/>
        </w:rPr>
        <w:t xml:space="preserve">virtually the same as </w:t>
      </w:r>
      <w:r w:rsidR="00617329" w:rsidRPr="00726E72">
        <w:rPr>
          <w:sz w:val="22"/>
          <w:u w:val="single"/>
        </w:rPr>
        <w:t xml:space="preserve">that </w:t>
      </w:r>
      <w:r w:rsidR="00C42A79" w:rsidRPr="00726E72">
        <w:rPr>
          <w:sz w:val="22"/>
          <w:u w:val="single"/>
        </w:rPr>
        <w:t>requested by APPA.</w:t>
      </w:r>
    </w:p>
    <w:p w:rsidR="00C42A79" w:rsidRPr="008462E6" w:rsidRDefault="00C42A79" w:rsidP="008462E6">
      <w:pPr>
        <w:pStyle w:val="ListParagraph"/>
        <w:numPr>
          <w:ilvl w:val="0"/>
          <w:numId w:val="6"/>
        </w:numPr>
        <w:spacing w:after="120"/>
        <w:contextualSpacing w:val="0"/>
        <w:rPr>
          <w:sz w:val="22"/>
        </w:rPr>
      </w:pPr>
      <w:r w:rsidRPr="008462E6">
        <w:rPr>
          <w:sz w:val="22"/>
        </w:rPr>
        <w:t xml:space="preserve">FERC also points out in paragraph 1627 that the new information is in addition to the existing requirements for OASIS postings on a transaction specific basis.  In paragraph 1629, FERC recognizes that this information is to be posted in the “OASIS Schedule Details” template. </w:t>
      </w:r>
    </w:p>
    <w:p w:rsidR="00617329" w:rsidRPr="008462E6" w:rsidRDefault="00617329" w:rsidP="008462E6">
      <w:pPr>
        <w:pStyle w:val="ListParagraph"/>
        <w:numPr>
          <w:ilvl w:val="0"/>
          <w:numId w:val="6"/>
        </w:numPr>
        <w:spacing w:after="120"/>
        <w:contextualSpacing w:val="0"/>
        <w:rPr>
          <w:sz w:val="22"/>
        </w:rPr>
      </w:pPr>
      <w:r w:rsidRPr="008462E6">
        <w:rPr>
          <w:sz w:val="22"/>
        </w:rPr>
        <w:t>In paragraph 1628, FERC refuses to require transmission providers to make filings with the Commission for Level 5 TLRs and instead notes that the new OASIS posting requirement “will enable the Commission and customers to monitor TLR patterns and frequency.”</w:t>
      </w:r>
    </w:p>
    <w:p w:rsidR="00B93F0A" w:rsidRPr="008462E6" w:rsidRDefault="00B93F0A" w:rsidP="00B93F0A">
      <w:pPr>
        <w:pStyle w:val="Heading1"/>
        <w:rPr>
          <w:sz w:val="32"/>
        </w:rPr>
      </w:pPr>
      <w:bookmarkStart w:id="6" w:name="_Toc505608821"/>
      <w:r w:rsidRPr="008462E6">
        <w:rPr>
          <w:sz w:val="32"/>
        </w:rPr>
        <w:lastRenderedPageBreak/>
        <w:t>Recommendation</w:t>
      </w:r>
      <w:bookmarkEnd w:id="6"/>
    </w:p>
    <w:p w:rsidR="00617329" w:rsidRPr="008462E6" w:rsidRDefault="00617329" w:rsidP="009A2B9C">
      <w:pPr>
        <w:spacing w:line="240" w:lineRule="auto"/>
        <w:rPr>
          <w:sz w:val="24"/>
        </w:rPr>
      </w:pPr>
      <w:r w:rsidRPr="008462E6">
        <w:rPr>
          <w:sz w:val="24"/>
        </w:rPr>
        <w:t>To fully address the requirements outlined in the discussion and Commission Determination for Tran</w:t>
      </w:r>
      <w:r w:rsidR="00726E72">
        <w:rPr>
          <w:sz w:val="24"/>
        </w:rPr>
        <w:t>smission Curtailments</w:t>
      </w:r>
      <w:r w:rsidRPr="008462E6">
        <w:rPr>
          <w:sz w:val="24"/>
        </w:rPr>
        <w:t>:</w:t>
      </w:r>
    </w:p>
    <w:p w:rsidR="00617329" w:rsidRPr="008462E6" w:rsidRDefault="00617329" w:rsidP="008462E6">
      <w:pPr>
        <w:pStyle w:val="ListParagraph"/>
        <w:numPr>
          <w:ilvl w:val="0"/>
          <w:numId w:val="7"/>
        </w:numPr>
        <w:spacing w:after="120"/>
        <w:contextualSpacing w:val="0"/>
        <w:rPr>
          <w:sz w:val="22"/>
        </w:rPr>
      </w:pPr>
      <w:r w:rsidRPr="008462E6">
        <w:rPr>
          <w:sz w:val="22"/>
        </w:rPr>
        <w:t>Develop new OASIS business practices and template(s) to capture the curtailment information outlined in paragraph 1626.  The subcommittee should decide if different templates are needed for Eastern Interconnection and Western Interconnection.  Also, the subcommittees may wish to develop specific templates for curtailments due to local procedures.</w:t>
      </w:r>
    </w:p>
    <w:p w:rsidR="00617329" w:rsidRPr="008462E6" w:rsidRDefault="00617329" w:rsidP="008462E6">
      <w:pPr>
        <w:pStyle w:val="ListParagraph"/>
        <w:numPr>
          <w:ilvl w:val="0"/>
          <w:numId w:val="7"/>
        </w:numPr>
        <w:spacing w:after="120"/>
        <w:contextualSpacing w:val="0"/>
        <w:rPr>
          <w:sz w:val="22"/>
        </w:rPr>
      </w:pPr>
      <w:r w:rsidRPr="008462E6">
        <w:rPr>
          <w:sz w:val="22"/>
        </w:rPr>
        <w:t xml:space="preserve">Review and revise the </w:t>
      </w:r>
      <w:r w:rsidR="00672019" w:rsidRPr="008462E6">
        <w:rPr>
          <w:b/>
          <w:i/>
          <w:sz w:val="22"/>
        </w:rPr>
        <w:t>scheduledetail</w:t>
      </w:r>
      <w:r w:rsidR="00672019" w:rsidRPr="008462E6">
        <w:rPr>
          <w:sz w:val="22"/>
        </w:rPr>
        <w:t xml:space="preserve"> OASIS Template so that it is applicable to both EI and WI curtailments</w:t>
      </w:r>
      <w:r w:rsidR="00726E72">
        <w:rPr>
          <w:sz w:val="22"/>
        </w:rPr>
        <w:t>, or develop regional specific templates</w:t>
      </w:r>
      <w:r w:rsidR="00672019" w:rsidRPr="008462E6">
        <w:rPr>
          <w:sz w:val="22"/>
        </w:rPr>
        <w:t>.  Also develop stand</w:t>
      </w:r>
      <w:bookmarkStart w:id="7" w:name="_GoBack"/>
      <w:bookmarkEnd w:id="7"/>
      <w:r w:rsidR="00672019" w:rsidRPr="008462E6">
        <w:rPr>
          <w:sz w:val="22"/>
        </w:rPr>
        <w:t>ards that require use of the template.</w:t>
      </w:r>
    </w:p>
    <w:sectPr w:rsidR="00617329" w:rsidRPr="008462E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EF" w:rsidRDefault="003E5FEF" w:rsidP="00E90524">
      <w:pPr>
        <w:spacing w:after="0" w:line="240" w:lineRule="auto"/>
      </w:pPr>
      <w:r>
        <w:separator/>
      </w:r>
    </w:p>
  </w:endnote>
  <w:endnote w:type="continuationSeparator" w:id="0">
    <w:p w:rsidR="003E5FEF" w:rsidRDefault="003E5FEF" w:rsidP="00E9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714182"/>
      <w:docPartObj>
        <w:docPartGallery w:val="Page Numbers (Bottom of Page)"/>
        <w:docPartUnique/>
      </w:docPartObj>
    </w:sdtPr>
    <w:sdtEndPr>
      <w:rPr>
        <w:noProof/>
      </w:rPr>
    </w:sdtEndPr>
    <w:sdtContent>
      <w:p w:rsidR="00B93F0A" w:rsidRDefault="00B93F0A">
        <w:pPr>
          <w:pStyle w:val="Footer"/>
          <w:rPr>
            <w:noProof/>
          </w:rPr>
        </w:pPr>
        <w:r>
          <w:t xml:space="preserve">Page | </w:t>
        </w:r>
        <w:r>
          <w:fldChar w:fldCharType="begin"/>
        </w:r>
        <w:r>
          <w:instrText xml:space="preserve"> PAGE   \* MERGEFORMAT </w:instrText>
        </w:r>
        <w:r>
          <w:fldChar w:fldCharType="separate"/>
        </w:r>
        <w:r w:rsidR="009A2B9C">
          <w:rPr>
            <w:noProof/>
          </w:rPr>
          <w:t>3</w:t>
        </w:r>
        <w:r>
          <w:rPr>
            <w:noProof/>
          </w:rPr>
          <w:fldChar w:fldCharType="end"/>
        </w:r>
      </w:p>
      <w:p w:rsidR="00B93F0A" w:rsidRDefault="00B93F0A">
        <w:pPr>
          <w:pStyle w:val="Footer"/>
        </w:pPr>
        <w:r>
          <w:rPr>
            <w:noProof/>
          </w:rPr>
          <w:t>Provided by Duke Energy -- February 2018</w:t>
        </w:r>
      </w:p>
    </w:sdtContent>
  </w:sdt>
  <w:p w:rsidR="00B93F0A" w:rsidRDefault="00B93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EF" w:rsidRDefault="003E5FEF" w:rsidP="00E90524">
      <w:pPr>
        <w:spacing w:after="0" w:line="240" w:lineRule="auto"/>
      </w:pPr>
      <w:r>
        <w:separator/>
      </w:r>
    </w:p>
  </w:footnote>
  <w:footnote w:type="continuationSeparator" w:id="0">
    <w:p w:rsidR="003E5FEF" w:rsidRDefault="003E5FEF" w:rsidP="00E90524">
      <w:pPr>
        <w:spacing w:after="0" w:line="240" w:lineRule="auto"/>
      </w:pPr>
      <w:r>
        <w:continuationSeparator/>
      </w:r>
    </w:p>
  </w:footnote>
  <w:footnote w:id="1">
    <w:p w:rsidR="00E90524" w:rsidRDefault="00E90524" w:rsidP="00E90524">
      <w:pPr>
        <w:pStyle w:val="FootnoteText"/>
        <w:spacing w:before="60"/>
        <w:jc w:val="left"/>
      </w:pPr>
      <w:r>
        <w:rPr>
          <w:rStyle w:val="FootnoteReference"/>
          <w:sz w:val="16"/>
          <w:szCs w:val="16"/>
        </w:rPr>
        <w:footnoteRef/>
      </w:r>
      <w:r>
        <w:rPr>
          <w:rFonts w:ascii="Times New Roman" w:hAnsi="Times New Roman"/>
          <w:sz w:val="16"/>
          <w:szCs w:val="16"/>
        </w:rPr>
        <w:t xml:space="preserve"> FERC Order No. 890, issued February 16, 2007, can be accessed from the following link: </w:t>
      </w:r>
      <w:hyperlink r:id="rId1" w:history="1">
        <w:r>
          <w:rPr>
            <w:rStyle w:val="Hyperlink"/>
            <w:sz w:val="16"/>
            <w:szCs w:val="16"/>
          </w:rPr>
          <w:t>http://www.naesb.org/doc_view4.asp?doc=ferc021607.doc</w:t>
        </w:r>
      </w:hyperlink>
      <w:r>
        <w:rPr>
          <w:rFonts w:ascii="Times New Roman" w:hAnsi="Times New Roman"/>
          <w:sz w:val="16"/>
          <w:szCs w:val="16"/>
        </w:rPr>
        <w:t>.</w:t>
      </w:r>
    </w:p>
  </w:footnote>
  <w:footnote w:id="2">
    <w:p w:rsidR="00E90524" w:rsidRDefault="00E90524" w:rsidP="00E90524">
      <w:pPr>
        <w:pStyle w:val="FootnoteText"/>
        <w:spacing w:before="60"/>
        <w:jc w:val="left"/>
        <w:rPr>
          <w:rFonts w:ascii="Times New Roman" w:hAnsi="Times New Roman"/>
          <w:sz w:val="16"/>
          <w:szCs w:val="16"/>
        </w:rPr>
      </w:pPr>
      <w:r>
        <w:rPr>
          <w:rStyle w:val="FootnoteReference"/>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p w:rsidR="00E90524" w:rsidRDefault="00E90524" w:rsidP="00E90524">
      <w:pPr>
        <w:pStyle w:val="FootnoteText"/>
        <w:spacing w:before="60"/>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B93F0A" w:rsidRDefault="00B93F0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NAESB </w:t>
        </w:r>
        <w:r w:rsidR="008462E6">
          <w:rPr>
            <w:rFonts w:asciiTheme="majorHAnsi" w:eastAsiaTheme="majorEastAsia" w:hAnsiTheme="majorHAnsi" w:cstheme="majorBidi"/>
            <w:sz w:val="32"/>
            <w:szCs w:val="32"/>
          </w:rPr>
          <w:t xml:space="preserve">2018 </w:t>
        </w:r>
        <w:r>
          <w:rPr>
            <w:rFonts w:asciiTheme="majorHAnsi" w:eastAsiaTheme="majorEastAsia" w:hAnsiTheme="majorHAnsi" w:cstheme="majorBidi"/>
            <w:sz w:val="32"/>
            <w:szCs w:val="32"/>
          </w:rPr>
          <w:t>WEQ</w:t>
        </w:r>
        <w:r w:rsidR="008462E6">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API 2ai1 – FERC Order Review</w:t>
        </w:r>
      </w:p>
    </w:sdtContent>
  </w:sdt>
  <w:p w:rsidR="00B93F0A" w:rsidRDefault="00B93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
    <w:nsid w:val="341A1918"/>
    <w:multiLevelType w:val="hybridMultilevel"/>
    <w:tmpl w:val="EA9E3882"/>
    <w:lvl w:ilvl="0" w:tplc="CAD83840">
      <w:start w:val="1"/>
      <w:numFmt w:val="decimal"/>
      <w:lvlText w:val="%1)"/>
      <w:lvlJc w:val="left"/>
      <w:pPr>
        <w:tabs>
          <w:tab w:val="num" w:pos="864"/>
        </w:tabs>
        <w:ind w:left="864"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6A615811"/>
    <w:multiLevelType w:val="hybridMultilevel"/>
    <w:tmpl w:val="AFB42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204BE3"/>
    <w:multiLevelType w:val="hybridMultilevel"/>
    <w:tmpl w:val="2C58A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C06E4"/>
    <w:multiLevelType w:val="hybridMultilevel"/>
    <w:tmpl w:val="2B721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24"/>
    <w:rsid w:val="0010346C"/>
    <w:rsid w:val="0021064E"/>
    <w:rsid w:val="0024145F"/>
    <w:rsid w:val="0025225F"/>
    <w:rsid w:val="003E5FEF"/>
    <w:rsid w:val="004906C3"/>
    <w:rsid w:val="00617329"/>
    <w:rsid w:val="00666E68"/>
    <w:rsid w:val="00672019"/>
    <w:rsid w:val="00726E72"/>
    <w:rsid w:val="0079290A"/>
    <w:rsid w:val="007D641A"/>
    <w:rsid w:val="007F25B9"/>
    <w:rsid w:val="008462E6"/>
    <w:rsid w:val="008559C3"/>
    <w:rsid w:val="009A2B9C"/>
    <w:rsid w:val="00A70CD9"/>
    <w:rsid w:val="00B93F0A"/>
    <w:rsid w:val="00C42A79"/>
    <w:rsid w:val="00D00842"/>
    <w:rsid w:val="00E90524"/>
    <w:rsid w:val="00F06E08"/>
    <w:rsid w:val="00F2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524"/>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E90524"/>
    <w:pPr>
      <w:widowControl w:val="0"/>
      <w:spacing w:before="100"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E90524"/>
    <w:rPr>
      <w:rFonts w:ascii="Arial" w:eastAsia="Times New Roman" w:hAnsi="Arial" w:cs="Times New Roman"/>
      <w:sz w:val="20"/>
      <w:szCs w:val="20"/>
    </w:rPr>
  </w:style>
  <w:style w:type="paragraph" w:styleId="ListParagraph">
    <w:name w:val="List Paragraph"/>
    <w:basedOn w:val="Normal"/>
    <w:uiPriority w:val="34"/>
    <w:qFormat/>
    <w:rsid w:val="00E90524"/>
    <w:pPr>
      <w:spacing w:after="0" w:line="240" w:lineRule="auto"/>
      <w:ind w:left="720"/>
      <w:contextualSpacing/>
    </w:pPr>
    <w:rPr>
      <w:rFonts w:ascii="Bookman Old Style" w:eastAsia="Times New Roman" w:hAnsi="Bookman Old Style" w:cs="Times New Roman"/>
      <w:sz w:val="20"/>
      <w:szCs w:val="20"/>
    </w:rPr>
  </w:style>
  <w:style w:type="paragraph" w:customStyle="1" w:styleId="TableText">
    <w:name w:val="Table Text"/>
    <w:uiPriority w:val="99"/>
    <w:rsid w:val="00E90524"/>
    <w:pPr>
      <w:spacing w:after="0" w:line="240" w:lineRule="auto"/>
    </w:pPr>
    <w:rPr>
      <w:rFonts w:ascii="Arial Narrow" w:eastAsia="Times New Roman" w:hAnsi="Arial Narrow" w:cs="Times New Roman"/>
      <w:color w:val="000000"/>
      <w:sz w:val="24"/>
      <w:szCs w:val="20"/>
    </w:rPr>
  </w:style>
  <w:style w:type="character" w:styleId="FootnoteReference">
    <w:name w:val="footnote reference"/>
    <w:basedOn w:val="DefaultParagraphFont"/>
    <w:uiPriority w:val="99"/>
    <w:semiHidden/>
    <w:unhideWhenUsed/>
    <w:rsid w:val="00E90524"/>
    <w:rPr>
      <w:rFonts w:ascii="Times New Roman" w:hAnsi="Times New Roman" w:cs="Times New Roman" w:hint="default"/>
      <w:vertAlign w:val="superscript"/>
    </w:rPr>
  </w:style>
  <w:style w:type="paragraph" w:styleId="Title">
    <w:name w:val="Title"/>
    <w:basedOn w:val="Normal"/>
    <w:next w:val="Normal"/>
    <w:link w:val="TitleChar"/>
    <w:uiPriority w:val="10"/>
    <w:qFormat/>
    <w:rsid w:val="00855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9C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93F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93F0A"/>
    <w:pPr>
      <w:outlineLvl w:val="9"/>
    </w:pPr>
    <w:rPr>
      <w:lang w:eastAsia="ja-JP"/>
    </w:rPr>
  </w:style>
  <w:style w:type="paragraph" w:styleId="TOC1">
    <w:name w:val="toc 1"/>
    <w:basedOn w:val="Normal"/>
    <w:next w:val="Normal"/>
    <w:autoRedefine/>
    <w:uiPriority w:val="39"/>
    <w:unhideWhenUsed/>
    <w:rsid w:val="00B93F0A"/>
    <w:pPr>
      <w:spacing w:after="100"/>
    </w:pPr>
  </w:style>
  <w:style w:type="paragraph" w:styleId="Header">
    <w:name w:val="header"/>
    <w:basedOn w:val="Normal"/>
    <w:link w:val="HeaderChar"/>
    <w:uiPriority w:val="99"/>
    <w:unhideWhenUsed/>
    <w:rsid w:val="00B93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0A"/>
  </w:style>
  <w:style w:type="paragraph" w:styleId="Footer">
    <w:name w:val="footer"/>
    <w:basedOn w:val="Normal"/>
    <w:link w:val="FooterChar"/>
    <w:uiPriority w:val="99"/>
    <w:unhideWhenUsed/>
    <w:rsid w:val="00B93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524"/>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E90524"/>
    <w:pPr>
      <w:widowControl w:val="0"/>
      <w:spacing w:before="100"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E90524"/>
    <w:rPr>
      <w:rFonts w:ascii="Arial" w:eastAsia="Times New Roman" w:hAnsi="Arial" w:cs="Times New Roman"/>
      <w:sz w:val="20"/>
      <w:szCs w:val="20"/>
    </w:rPr>
  </w:style>
  <w:style w:type="paragraph" w:styleId="ListParagraph">
    <w:name w:val="List Paragraph"/>
    <w:basedOn w:val="Normal"/>
    <w:uiPriority w:val="34"/>
    <w:qFormat/>
    <w:rsid w:val="00E90524"/>
    <w:pPr>
      <w:spacing w:after="0" w:line="240" w:lineRule="auto"/>
      <w:ind w:left="720"/>
      <w:contextualSpacing/>
    </w:pPr>
    <w:rPr>
      <w:rFonts w:ascii="Bookman Old Style" w:eastAsia="Times New Roman" w:hAnsi="Bookman Old Style" w:cs="Times New Roman"/>
      <w:sz w:val="20"/>
      <w:szCs w:val="20"/>
    </w:rPr>
  </w:style>
  <w:style w:type="paragraph" w:customStyle="1" w:styleId="TableText">
    <w:name w:val="Table Text"/>
    <w:uiPriority w:val="99"/>
    <w:rsid w:val="00E90524"/>
    <w:pPr>
      <w:spacing w:after="0" w:line="240" w:lineRule="auto"/>
    </w:pPr>
    <w:rPr>
      <w:rFonts w:ascii="Arial Narrow" w:eastAsia="Times New Roman" w:hAnsi="Arial Narrow" w:cs="Times New Roman"/>
      <w:color w:val="000000"/>
      <w:sz w:val="24"/>
      <w:szCs w:val="20"/>
    </w:rPr>
  </w:style>
  <w:style w:type="character" w:styleId="FootnoteReference">
    <w:name w:val="footnote reference"/>
    <w:basedOn w:val="DefaultParagraphFont"/>
    <w:uiPriority w:val="99"/>
    <w:semiHidden/>
    <w:unhideWhenUsed/>
    <w:rsid w:val="00E90524"/>
    <w:rPr>
      <w:rFonts w:ascii="Times New Roman" w:hAnsi="Times New Roman" w:cs="Times New Roman" w:hint="default"/>
      <w:vertAlign w:val="superscript"/>
    </w:rPr>
  </w:style>
  <w:style w:type="paragraph" w:styleId="Title">
    <w:name w:val="Title"/>
    <w:basedOn w:val="Normal"/>
    <w:next w:val="Normal"/>
    <w:link w:val="TitleChar"/>
    <w:uiPriority w:val="10"/>
    <w:qFormat/>
    <w:rsid w:val="00855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9C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93F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93F0A"/>
    <w:pPr>
      <w:outlineLvl w:val="9"/>
    </w:pPr>
    <w:rPr>
      <w:lang w:eastAsia="ja-JP"/>
    </w:rPr>
  </w:style>
  <w:style w:type="paragraph" w:styleId="TOC1">
    <w:name w:val="toc 1"/>
    <w:basedOn w:val="Normal"/>
    <w:next w:val="Normal"/>
    <w:autoRedefine/>
    <w:uiPriority w:val="39"/>
    <w:unhideWhenUsed/>
    <w:rsid w:val="00B93F0A"/>
    <w:pPr>
      <w:spacing w:after="100"/>
    </w:pPr>
  </w:style>
  <w:style w:type="paragraph" w:styleId="Header">
    <w:name w:val="header"/>
    <w:basedOn w:val="Normal"/>
    <w:link w:val="HeaderChar"/>
    <w:uiPriority w:val="99"/>
    <w:unhideWhenUsed/>
    <w:rsid w:val="00B93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0A"/>
  </w:style>
  <w:style w:type="paragraph" w:styleId="Footer">
    <w:name w:val="footer"/>
    <w:basedOn w:val="Normal"/>
    <w:link w:val="FooterChar"/>
    <w:uiPriority w:val="99"/>
    <w:unhideWhenUsed/>
    <w:rsid w:val="00B93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2359">
      <w:bodyDiv w:val="1"/>
      <w:marLeft w:val="0"/>
      <w:marRight w:val="0"/>
      <w:marTop w:val="0"/>
      <w:marBottom w:val="0"/>
      <w:divBdr>
        <w:top w:val="none" w:sz="0" w:space="0" w:color="auto"/>
        <w:left w:val="none" w:sz="0" w:space="0" w:color="auto"/>
        <w:bottom w:val="none" w:sz="0" w:space="0" w:color="auto"/>
        <w:right w:val="none" w:sz="0" w:space="0" w:color="auto"/>
      </w:divBdr>
    </w:div>
    <w:div w:id="926578934">
      <w:bodyDiv w:val="1"/>
      <w:marLeft w:val="0"/>
      <w:marRight w:val="0"/>
      <w:marTop w:val="0"/>
      <w:marBottom w:val="0"/>
      <w:divBdr>
        <w:top w:val="none" w:sz="0" w:space="0" w:color="auto"/>
        <w:left w:val="none" w:sz="0" w:space="0" w:color="auto"/>
        <w:bottom w:val="none" w:sz="0" w:space="0" w:color="auto"/>
        <w:right w:val="none" w:sz="0" w:space="0" w:color="auto"/>
      </w:divBdr>
    </w:div>
    <w:div w:id="12336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3/ferc062308_order890b.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esb.org/doc_view2.asp?doc=ferc122807.pdf" TargetMode="External"/><Relationship Id="rId4" Type="http://schemas.microsoft.com/office/2007/relationships/stylesWithEffects" Target="stylesWithEffects.xml"/><Relationship Id="rId9" Type="http://schemas.openxmlformats.org/officeDocument/2006/relationships/hyperlink" Target="http://www.naesb.org/doc_view4.asp?doc=ferc041107.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aesb.org/doc_view4.asp?doc=ferc0216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B584-8CB1-4CD8-9640-DD382EF7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NAESB 2018 WEQ API 2ai1 – FERC Order Review</vt:lpstr>
    </vt:vector>
  </TitlesOfParts>
  <Company>Duke Energy</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NAESB 2018 WEQ API 2ai1 – FERC Order Review</dc:title>
  <dc:creator>Pritchard, Alan C</dc:creator>
  <cp:lastModifiedBy>Pritchard, Alan C</cp:lastModifiedBy>
  <cp:revision>6</cp:revision>
  <dcterms:created xsi:type="dcterms:W3CDTF">2018-02-05T20:52:00Z</dcterms:created>
  <dcterms:modified xsi:type="dcterms:W3CDTF">2018-02-05T21:46:00Z</dcterms:modified>
</cp:coreProperties>
</file>