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340B" w14:textId="33BB2524" w:rsidR="00D54B43" w:rsidRPr="00B56588" w:rsidRDefault="00E218B5" w:rsidP="00791A88">
      <w:pPr>
        <w:jc w:val="center"/>
        <w:rPr>
          <w:b/>
          <w:sz w:val="36"/>
          <w:szCs w:val="22"/>
          <w:u w:val="single"/>
        </w:rPr>
      </w:pPr>
      <w:bookmarkStart w:id="0" w:name="_GoBack"/>
      <w:bookmarkEnd w:id="0"/>
      <w:r w:rsidRPr="00B56588">
        <w:rPr>
          <w:b/>
          <w:sz w:val="36"/>
          <w:szCs w:val="22"/>
          <w:u w:val="single"/>
        </w:rPr>
        <w:t xml:space="preserve">Guide for </w:t>
      </w:r>
      <w:r w:rsidR="00B56588" w:rsidRPr="00B56588">
        <w:rPr>
          <w:b/>
          <w:sz w:val="36"/>
          <w:szCs w:val="22"/>
          <w:u w:val="single"/>
        </w:rPr>
        <w:t xml:space="preserve">Implementing </w:t>
      </w:r>
      <w:r w:rsidRPr="00B56588">
        <w:rPr>
          <w:b/>
          <w:sz w:val="36"/>
          <w:szCs w:val="22"/>
          <w:u w:val="single"/>
        </w:rPr>
        <w:t>EIR 13001:</w:t>
      </w:r>
    </w:p>
    <w:p w14:paraId="7F5343A2" w14:textId="6EE8E605" w:rsidR="00B56588" w:rsidRPr="00B56588" w:rsidRDefault="00B56588" w:rsidP="00B56588">
      <w:pPr>
        <w:pStyle w:val="ListParagraph"/>
        <w:numPr>
          <w:ilvl w:val="0"/>
          <w:numId w:val="14"/>
        </w:numPr>
        <w:spacing w:after="120" w:line="240" w:lineRule="auto"/>
        <w:rPr>
          <w:b/>
          <w:u w:val="single"/>
        </w:rPr>
      </w:pPr>
      <w:r w:rsidRPr="00B56588">
        <w:rPr>
          <w:b/>
          <w:u w:val="single"/>
        </w:rPr>
        <w:t>Request Processing</w:t>
      </w:r>
    </w:p>
    <w:p w14:paraId="1931547A" w14:textId="77777777" w:rsidR="0065659C" w:rsidRPr="002543B1" w:rsidRDefault="0065659C" w:rsidP="001E1FAE">
      <w:pPr>
        <w:spacing w:after="120" w:line="240" w:lineRule="auto"/>
        <w:rPr>
          <w:sz w:val="22"/>
          <w:szCs w:val="22"/>
          <w:u w:val="single"/>
        </w:rPr>
      </w:pPr>
      <w:r w:rsidRPr="002543B1">
        <w:rPr>
          <w:sz w:val="22"/>
          <w:szCs w:val="22"/>
          <w:u w:val="single"/>
        </w:rPr>
        <w:t xml:space="preserve">Initiating a </w:t>
      </w:r>
      <w:r w:rsidR="00300CB6" w:rsidRPr="002543B1">
        <w:rPr>
          <w:sz w:val="22"/>
          <w:szCs w:val="22"/>
          <w:u w:val="single"/>
        </w:rPr>
        <w:t xml:space="preserve">Registration </w:t>
      </w:r>
      <w:r w:rsidRPr="002543B1">
        <w:rPr>
          <w:sz w:val="22"/>
          <w:szCs w:val="22"/>
          <w:u w:val="single"/>
        </w:rPr>
        <w:t>Request:</w:t>
      </w:r>
    </w:p>
    <w:p w14:paraId="7098224F" w14:textId="52B35EAC" w:rsidR="0065659C" w:rsidRPr="002543B1" w:rsidRDefault="00EC20DA" w:rsidP="006A10F9">
      <w:pPr>
        <w:spacing w:after="120" w:line="240" w:lineRule="auto"/>
        <w:ind w:left="360"/>
        <w:rPr>
          <w:sz w:val="22"/>
          <w:szCs w:val="22"/>
        </w:rPr>
      </w:pPr>
      <w:r w:rsidRPr="002543B1">
        <w:rPr>
          <w:sz w:val="22"/>
          <w:szCs w:val="22"/>
        </w:rPr>
        <w:t>A</w:t>
      </w:r>
      <w:r w:rsidR="001E1FAE" w:rsidRPr="002543B1">
        <w:rPr>
          <w:sz w:val="22"/>
          <w:szCs w:val="22"/>
        </w:rPr>
        <w:t xml:space="preserve"> BA </w:t>
      </w:r>
      <w:r w:rsidR="006A10F9" w:rsidRPr="002543B1">
        <w:rPr>
          <w:sz w:val="22"/>
          <w:szCs w:val="22"/>
        </w:rPr>
        <w:t xml:space="preserve">or PSE </w:t>
      </w:r>
      <w:r w:rsidRPr="002543B1">
        <w:rPr>
          <w:sz w:val="22"/>
          <w:szCs w:val="22"/>
        </w:rPr>
        <w:t xml:space="preserve">may </w:t>
      </w:r>
      <w:r w:rsidR="0065659C" w:rsidRPr="002543B1">
        <w:rPr>
          <w:sz w:val="22"/>
          <w:szCs w:val="22"/>
        </w:rPr>
        <w:t xml:space="preserve">initiate the entry of a </w:t>
      </w:r>
      <w:r w:rsidR="001E1FAE" w:rsidRPr="002543B1">
        <w:rPr>
          <w:sz w:val="22"/>
          <w:szCs w:val="22"/>
        </w:rPr>
        <w:t>pseudo-tie</w:t>
      </w:r>
      <w:r w:rsidR="00060B21" w:rsidRPr="002543B1">
        <w:rPr>
          <w:sz w:val="22"/>
          <w:szCs w:val="22"/>
        </w:rPr>
        <w:t xml:space="preserve">. The PSE need not be listed in the pseudo-tie </w:t>
      </w:r>
      <w:proofErr w:type="gramStart"/>
      <w:r w:rsidR="00060B21" w:rsidRPr="002543B1">
        <w:rPr>
          <w:sz w:val="22"/>
          <w:szCs w:val="22"/>
        </w:rPr>
        <w:t>object,</w:t>
      </w:r>
      <w:proofErr w:type="gramEnd"/>
      <w:r w:rsidR="00060B21" w:rsidRPr="002543B1">
        <w:rPr>
          <w:sz w:val="22"/>
          <w:szCs w:val="22"/>
        </w:rPr>
        <w:t xml:space="preserve"> this accommodates arrangements where a PSE may utilize the service of a third party</w:t>
      </w:r>
      <w:r w:rsidR="006A10F9" w:rsidRPr="002543B1">
        <w:rPr>
          <w:sz w:val="22"/>
          <w:szCs w:val="22"/>
        </w:rPr>
        <w:t>.</w:t>
      </w:r>
      <w:r w:rsidR="00060B21" w:rsidRPr="002543B1">
        <w:rPr>
          <w:sz w:val="22"/>
          <w:szCs w:val="22"/>
        </w:rPr>
        <w:t xml:space="preserve"> </w:t>
      </w:r>
      <w:r w:rsidR="00BA207D" w:rsidRPr="002543B1">
        <w:rPr>
          <w:sz w:val="22"/>
          <w:szCs w:val="22"/>
        </w:rPr>
        <w:t xml:space="preserve">User will be presented with a form containing the </w:t>
      </w:r>
      <w:r w:rsidR="008602EC" w:rsidRPr="002543B1">
        <w:rPr>
          <w:sz w:val="22"/>
          <w:szCs w:val="22"/>
        </w:rPr>
        <w:t xml:space="preserve">required </w:t>
      </w:r>
      <w:r w:rsidR="00BA207D" w:rsidRPr="002543B1">
        <w:rPr>
          <w:sz w:val="22"/>
          <w:szCs w:val="22"/>
        </w:rPr>
        <w:t xml:space="preserve">information described in the Registration Data section.  </w:t>
      </w:r>
    </w:p>
    <w:p w14:paraId="17692537" w14:textId="4643BFE1" w:rsidR="00BA207D" w:rsidRPr="002543B1" w:rsidRDefault="000E5702" w:rsidP="001E1FAE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 xml:space="preserve">EIR Processing of </w:t>
      </w:r>
      <w:r w:rsidR="00BA207D" w:rsidRPr="002543B1">
        <w:rPr>
          <w:sz w:val="22"/>
          <w:szCs w:val="22"/>
        </w:rPr>
        <w:t xml:space="preserve">a </w:t>
      </w:r>
      <w:r w:rsidR="00737EC5" w:rsidRPr="002543B1">
        <w:rPr>
          <w:sz w:val="22"/>
          <w:szCs w:val="22"/>
        </w:rPr>
        <w:t>New Registration</w:t>
      </w:r>
      <w:r w:rsidR="00BA207D" w:rsidRPr="002543B1">
        <w:rPr>
          <w:sz w:val="22"/>
          <w:szCs w:val="22"/>
        </w:rPr>
        <w:t>:</w:t>
      </w:r>
    </w:p>
    <w:p w14:paraId="37C573D7" w14:textId="673701C8" w:rsidR="00BA207D" w:rsidRPr="002543B1" w:rsidRDefault="001E1FAE" w:rsidP="00BA207D">
      <w:pPr>
        <w:spacing w:after="120" w:line="240" w:lineRule="auto"/>
        <w:ind w:left="360"/>
        <w:rPr>
          <w:sz w:val="22"/>
          <w:szCs w:val="22"/>
        </w:rPr>
      </w:pPr>
      <w:r w:rsidRPr="002543B1">
        <w:rPr>
          <w:sz w:val="22"/>
          <w:szCs w:val="22"/>
        </w:rPr>
        <w:t>Upon submission</w:t>
      </w:r>
      <w:r w:rsidR="0065659C" w:rsidRPr="002543B1">
        <w:rPr>
          <w:sz w:val="22"/>
          <w:szCs w:val="22"/>
        </w:rPr>
        <w:t xml:space="preserve"> of </w:t>
      </w:r>
      <w:r w:rsidR="00737EC5" w:rsidRPr="002543B1">
        <w:rPr>
          <w:sz w:val="22"/>
          <w:szCs w:val="22"/>
        </w:rPr>
        <w:t xml:space="preserve">the </w:t>
      </w:r>
      <w:r w:rsidR="0065659C" w:rsidRPr="002543B1">
        <w:rPr>
          <w:sz w:val="22"/>
          <w:szCs w:val="22"/>
        </w:rPr>
        <w:t>required information</w:t>
      </w:r>
      <w:r w:rsidR="008602EC" w:rsidRPr="002543B1">
        <w:rPr>
          <w:sz w:val="22"/>
          <w:szCs w:val="22"/>
        </w:rPr>
        <w:t>,</w:t>
      </w:r>
      <w:r w:rsidR="00CA3374" w:rsidRPr="002543B1">
        <w:rPr>
          <w:sz w:val="22"/>
          <w:szCs w:val="22"/>
        </w:rPr>
        <w:t xml:space="preserve"> </w:t>
      </w:r>
      <w:r w:rsidRPr="002543B1">
        <w:rPr>
          <w:sz w:val="22"/>
          <w:szCs w:val="22"/>
        </w:rPr>
        <w:t xml:space="preserve">the EIR </w:t>
      </w:r>
      <w:r w:rsidR="008602EC" w:rsidRPr="002543B1">
        <w:rPr>
          <w:sz w:val="22"/>
          <w:szCs w:val="22"/>
        </w:rPr>
        <w:t>shall</w:t>
      </w:r>
      <w:r w:rsidR="00BA207D" w:rsidRPr="002543B1">
        <w:rPr>
          <w:sz w:val="22"/>
          <w:szCs w:val="22"/>
        </w:rPr>
        <w:t>:</w:t>
      </w:r>
    </w:p>
    <w:p w14:paraId="2CF9D62C" w14:textId="77777777" w:rsidR="00BA207D" w:rsidRPr="002543B1" w:rsidRDefault="00737EC5" w:rsidP="002543B1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A</w:t>
      </w:r>
      <w:r w:rsidR="001E1FAE" w:rsidRPr="002543B1">
        <w:rPr>
          <w:rFonts w:ascii="Times New Roman" w:hAnsi="Times New Roman" w:cs="Times New Roman"/>
        </w:rPr>
        <w:t xml:space="preserve">ssign an unique identifier to the pseudo-tie object </w:t>
      </w:r>
    </w:p>
    <w:p w14:paraId="079A3260" w14:textId="444C43BA" w:rsidR="00BA207D" w:rsidRPr="002543B1" w:rsidRDefault="00737EC5" w:rsidP="002543B1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S</w:t>
      </w:r>
      <w:r w:rsidR="00BA207D" w:rsidRPr="002543B1">
        <w:rPr>
          <w:rFonts w:ascii="Times New Roman" w:hAnsi="Times New Roman" w:cs="Times New Roman"/>
        </w:rPr>
        <w:t>et the status of the pseudo</w:t>
      </w:r>
      <w:r w:rsidR="008602EC" w:rsidRPr="002543B1">
        <w:rPr>
          <w:rFonts w:ascii="Times New Roman" w:hAnsi="Times New Roman" w:cs="Times New Roman"/>
        </w:rPr>
        <w:t>-</w:t>
      </w:r>
      <w:r w:rsidR="00BA207D" w:rsidRPr="002543B1">
        <w:rPr>
          <w:rFonts w:ascii="Times New Roman" w:hAnsi="Times New Roman" w:cs="Times New Roman"/>
        </w:rPr>
        <w:t>tie</w:t>
      </w:r>
      <w:r w:rsidR="00B83527" w:rsidRPr="002543B1">
        <w:rPr>
          <w:rFonts w:ascii="Times New Roman" w:hAnsi="Times New Roman" w:cs="Times New Roman"/>
        </w:rPr>
        <w:t xml:space="preserve"> object</w:t>
      </w:r>
      <w:r w:rsidR="00BA207D" w:rsidRPr="002543B1">
        <w:rPr>
          <w:rFonts w:ascii="Times New Roman" w:hAnsi="Times New Roman" w:cs="Times New Roman"/>
        </w:rPr>
        <w:t xml:space="preserve"> to </w:t>
      </w:r>
      <w:r w:rsidR="00EC20DA" w:rsidRPr="002543B1">
        <w:rPr>
          <w:rFonts w:ascii="Times New Roman" w:hAnsi="Times New Roman" w:cs="Times New Roman"/>
        </w:rPr>
        <w:t>Pending</w:t>
      </w:r>
    </w:p>
    <w:p w14:paraId="418B3EED" w14:textId="2D8CB64A" w:rsidR="00BA207D" w:rsidRPr="002543B1" w:rsidRDefault="00737EC5" w:rsidP="002543B1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S</w:t>
      </w:r>
      <w:r w:rsidR="001E1FAE" w:rsidRPr="002543B1">
        <w:rPr>
          <w:rFonts w:ascii="Times New Roman" w:hAnsi="Times New Roman" w:cs="Times New Roman"/>
        </w:rPr>
        <w:t xml:space="preserve">end notifications to all approving entities </w:t>
      </w:r>
      <w:r w:rsidR="00EC20DA" w:rsidRPr="002543B1">
        <w:rPr>
          <w:rFonts w:ascii="Times New Roman" w:hAnsi="Times New Roman" w:cs="Times New Roman"/>
        </w:rPr>
        <w:t xml:space="preserve">identified in the </w:t>
      </w:r>
      <w:r w:rsidR="008602EC" w:rsidRPr="002543B1">
        <w:rPr>
          <w:rFonts w:ascii="Times New Roman" w:hAnsi="Times New Roman" w:cs="Times New Roman"/>
        </w:rPr>
        <w:t>p</w:t>
      </w:r>
      <w:r w:rsidR="00EC20DA" w:rsidRPr="002543B1">
        <w:rPr>
          <w:rFonts w:ascii="Times New Roman" w:hAnsi="Times New Roman" w:cs="Times New Roman"/>
        </w:rPr>
        <w:t>seudo</w:t>
      </w:r>
      <w:r w:rsidR="008602EC" w:rsidRPr="002543B1">
        <w:rPr>
          <w:rFonts w:ascii="Times New Roman" w:hAnsi="Times New Roman" w:cs="Times New Roman"/>
        </w:rPr>
        <w:t>-</w:t>
      </w:r>
      <w:r w:rsidR="00EC20DA" w:rsidRPr="002543B1">
        <w:rPr>
          <w:rFonts w:ascii="Times New Roman" w:hAnsi="Times New Roman" w:cs="Times New Roman"/>
        </w:rPr>
        <w:t>tie request</w:t>
      </w:r>
      <w:r w:rsidR="008602EC" w:rsidRPr="002543B1">
        <w:rPr>
          <w:rFonts w:ascii="Times New Roman" w:hAnsi="Times New Roman" w:cs="Times New Roman"/>
        </w:rPr>
        <w:t>ing</w:t>
      </w:r>
      <w:r w:rsidR="00EC20DA" w:rsidRPr="002543B1">
        <w:rPr>
          <w:rFonts w:ascii="Times New Roman" w:hAnsi="Times New Roman" w:cs="Times New Roman"/>
        </w:rPr>
        <w:t xml:space="preserve"> </w:t>
      </w:r>
      <w:r w:rsidR="001E1FAE" w:rsidRPr="002543B1">
        <w:rPr>
          <w:rFonts w:ascii="Times New Roman" w:hAnsi="Times New Roman" w:cs="Times New Roman"/>
        </w:rPr>
        <w:t>their review</w:t>
      </w:r>
      <w:r w:rsidR="008602EC" w:rsidRPr="002543B1">
        <w:rPr>
          <w:rFonts w:ascii="Times New Roman" w:hAnsi="Times New Roman" w:cs="Times New Roman"/>
        </w:rPr>
        <w:t xml:space="preserve"> and approval</w:t>
      </w:r>
      <w:r w:rsidR="001E1FAE" w:rsidRPr="002543B1">
        <w:rPr>
          <w:rFonts w:ascii="Times New Roman" w:hAnsi="Times New Roman" w:cs="Times New Roman"/>
        </w:rPr>
        <w:t xml:space="preserve"> is needed</w:t>
      </w:r>
      <w:r w:rsidR="00EC20DA" w:rsidRPr="002543B1">
        <w:rPr>
          <w:rFonts w:ascii="Times New Roman" w:hAnsi="Times New Roman" w:cs="Times New Roman"/>
        </w:rPr>
        <w:t xml:space="preserve">.  </w:t>
      </w:r>
      <w:r w:rsidR="008602EC" w:rsidRPr="002543B1">
        <w:rPr>
          <w:rFonts w:ascii="Times New Roman" w:hAnsi="Times New Roman" w:cs="Times New Roman"/>
        </w:rPr>
        <w:t xml:space="preserve">Each </w:t>
      </w:r>
      <w:r w:rsidR="00EC20DA" w:rsidRPr="002543B1">
        <w:rPr>
          <w:rFonts w:ascii="Times New Roman" w:hAnsi="Times New Roman" w:cs="Times New Roman"/>
        </w:rPr>
        <w:t>notification would be</w:t>
      </w:r>
      <w:r w:rsidR="00F7279E" w:rsidRPr="002543B1">
        <w:rPr>
          <w:rFonts w:ascii="Times New Roman" w:hAnsi="Times New Roman" w:cs="Times New Roman"/>
        </w:rPr>
        <w:t xml:space="preserve"> sen</w:t>
      </w:r>
      <w:r w:rsidR="006A10F9" w:rsidRPr="002543B1">
        <w:rPr>
          <w:rFonts w:ascii="Times New Roman" w:hAnsi="Times New Roman" w:cs="Times New Roman"/>
        </w:rPr>
        <w:t>t</w:t>
      </w:r>
      <w:r w:rsidR="00F7279E" w:rsidRPr="002543B1">
        <w:rPr>
          <w:rFonts w:ascii="Times New Roman" w:hAnsi="Times New Roman" w:cs="Times New Roman"/>
        </w:rPr>
        <w:t xml:space="preserve"> to</w:t>
      </w:r>
      <w:r w:rsidR="00EC20DA" w:rsidRPr="002543B1">
        <w:rPr>
          <w:rFonts w:ascii="Times New Roman" w:hAnsi="Times New Roman" w:cs="Times New Roman"/>
        </w:rPr>
        <w:t xml:space="preserve"> the</w:t>
      </w:r>
      <w:r w:rsidR="00F7279E" w:rsidRPr="002543B1">
        <w:rPr>
          <w:rFonts w:ascii="Times New Roman" w:hAnsi="Times New Roman" w:cs="Times New Roman"/>
        </w:rPr>
        <w:t xml:space="preserve"> email</w:t>
      </w:r>
      <w:r w:rsidR="00EC20DA" w:rsidRPr="002543B1">
        <w:rPr>
          <w:rFonts w:ascii="Times New Roman" w:hAnsi="Times New Roman" w:cs="Times New Roman"/>
        </w:rPr>
        <w:t xml:space="preserve"> address </w:t>
      </w:r>
      <w:r w:rsidR="00F7279E" w:rsidRPr="002543B1">
        <w:rPr>
          <w:rFonts w:ascii="Times New Roman" w:hAnsi="Times New Roman" w:cs="Times New Roman"/>
        </w:rPr>
        <w:t xml:space="preserve">of </w:t>
      </w:r>
      <w:r w:rsidR="00EC20DA" w:rsidRPr="002543B1">
        <w:rPr>
          <w:rFonts w:ascii="Times New Roman" w:hAnsi="Times New Roman" w:cs="Times New Roman"/>
        </w:rPr>
        <w:t xml:space="preserve">the </w:t>
      </w:r>
      <w:r w:rsidR="00F7279E" w:rsidRPr="002543B1">
        <w:rPr>
          <w:rFonts w:ascii="Times New Roman" w:hAnsi="Times New Roman" w:cs="Times New Roman"/>
        </w:rPr>
        <w:t xml:space="preserve">entity’s registered </w:t>
      </w:r>
      <w:r w:rsidR="00EC20DA" w:rsidRPr="002543B1">
        <w:rPr>
          <w:rFonts w:ascii="Times New Roman" w:hAnsi="Times New Roman" w:cs="Times New Roman"/>
        </w:rPr>
        <w:t xml:space="preserve">administrator(s) </w:t>
      </w:r>
      <w:r w:rsidR="00F7279E" w:rsidRPr="002543B1">
        <w:rPr>
          <w:rFonts w:ascii="Times New Roman" w:hAnsi="Times New Roman" w:cs="Times New Roman"/>
        </w:rPr>
        <w:t>requesting an</w:t>
      </w:r>
      <w:r w:rsidR="00EC20DA" w:rsidRPr="002543B1">
        <w:rPr>
          <w:rFonts w:ascii="Times New Roman" w:hAnsi="Times New Roman" w:cs="Times New Roman"/>
        </w:rPr>
        <w:t xml:space="preserve"> approve/deny </w:t>
      </w:r>
      <w:r w:rsidR="00F7279E" w:rsidRPr="002543B1">
        <w:rPr>
          <w:rFonts w:ascii="Times New Roman" w:hAnsi="Times New Roman" w:cs="Times New Roman"/>
        </w:rPr>
        <w:t>response within the next 10 days</w:t>
      </w:r>
      <w:r w:rsidR="00EC20DA" w:rsidRPr="002543B1">
        <w:rPr>
          <w:rFonts w:ascii="Times New Roman" w:hAnsi="Times New Roman" w:cs="Times New Roman"/>
        </w:rPr>
        <w:t xml:space="preserve">.  </w:t>
      </w:r>
    </w:p>
    <w:p w14:paraId="15F9F0D4" w14:textId="77777777" w:rsidR="00737EC5" w:rsidRPr="002543B1" w:rsidRDefault="00737EC5" w:rsidP="00B56588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Approval entities are derived from the registration information as defined in the Required Approvals section</w:t>
      </w:r>
      <w:r w:rsidR="00F20A34" w:rsidRPr="002543B1">
        <w:rPr>
          <w:rFonts w:ascii="Times New Roman" w:hAnsi="Times New Roman" w:cs="Times New Roman"/>
        </w:rPr>
        <w:t xml:space="preserve"> below.</w:t>
      </w:r>
    </w:p>
    <w:p w14:paraId="3098A99E" w14:textId="0661BE56" w:rsidR="0065659C" w:rsidRPr="002543B1" w:rsidRDefault="00737EC5" w:rsidP="002543B1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S</w:t>
      </w:r>
      <w:r w:rsidR="001E1FAE" w:rsidRPr="002543B1">
        <w:rPr>
          <w:rFonts w:ascii="Times New Roman" w:hAnsi="Times New Roman" w:cs="Times New Roman"/>
        </w:rPr>
        <w:t xml:space="preserve">tart a countdown for the 10 </w:t>
      </w:r>
      <w:r w:rsidR="001B3F16" w:rsidRPr="002543B1">
        <w:rPr>
          <w:rFonts w:ascii="Times New Roman" w:hAnsi="Times New Roman" w:cs="Times New Roman"/>
        </w:rPr>
        <w:t xml:space="preserve">calendar </w:t>
      </w:r>
      <w:r w:rsidR="00F7279E" w:rsidRPr="002543B1">
        <w:rPr>
          <w:rFonts w:ascii="Times New Roman" w:hAnsi="Times New Roman" w:cs="Times New Roman"/>
        </w:rPr>
        <w:t>day approval window.  The pseudo-tie object’s approval window length</w:t>
      </w:r>
      <w:r w:rsidR="00EC20DA" w:rsidRPr="002543B1">
        <w:rPr>
          <w:rFonts w:ascii="Times New Roman" w:hAnsi="Times New Roman" w:cs="Times New Roman"/>
        </w:rPr>
        <w:t xml:space="preserve"> i</w:t>
      </w:r>
      <w:r w:rsidR="00F7279E" w:rsidRPr="002543B1">
        <w:rPr>
          <w:rFonts w:ascii="Times New Roman" w:hAnsi="Times New Roman" w:cs="Times New Roman"/>
        </w:rPr>
        <w:t>s</w:t>
      </w:r>
      <w:r w:rsidR="00EC20DA" w:rsidRPr="002543B1">
        <w:rPr>
          <w:rFonts w:ascii="Times New Roman" w:hAnsi="Times New Roman" w:cs="Times New Roman"/>
        </w:rPr>
        <w:t xml:space="preserve"> adjust</w:t>
      </w:r>
      <w:r w:rsidR="00F7279E" w:rsidRPr="002543B1">
        <w:rPr>
          <w:rFonts w:ascii="Times New Roman" w:hAnsi="Times New Roman" w:cs="Times New Roman"/>
        </w:rPr>
        <w:t xml:space="preserve">able </w:t>
      </w:r>
      <w:r w:rsidR="00EC20DA" w:rsidRPr="002543B1">
        <w:rPr>
          <w:rFonts w:ascii="Times New Roman" w:hAnsi="Times New Roman" w:cs="Times New Roman"/>
        </w:rPr>
        <w:t>by the</w:t>
      </w:r>
      <w:r w:rsidR="00151E81" w:rsidRPr="002543B1">
        <w:rPr>
          <w:rFonts w:ascii="Times New Roman" w:hAnsi="Times New Roman" w:cs="Times New Roman"/>
        </w:rPr>
        <w:t xml:space="preserve"> EIR administrator</w:t>
      </w:r>
      <w:r w:rsidR="00EC20DA" w:rsidRPr="002543B1">
        <w:rPr>
          <w:rFonts w:ascii="Times New Roman" w:hAnsi="Times New Roman" w:cs="Times New Roman"/>
        </w:rPr>
        <w:t xml:space="preserve">.  </w:t>
      </w:r>
    </w:p>
    <w:p w14:paraId="6BAFD981" w14:textId="77777777" w:rsidR="00BA207D" w:rsidRPr="002543B1" w:rsidRDefault="00D13D38" w:rsidP="001E1FAE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 xml:space="preserve">User </w:t>
      </w:r>
      <w:r w:rsidR="00BA207D" w:rsidRPr="002543B1">
        <w:rPr>
          <w:sz w:val="22"/>
          <w:szCs w:val="22"/>
        </w:rPr>
        <w:t xml:space="preserve">Approval </w:t>
      </w:r>
      <w:r w:rsidRPr="002543B1">
        <w:rPr>
          <w:sz w:val="22"/>
          <w:szCs w:val="22"/>
        </w:rPr>
        <w:t>Action</w:t>
      </w:r>
      <w:r w:rsidR="00737EC5" w:rsidRPr="002543B1">
        <w:rPr>
          <w:sz w:val="22"/>
          <w:szCs w:val="22"/>
        </w:rPr>
        <w:t>:</w:t>
      </w:r>
    </w:p>
    <w:p w14:paraId="5438122A" w14:textId="2C7736BE" w:rsidR="00737EC5" w:rsidRPr="002543B1" w:rsidRDefault="00F20A34" w:rsidP="00737EC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Each approval entity </w:t>
      </w:r>
      <w:r w:rsidR="00737EC5" w:rsidRPr="002543B1">
        <w:rPr>
          <w:rFonts w:ascii="Times New Roman" w:hAnsi="Times New Roman" w:cs="Times New Roman"/>
        </w:rPr>
        <w:t>independent</w:t>
      </w:r>
      <w:r w:rsidRPr="002543B1">
        <w:rPr>
          <w:rFonts w:ascii="Times New Roman" w:hAnsi="Times New Roman" w:cs="Times New Roman"/>
        </w:rPr>
        <w:t>ly approves or denies their role in the pseudo-tie object</w:t>
      </w:r>
      <w:r w:rsidR="00737EC5" w:rsidRPr="002543B1">
        <w:rPr>
          <w:rFonts w:ascii="Times New Roman" w:hAnsi="Times New Roman" w:cs="Times New Roman"/>
        </w:rPr>
        <w:t>.</w:t>
      </w:r>
    </w:p>
    <w:p w14:paraId="061DA91B" w14:textId="19E2DB23" w:rsidR="00737EC5" w:rsidRPr="002543B1" w:rsidRDefault="00F20A34" w:rsidP="00737EC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</w:t>
      </w:r>
      <w:r w:rsidR="00151E81" w:rsidRPr="002543B1">
        <w:rPr>
          <w:rFonts w:ascii="Times New Roman" w:hAnsi="Times New Roman" w:cs="Times New Roman"/>
        </w:rPr>
        <w:t xml:space="preserve">he </w:t>
      </w:r>
      <w:r w:rsidRPr="002543B1">
        <w:rPr>
          <w:rFonts w:ascii="Times New Roman" w:hAnsi="Times New Roman" w:cs="Times New Roman"/>
        </w:rPr>
        <w:t xml:space="preserve">approval entities’ </w:t>
      </w:r>
      <w:r w:rsidR="00151E81" w:rsidRPr="002543B1">
        <w:rPr>
          <w:rFonts w:ascii="Times New Roman" w:hAnsi="Times New Roman" w:cs="Times New Roman"/>
        </w:rPr>
        <w:t>administrator</w:t>
      </w:r>
      <w:r w:rsidRPr="002543B1">
        <w:rPr>
          <w:rFonts w:ascii="Times New Roman" w:hAnsi="Times New Roman" w:cs="Times New Roman"/>
        </w:rPr>
        <w:t>(</w:t>
      </w:r>
      <w:r w:rsidR="00151E81" w:rsidRPr="002543B1">
        <w:rPr>
          <w:rFonts w:ascii="Times New Roman" w:hAnsi="Times New Roman" w:cs="Times New Roman"/>
        </w:rPr>
        <w:t>s</w:t>
      </w:r>
      <w:r w:rsidRPr="002543B1">
        <w:rPr>
          <w:rFonts w:ascii="Times New Roman" w:hAnsi="Times New Roman" w:cs="Times New Roman"/>
        </w:rPr>
        <w:t>)</w:t>
      </w:r>
      <w:r w:rsidR="00151E81" w:rsidRPr="002543B1">
        <w:rPr>
          <w:rFonts w:ascii="Times New Roman" w:hAnsi="Times New Roman" w:cs="Times New Roman"/>
        </w:rPr>
        <w:t xml:space="preserve"> s</w:t>
      </w:r>
      <w:r w:rsidR="00737EC5" w:rsidRPr="002543B1">
        <w:rPr>
          <w:rFonts w:ascii="Times New Roman" w:hAnsi="Times New Roman" w:cs="Times New Roman"/>
        </w:rPr>
        <w:t xml:space="preserve">hall </w:t>
      </w:r>
      <w:r w:rsidR="001E1FAE" w:rsidRPr="002543B1">
        <w:rPr>
          <w:rFonts w:ascii="Times New Roman" w:hAnsi="Times New Roman" w:cs="Times New Roman"/>
        </w:rPr>
        <w:t>access Pending Approvals in the EIR interface</w:t>
      </w:r>
      <w:r w:rsidR="00737EC5" w:rsidRPr="002543B1">
        <w:rPr>
          <w:rFonts w:ascii="Times New Roman" w:hAnsi="Times New Roman" w:cs="Times New Roman"/>
        </w:rPr>
        <w:t xml:space="preserve">. </w:t>
      </w:r>
    </w:p>
    <w:p w14:paraId="3AED2E1A" w14:textId="5C072576" w:rsidR="00737EC5" w:rsidRPr="002543B1" w:rsidRDefault="00F20A34" w:rsidP="00737EC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Each approval </w:t>
      </w:r>
      <w:r w:rsidR="001E1FAE" w:rsidRPr="002543B1">
        <w:rPr>
          <w:rFonts w:ascii="Times New Roman" w:hAnsi="Times New Roman" w:cs="Times New Roman"/>
        </w:rPr>
        <w:t xml:space="preserve">entity can view </w:t>
      </w:r>
      <w:r w:rsidRPr="002543B1">
        <w:rPr>
          <w:rFonts w:ascii="Times New Roman" w:hAnsi="Times New Roman" w:cs="Times New Roman"/>
        </w:rPr>
        <w:t xml:space="preserve">all of </w:t>
      </w:r>
      <w:r w:rsidR="001E1FAE" w:rsidRPr="002543B1">
        <w:rPr>
          <w:rFonts w:ascii="Times New Roman" w:hAnsi="Times New Roman" w:cs="Times New Roman"/>
        </w:rPr>
        <w:t xml:space="preserve">the pending </w:t>
      </w:r>
      <w:r w:rsidRPr="002543B1">
        <w:rPr>
          <w:rFonts w:ascii="Times New Roman" w:hAnsi="Times New Roman" w:cs="Times New Roman"/>
        </w:rPr>
        <w:t>pseudo</w:t>
      </w:r>
      <w:r w:rsidR="001E1FAE" w:rsidRPr="002543B1">
        <w:rPr>
          <w:rFonts w:ascii="Times New Roman" w:hAnsi="Times New Roman" w:cs="Times New Roman"/>
        </w:rPr>
        <w:t>-tie object</w:t>
      </w:r>
      <w:r w:rsidRPr="002543B1">
        <w:rPr>
          <w:rFonts w:ascii="Times New Roman" w:hAnsi="Times New Roman" w:cs="Times New Roman"/>
        </w:rPr>
        <w:t>’s</w:t>
      </w:r>
      <w:r w:rsidR="001E1FAE" w:rsidRPr="002543B1">
        <w:rPr>
          <w:rFonts w:ascii="Times New Roman" w:hAnsi="Times New Roman" w:cs="Times New Roman"/>
        </w:rPr>
        <w:t xml:space="preserve"> information.  </w:t>
      </w:r>
    </w:p>
    <w:p w14:paraId="380E6540" w14:textId="213F7C36" w:rsidR="00F20A34" w:rsidRPr="002543B1" w:rsidRDefault="00F20A34" w:rsidP="00737EC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Each approval </w:t>
      </w:r>
      <w:r w:rsidR="001E1FAE" w:rsidRPr="002543B1">
        <w:rPr>
          <w:rFonts w:ascii="Times New Roman" w:hAnsi="Times New Roman" w:cs="Times New Roman"/>
        </w:rPr>
        <w:t xml:space="preserve">entity can either approve or deny </w:t>
      </w:r>
      <w:r w:rsidRPr="002543B1">
        <w:rPr>
          <w:rFonts w:ascii="Times New Roman" w:hAnsi="Times New Roman" w:cs="Times New Roman"/>
        </w:rPr>
        <w:t>their role in the pseudo-tie object.</w:t>
      </w:r>
    </w:p>
    <w:p w14:paraId="1B4F1EDF" w14:textId="08074428" w:rsidR="00737EC5" w:rsidRPr="002543B1" w:rsidRDefault="00F20A34" w:rsidP="00737EC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The approval entity must supply </w:t>
      </w:r>
      <w:r w:rsidR="001E1FAE" w:rsidRPr="002543B1">
        <w:rPr>
          <w:rFonts w:ascii="Times New Roman" w:hAnsi="Times New Roman" w:cs="Times New Roman"/>
        </w:rPr>
        <w:t xml:space="preserve">a comment </w:t>
      </w:r>
      <w:r w:rsidRPr="002543B1">
        <w:rPr>
          <w:rFonts w:ascii="Times New Roman" w:hAnsi="Times New Roman" w:cs="Times New Roman"/>
        </w:rPr>
        <w:t xml:space="preserve">with their </w:t>
      </w:r>
      <w:r w:rsidR="001E1FAE" w:rsidRPr="002543B1">
        <w:rPr>
          <w:rFonts w:ascii="Times New Roman" w:hAnsi="Times New Roman" w:cs="Times New Roman"/>
        </w:rPr>
        <w:t>re</w:t>
      </w:r>
      <w:r w:rsidRPr="002543B1">
        <w:rPr>
          <w:rFonts w:ascii="Times New Roman" w:hAnsi="Times New Roman" w:cs="Times New Roman"/>
        </w:rPr>
        <w:t>sponse</w:t>
      </w:r>
      <w:r w:rsidR="006A10F9" w:rsidRPr="002543B1">
        <w:rPr>
          <w:rFonts w:ascii="Times New Roman" w:hAnsi="Times New Roman" w:cs="Times New Roman"/>
        </w:rPr>
        <w:t xml:space="preserve"> if they deny the requests</w:t>
      </w:r>
      <w:r w:rsidR="001E1FAE" w:rsidRPr="002543B1">
        <w:rPr>
          <w:rFonts w:ascii="Times New Roman" w:hAnsi="Times New Roman" w:cs="Times New Roman"/>
        </w:rPr>
        <w:t xml:space="preserve">.  </w:t>
      </w:r>
    </w:p>
    <w:p w14:paraId="45600397" w14:textId="519AD39D" w:rsidR="00737EC5" w:rsidRPr="002543B1" w:rsidRDefault="001E1FAE" w:rsidP="00737EC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The registering entity (submitter) will receive notification</w:t>
      </w:r>
      <w:r w:rsidR="00B83527" w:rsidRPr="002543B1">
        <w:rPr>
          <w:rFonts w:ascii="Times New Roman" w:hAnsi="Times New Roman" w:cs="Times New Roman"/>
        </w:rPr>
        <w:t>s</w:t>
      </w:r>
      <w:r w:rsidRPr="002543B1">
        <w:rPr>
          <w:rFonts w:ascii="Times New Roman" w:hAnsi="Times New Roman" w:cs="Times New Roman"/>
        </w:rPr>
        <w:t xml:space="preserve"> of </w:t>
      </w:r>
      <w:r w:rsidR="00B83527" w:rsidRPr="002543B1">
        <w:rPr>
          <w:rFonts w:ascii="Times New Roman" w:hAnsi="Times New Roman" w:cs="Times New Roman"/>
        </w:rPr>
        <w:t>each approval entity’s approval/</w:t>
      </w:r>
      <w:r w:rsidRPr="002543B1">
        <w:rPr>
          <w:rFonts w:ascii="Times New Roman" w:hAnsi="Times New Roman" w:cs="Times New Roman"/>
        </w:rPr>
        <w:t xml:space="preserve">denial </w:t>
      </w:r>
      <w:r w:rsidR="00B83527" w:rsidRPr="002543B1">
        <w:rPr>
          <w:rFonts w:ascii="Times New Roman" w:hAnsi="Times New Roman" w:cs="Times New Roman"/>
        </w:rPr>
        <w:t xml:space="preserve">response </w:t>
      </w:r>
      <w:r w:rsidRPr="002543B1">
        <w:rPr>
          <w:rFonts w:ascii="Times New Roman" w:hAnsi="Times New Roman" w:cs="Times New Roman"/>
        </w:rPr>
        <w:t xml:space="preserve">and </w:t>
      </w:r>
      <w:r w:rsidR="00B83527" w:rsidRPr="002543B1">
        <w:rPr>
          <w:rFonts w:ascii="Times New Roman" w:hAnsi="Times New Roman" w:cs="Times New Roman"/>
        </w:rPr>
        <w:t xml:space="preserve">will </w:t>
      </w:r>
      <w:r w:rsidRPr="002543B1">
        <w:rPr>
          <w:rFonts w:ascii="Times New Roman" w:hAnsi="Times New Roman" w:cs="Times New Roman"/>
        </w:rPr>
        <w:t xml:space="preserve">be able to access </w:t>
      </w:r>
      <w:proofErr w:type="gramStart"/>
      <w:r w:rsidRPr="002543B1">
        <w:rPr>
          <w:rFonts w:ascii="Times New Roman" w:hAnsi="Times New Roman" w:cs="Times New Roman"/>
        </w:rPr>
        <w:t xml:space="preserve">the </w:t>
      </w:r>
      <w:r w:rsidR="00594EF3" w:rsidRPr="002543B1">
        <w:rPr>
          <w:rFonts w:ascii="Times New Roman" w:hAnsi="Times New Roman" w:cs="Times New Roman"/>
        </w:rPr>
        <w:t xml:space="preserve"> approval</w:t>
      </w:r>
      <w:proofErr w:type="gramEnd"/>
      <w:r w:rsidR="00594EF3" w:rsidRPr="002543B1">
        <w:rPr>
          <w:rFonts w:ascii="Times New Roman" w:hAnsi="Times New Roman" w:cs="Times New Roman"/>
        </w:rPr>
        <w:t xml:space="preserve"> entity </w:t>
      </w:r>
      <w:r w:rsidRPr="002543B1">
        <w:rPr>
          <w:rFonts w:ascii="Times New Roman" w:hAnsi="Times New Roman" w:cs="Times New Roman"/>
        </w:rPr>
        <w:t>comment</w:t>
      </w:r>
      <w:r w:rsidR="00B83527" w:rsidRPr="002543B1">
        <w:rPr>
          <w:rFonts w:ascii="Times New Roman" w:hAnsi="Times New Roman" w:cs="Times New Roman"/>
        </w:rPr>
        <w:t>s</w:t>
      </w:r>
      <w:r w:rsidRPr="002543B1">
        <w:rPr>
          <w:rFonts w:ascii="Times New Roman" w:hAnsi="Times New Roman" w:cs="Times New Roman"/>
        </w:rPr>
        <w:t xml:space="preserve">.  </w:t>
      </w:r>
    </w:p>
    <w:p w14:paraId="0F7682A3" w14:textId="125FA643" w:rsidR="00751E88" w:rsidRPr="002543B1" w:rsidRDefault="00B83527" w:rsidP="00737EC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Approval </w:t>
      </w:r>
      <w:r w:rsidR="001E1FAE" w:rsidRPr="002543B1">
        <w:rPr>
          <w:rFonts w:ascii="Times New Roman" w:hAnsi="Times New Roman" w:cs="Times New Roman"/>
        </w:rPr>
        <w:t xml:space="preserve">entities can change their approvals/denials </w:t>
      </w:r>
      <w:r w:rsidRPr="002543B1">
        <w:rPr>
          <w:rFonts w:ascii="Times New Roman" w:hAnsi="Times New Roman" w:cs="Times New Roman"/>
        </w:rPr>
        <w:t>at any time</w:t>
      </w:r>
      <w:r w:rsidR="001E1FAE" w:rsidRPr="002543B1">
        <w:rPr>
          <w:rFonts w:ascii="Times New Roman" w:hAnsi="Times New Roman" w:cs="Times New Roman"/>
        </w:rPr>
        <w:t xml:space="preserve"> during the approval </w:t>
      </w:r>
      <w:r w:rsidRPr="002543B1">
        <w:rPr>
          <w:rFonts w:ascii="Times New Roman" w:hAnsi="Times New Roman" w:cs="Times New Roman"/>
        </w:rPr>
        <w:t>window</w:t>
      </w:r>
      <w:r w:rsidR="00751E88" w:rsidRPr="002543B1">
        <w:rPr>
          <w:rFonts w:ascii="Times New Roman" w:hAnsi="Times New Roman" w:cs="Times New Roman"/>
        </w:rPr>
        <w:t>.</w:t>
      </w:r>
    </w:p>
    <w:p w14:paraId="1C02379C" w14:textId="77777777" w:rsidR="00D13D38" w:rsidRPr="002543B1" w:rsidRDefault="00D13D38" w:rsidP="001E1FAE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>EIR Processing of Approval information</w:t>
      </w:r>
      <w:r w:rsidR="00737EC5" w:rsidRPr="002543B1">
        <w:rPr>
          <w:sz w:val="22"/>
          <w:szCs w:val="22"/>
        </w:rPr>
        <w:t>:</w:t>
      </w:r>
    </w:p>
    <w:p w14:paraId="1C1C2B53" w14:textId="5E13A5C8" w:rsidR="000E5702" w:rsidRPr="002543B1" w:rsidRDefault="000E5702" w:rsidP="000E570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Once all approval entities have responded with an approval, the pseudo-tie object status will be set to</w:t>
      </w:r>
      <w:r w:rsidRPr="002543B1" w:rsidDel="00B83527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Approved</w:t>
      </w:r>
      <w:r w:rsidR="00594EF3" w:rsidRPr="002543B1">
        <w:rPr>
          <w:rFonts w:ascii="Times New Roman" w:hAnsi="Times New Roman" w:cs="Times New Roman"/>
        </w:rPr>
        <w:t>, and the approval window will be closed.</w:t>
      </w:r>
    </w:p>
    <w:p w14:paraId="7FB6C5D9" w14:textId="3F6C3709" w:rsidR="005F2EE5" w:rsidRPr="002543B1" w:rsidRDefault="005F2EE5" w:rsidP="000E570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The pseudo-tie object status will be set to Denied at the end of the approval window, if any approval entity has either failed to respond or has set the pseudo-tie object to Denied.</w:t>
      </w:r>
    </w:p>
    <w:p w14:paraId="21D1069A" w14:textId="77777777" w:rsidR="000E5702" w:rsidRPr="002543B1" w:rsidRDefault="000E5702" w:rsidP="000E570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A notification will be sent to all involved that the pseudo-tie will be included in the next regularly scheduled EIR publication.</w:t>
      </w:r>
    </w:p>
    <w:p w14:paraId="2763ED3D" w14:textId="6BE15417" w:rsidR="00737EC5" w:rsidRPr="002543B1" w:rsidRDefault="00737EC5" w:rsidP="00737EC5">
      <w:pPr>
        <w:spacing w:after="120" w:line="240" w:lineRule="auto"/>
        <w:rPr>
          <w:sz w:val="22"/>
          <w:szCs w:val="22"/>
          <w:u w:val="single"/>
        </w:rPr>
      </w:pPr>
      <w:r w:rsidRPr="002543B1">
        <w:rPr>
          <w:sz w:val="22"/>
          <w:szCs w:val="22"/>
          <w:u w:val="single"/>
        </w:rPr>
        <w:t>Modification of Registration Data</w:t>
      </w:r>
    </w:p>
    <w:p w14:paraId="3F90F7FB" w14:textId="347F5F6D" w:rsidR="00687FC2" w:rsidRPr="002543B1" w:rsidRDefault="00C02E57" w:rsidP="00737EC5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 xml:space="preserve">Initiating </w:t>
      </w:r>
      <w:r w:rsidR="00687FC2" w:rsidRPr="002543B1">
        <w:rPr>
          <w:sz w:val="22"/>
          <w:szCs w:val="22"/>
        </w:rPr>
        <w:t xml:space="preserve">Modification </w:t>
      </w:r>
      <w:r w:rsidRPr="002543B1">
        <w:rPr>
          <w:sz w:val="22"/>
          <w:szCs w:val="22"/>
        </w:rPr>
        <w:t>Request</w:t>
      </w:r>
      <w:r w:rsidR="002543B1">
        <w:rPr>
          <w:sz w:val="22"/>
          <w:szCs w:val="22"/>
        </w:rPr>
        <w:t>:</w:t>
      </w:r>
    </w:p>
    <w:p w14:paraId="4CCA5296" w14:textId="568CBADF" w:rsidR="007E384D" w:rsidRPr="002543B1" w:rsidRDefault="00903DD1" w:rsidP="007E384D">
      <w:pPr>
        <w:spacing w:after="120" w:line="240" w:lineRule="auto"/>
        <w:ind w:left="360"/>
        <w:rPr>
          <w:sz w:val="22"/>
          <w:szCs w:val="22"/>
        </w:rPr>
      </w:pPr>
      <w:r w:rsidRPr="002543B1">
        <w:rPr>
          <w:sz w:val="22"/>
          <w:szCs w:val="22"/>
        </w:rPr>
        <w:t xml:space="preserve">The registering entity (the </w:t>
      </w:r>
      <w:r w:rsidR="007E384D" w:rsidRPr="002543B1">
        <w:rPr>
          <w:sz w:val="22"/>
          <w:szCs w:val="22"/>
        </w:rPr>
        <w:t>BA or PSE</w:t>
      </w:r>
      <w:r w:rsidRPr="002543B1">
        <w:rPr>
          <w:sz w:val="22"/>
          <w:szCs w:val="22"/>
        </w:rPr>
        <w:t>)</w:t>
      </w:r>
      <w:r w:rsidR="007E384D" w:rsidRPr="002543B1">
        <w:rPr>
          <w:sz w:val="22"/>
          <w:szCs w:val="22"/>
        </w:rPr>
        <w:t xml:space="preserve"> may initiate the </w:t>
      </w:r>
      <w:r w:rsidR="006F65A4" w:rsidRPr="002543B1">
        <w:rPr>
          <w:sz w:val="22"/>
          <w:szCs w:val="22"/>
        </w:rPr>
        <w:t>modification</w:t>
      </w:r>
      <w:r w:rsidR="007E384D" w:rsidRPr="002543B1">
        <w:rPr>
          <w:sz w:val="22"/>
          <w:szCs w:val="22"/>
        </w:rPr>
        <w:t xml:space="preserve"> of a pseudo-tie</w:t>
      </w:r>
      <w:r w:rsidR="006F65A4" w:rsidRPr="002543B1">
        <w:rPr>
          <w:sz w:val="22"/>
          <w:szCs w:val="22"/>
        </w:rPr>
        <w:t xml:space="preserve"> to </w:t>
      </w:r>
      <w:r w:rsidR="006F65A4" w:rsidRPr="002543B1" w:rsidDel="00D13D38">
        <w:rPr>
          <w:sz w:val="22"/>
          <w:szCs w:val="22"/>
        </w:rPr>
        <w:t>reflect changes in Transmission Contract Numbers only</w:t>
      </w:r>
      <w:r w:rsidR="007E384D" w:rsidRPr="002543B1">
        <w:rPr>
          <w:sz w:val="22"/>
          <w:szCs w:val="22"/>
        </w:rPr>
        <w:t xml:space="preserve">. </w:t>
      </w:r>
    </w:p>
    <w:p w14:paraId="37862237" w14:textId="67F970D8" w:rsidR="00687FC2" w:rsidRPr="002543B1" w:rsidRDefault="00C02E57" w:rsidP="00737EC5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 xml:space="preserve">EIR Processing of a </w:t>
      </w:r>
      <w:r w:rsidR="00687FC2" w:rsidRPr="002543B1">
        <w:rPr>
          <w:sz w:val="22"/>
          <w:szCs w:val="22"/>
        </w:rPr>
        <w:t xml:space="preserve">Modification </w:t>
      </w:r>
      <w:r w:rsidRPr="002543B1">
        <w:rPr>
          <w:sz w:val="22"/>
          <w:szCs w:val="22"/>
        </w:rPr>
        <w:t>Request</w:t>
      </w:r>
      <w:r w:rsidR="002543B1">
        <w:rPr>
          <w:sz w:val="22"/>
          <w:szCs w:val="22"/>
        </w:rPr>
        <w:t>:</w:t>
      </w:r>
    </w:p>
    <w:p w14:paraId="42DA906B" w14:textId="2C9AD8FC" w:rsidR="007E384D" w:rsidRPr="002543B1" w:rsidRDefault="007E384D" w:rsidP="007E384D">
      <w:pPr>
        <w:spacing w:after="120" w:line="240" w:lineRule="auto"/>
        <w:ind w:left="360"/>
        <w:rPr>
          <w:sz w:val="22"/>
          <w:szCs w:val="22"/>
        </w:rPr>
      </w:pPr>
      <w:r w:rsidRPr="002543B1">
        <w:rPr>
          <w:sz w:val="22"/>
          <w:szCs w:val="22"/>
        </w:rPr>
        <w:t xml:space="preserve">Upon submission of the </w:t>
      </w:r>
      <w:r w:rsidR="006F65A4" w:rsidRPr="002543B1">
        <w:rPr>
          <w:sz w:val="22"/>
          <w:szCs w:val="22"/>
        </w:rPr>
        <w:t>modification</w:t>
      </w:r>
      <w:r w:rsidRPr="002543B1">
        <w:rPr>
          <w:sz w:val="22"/>
          <w:szCs w:val="22"/>
        </w:rPr>
        <w:t xml:space="preserve"> information, the EIR shall:</w:t>
      </w:r>
    </w:p>
    <w:p w14:paraId="08E0B900" w14:textId="7E884886" w:rsidR="007E384D" w:rsidRPr="002543B1" w:rsidRDefault="007E384D" w:rsidP="0093389F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Set the status of the </w:t>
      </w:r>
      <w:r w:rsidR="00BA7272" w:rsidRPr="002543B1">
        <w:rPr>
          <w:rFonts w:ascii="Times New Roman" w:hAnsi="Times New Roman" w:cs="Times New Roman"/>
        </w:rPr>
        <w:t>modification request</w:t>
      </w:r>
      <w:r w:rsidRPr="002543B1">
        <w:rPr>
          <w:rFonts w:ascii="Times New Roman" w:hAnsi="Times New Roman" w:cs="Times New Roman"/>
        </w:rPr>
        <w:t xml:space="preserve"> to Pending</w:t>
      </w:r>
    </w:p>
    <w:p w14:paraId="3025DC57" w14:textId="61F19456" w:rsidR="007E384D" w:rsidRPr="002543B1" w:rsidRDefault="007E384D" w:rsidP="0093389F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lastRenderedPageBreak/>
        <w:t>S</w:t>
      </w:r>
      <w:r w:rsidR="0092495D" w:rsidRPr="002543B1">
        <w:rPr>
          <w:rFonts w:ascii="Times New Roman" w:hAnsi="Times New Roman" w:cs="Times New Roman"/>
        </w:rPr>
        <w:t>end notification</w:t>
      </w:r>
      <w:r w:rsidRPr="002543B1">
        <w:rPr>
          <w:rFonts w:ascii="Times New Roman" w:hAnsi="Times New Roman" w:cs="Times New Roman"/>
        </w:rPr>
        <w:t xml:space="preserve"> to </w:t>
      </w:r>
      <w:r w:rsidR="00BA7272" w:rsidRPr="002543B1">
        <w:rPr>
          <w:rFonts w:ascii="Times New Roman" w:hAnsi="Times New Roman" w:cs="Times New Roman"/>
        </w:rPr>
        <w:t xml:space="preserve">the </w:t>
      </w:r>
      <w:r w:rsidR="00F465C1" w:rsidRPr="002543B1">
        <w:rPr>
          <w:rFonts w:ascii="Times New Roman" w:hAnsi="Times New Roman" w:cs="Times New Roman"/>
        </w:rPr>
        <w:t xml:space="preserve">associated RC and the </w:t>
      </w:r>
      <w:r w:rsidR="00BA7272" w:rsidRPr="002543B1">
        <w:rPr>
          <w:rFonts w:ascii="Times New Roman" w:hAnsi="Times New Roman" w:cs="Times New Roman"/>
        </w:rPr>
        <w:t>Transmission Ser</w:t>
      </w:r>
      <w:r w:rsidR="0092495D" w:rsidRPr="002543B1">
        <w:rPr>
          <w:rFonts w:ascii="Times New Roman" w:hAnsi="Times New Roman" w:cs="Times New Roman"/>
        </w:rPr>
        <w:t>v</w:t>
      </w:r>
      <w:r w:rsidR="00BA7272" w:rsidRPr="002543B1">
        <w:rPr>
          <w:rFonts w:ascii="Times New Roman" w:hAnsi="Times New Roman" w:cs="Times New Roman"/>
        </w:rPr>
        <w:t>i</w:t>
      </w:r>
      <w:r w:rsidR="0092495D" w:rsidRPr="002543B1">
        <w:rPr>
          <w:rFonts w:ascii="Times New Roman" w:hAnsi="Times New Roman" w:cs="Times New Roman"/>
        </w:rPr>
        <w:t>c</w:t>
      </w:r>
      <w:r w:rsidR="00BA7272" w:rsidRPr="002543B1">
        <w:rPr>
          <w:rFonts w:ascii="Times New Roman" w:hAnsi="Times New Roman" w:cs="Times New Roman"/>
        </w:rPr>
        <w:t>e Provider</w:t>
      </w:r>
      <w:r w:rsidR="00A54B23" w:rsidRPr="002543B1">
        <w:rPr>
          <w:rFonts w:ascii="Times New Roman" w:hAnsi="Times New Roman" w:cs="Times New Roman"/>
        </w:rPr>
        <w:t xml:space="preserve"> </w:t>
      </w:r>
      <w:r w:rsidR="0092495D" w:rsidRPr="002543B1">
        <w:rPr>
          <w:rFonts w:ascii="Times New Roman" w:hAnsi="Times New Roman" w:cs="Times New Roman"/>
        </w:rPr>
        <w:t>associated with the modified transmission service contract number</w:t>
      </w:r>
      <w:r w:rsidRPr="002543B1">
        <w:rPr>
          <w:rFonts w:ascii="Times New Roman" w:hAnsi="Times New Roman" w:cs="Times New Roman"/>
        </w:rPr>
        <w:t xml:space="preserve"> </w:t>
      </w:r>
      <w:r w:rsidR="00F465C1" w:rsidRPr="002543B1">
        <w:rPr>
          <w:rFonts w:ascii="Times New Roman" w:hAnsi="Times New Roman" w:cs="Times New Roman"/>
        </w:rPr>
        <w:t>to request</w:t>
      </w:r>
      <w:r w:rsidRPr="002543B1">
        <w:rPr>
          <w:rFonts w:ascii="Times New Roman" w:hAnsi="Times New Roman" w:cs="Times New Roman"/>
        </w:rPr>
        <w:t xml:space="preserve"> their review and approval</w:t>
      </w:r>
      <w:r w:rsidR="00F465C1" w:rsidRPr="002543B1">
        <w:rPr>
          <w:rFonts w:ascii="Times New Roman" w:hAnsi="Times New Roman" w:cs="Times New Roman"/>
        </w:rPr>
        <w:t>.</w:t>
      </w:r>
      <w:r w:rsidRPr="002543B1">
        <w:rPr>
          <w:rFonts w:ascii="Times New Roman" w:hAnsi="Times New Roman" w:cs="Times New Roman"/>
        </w:rPr>
        <w:t xml:space="preserve">  </w:t>
      </w:r>
      <w:r w:rsidR="00B50BF9" w:rsidRPr="002543B1">
        <w:rPr>
          <w:rFonts w:ascii="Times New Roman" w:hAnsi="Times New Roman" w:cs="Times New Roman"/>
        </w:rPr>
        <w:t>The</w:t>
      </w:r>
      <w:r w:rsidRPr="002543B1">
        <w:rPr>
          <w:rFonts w:ascii="Times New Roman" w:hAnsi="Times New Roman" w:cs="Times New Roman"/>
        </w:rPr>
        <w:t xml:space="preserve"> notification </w:t>
      </w:r>
      <w:r w:rsidR="00B50BF9" w:rsidRPr="002543B1">
        <w:rPr>
          <w:rFonts w:ascii="Times New Roman" w:hAnsi="Times New Roman" w:cs="Times New Roman"/>
        </w:rPr>
        <w:t>will</w:t>
      </w:r>
      <w:r w:rsidRPr="002543B1">
        <w:rPr>
          <w:rFonts w:ascii="Times New Roman" w:hAnsi="Times New Roman" w:cs="Times New Roman"/>
        </w:rPr>
        <w:t xml:space="preserve"> be sent to the email address </w:t>
      </w:r>
      <w:proofErr w:type="gramStart"/>
      <w:r w:rsidRPr="002543B1">
        <w:rPr>
          <w:rFonts w:ascii="Times New Roman" w:hAnsi="Times New Roman" w:cs="Times New Roman"/>
        </w:rPr>
        <w:t>of  the</w:t>
      </w:r>
      <w:proofErr w:type="gramEnd"/>
      <w:r w:rsidRPr="002543B1">
        <w:rPr>
          <w:rFonts w:ascii="Times New Roman" w:hAnsi="Times New Roman" w:cs="Times New Roman"/>
        </w:rPr>
        <w:t xml:space="preserve"> entity’s registered administrator(s) requesting an approve/deny response within the next 10 days.  </w:t>
      </w:r>
    </w:p>
    <w:p w14:paraId="2CB12461" w14:textId="02EFB219" w:rsidR="007E384D" w:rsidRPr="002543B1" w:rsidRDefault="007E384D" w:rsidP="0093389F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Start a countdown for the 10 calendar day approval window.  The </w:t>
      </w:r>
      <w:r w:rsidR="00B50BF9" w:rsidRPr="002543B1">
        <w:rPr>
          <w:rFonts w:ascii="Times New Roman" w:hAnsi="Times New Roman" w:cs="Times New Roman"/>
        </w:rPr>
        <w:t>modification request</w:t>
      </w:r>
      <w:r w:rsidR="00F13CEF" w:rsidRPr="002543B1">
        <w:rPr>
          <w:rFonts w:ascii="Times New Roman" w:hAnsi="Times New Roman" w:cs="Times New Roman"/>
        </w:rPr>
        <w:t>’s</w:t>
      </w:r>
      <w:r w:rsidRPr="002543B1">
        <w:rPr>
          <w:rFonts w:ascii="Times New Roman" w:hAnsi="Times New Roman" w:cs="Times New Roman"/>
        </w:rPr>
        <w:t xml:space="preserve"> approval window length is adjustable by the EIR administrator.  </w:t>
      </w:r>
    </w:p>
    <w:p w14:paraId="2FDB5D24" w14:textId="632B030B" w:rsidR="00687FC2" w:rsidRPr="002543B1" w:rsidRDefault="00687FC2" w:rsidP="00737EC5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 xml:space="preserve">User </w:t>
      </w:r>
      <w:r w:rsidR="00C02E57" w:rsidRPr="002543B1">
        <w:rPr>
          <w:sz w:val="22"/>
          <w:szCs w:val="22"/>
        </w:rPr>
        <w:t>Approval A</w:t>
      </w:r>
      <w:r w:rsidRPr="002543B1">
        <w:rPr>
          <w:sz w:val="22"/>
          <w:szCs w:val="22"/>
        </w:rPr>
        <w:t>ction</w:t>
      </w:r>
      <w:r w:rsidR="002543B1">
        <w:rPr>
          <w:sz w:val="22"/>
          <w:szCs w:val="22"/>
        </w:rPr>
        <w:t>:</w:t>
      </w:r>
    </w:p>
    <w:p w14:paraId="1B2C8F08" w14:textId="3E63E46D" w:rsidR="007E384D" w:rsidRPr="002543B1" w:rsidRDefault="00F13CEF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The </w:t>
      </w:r>
      <w:r w:rsidR="00F465C1" w:rsidRPr="002543B1">
        <w:rPr>
          <w:rFonts w:ascii="Times New Roman" w:hAnsi="Times New Roman" w:cs="Times New Roman"/>
        </w:rPr>
        <w:t>RC and the T</w:t>
      </w:r>
      <w:r w:rsidRPr="002543B1">
        <w:rPr>
          <w:rFonts w:ascii="Times New Roman" w:hAnsi="Times New Roman" w:cs="Times New Roman"/>
        </w:rPr>
        <w:t xml:space="preserve">ransmission </w:t>
      </w:r>
      <w:r w:rsidR="00F465C1" w:rsidRPr="002543B1">
        <w:rPr>
          <w:rFonts w:ascii="Times New Roman" w:hAnsi="Times New Roman" w:cs="Times New Roman"/>
        </w:rPr>
        <w:t>S</w:t>
      </w:r>
      <w:r w:rsidRPr="002543B1">
        <w:rPr>
          <w:rFonts w:ascii="Times New Roman" w:hAnsi="Times New Roman" w:cs="Times New Roman"/>
        </w:rPr>
        <w:t xml:space="preserve">ervice </w:t>
      </w:r>
      <w:r w:rsidR="00F465C1" w:rsidRPr="002543B1">
        <w:rPr>
          <w:rFonts w:ascii="Times New Roman" w:hAnsi="Times New Roman" w:cs="Times New Roman"/>
        </w:rPr>
        <w:t>P</w:t>
      </w:r>
      <w:r w:rsidRPr="002543B1">
        <w:rPr>
          <w:rFonts w:ascii="Times New Roman" w:hAnsi="Times New Roman" w:cs="Times New Roman"/>
        </w:rPr>
        <w:t>rovider</w:t>
      </w:r>
      <w:r w:rsidR="00A54B23" w:rsidRPr="002543B1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 xml:space="preserve">associated with the modified transmission contract number (approval entity) </w:t>
      </w:r>
      <w:r w:rsidR="007E384D" w:rsidRPr="002543B1">
        <w:rPr>
          <w:rFonts w:ascii="Times New Roman" w:hAnsi="Times New Roman" w:cs="Times New Roman"/>
        </w:rPr>
        <w:t>approves or denies the</w:t>
      </w:r>
      <w:r w:rsidRPr="002543B1">
        <w:rPr>
          <w:rFonts w:ascii="Times New Roman" w:hAnsi="Times New Roman" w:cs="Times New Roman"/>
        </w:rPr>
        <w:t xml:space="preserve"> modification request.</w:t>
      </w:r>
    </w:p>
    <w:p w14:paraId="1777DE2E" w14:textId="5D5036BA" w:rsidR="007E384D" w:rsidRPr="002543B1" w:rsidRDefault="007E384D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The approval entit</w:t>
      </w:r>
      <w:r w:rsidR="00F13CEF" w:rsidRPr="002543B1">
        <w:rPr>
          <w:rFonts w:ascii="Times New Roman" w:hAnsi="Times New Roman" w:cs="Times New Roman"/>
        </w:rPr>
        <w:t>y</w:t>
      </w:r>
      <w:r w:rsidRPr="002543B1">
        <w:rPr>
          <w:rFonts w:ascii="Times New Roman" w:hAnsi="Times New Roman" w:cs="Times New Roman"/>
        </w:rPr>
        <w:t>’</w:t>
      </w:r>
      <w:r w:rsidR="00F13CEF" w:rsidRPr="002543B1">
        <w:rPr>
          <w:rFonts w:ascii="Times New Roman" w:hAnsi="Times New Roman" w:cs="Times New Roman"/>
        </w:rPr>
        <w:t>s</w:t>
      </w:r>
      <w:r w:rsidRPr="002543B1">
        <w:rPr>
          <w:rFonts w:ascii="Times New Roman" w:hAnsi="Times New Roman" w:cs="Times New Roman"/>
        </w:rPr>
        <w:t xml:space="preserve"> administrator(s) shall access Pending Approvals in the EIR interface. </w:t>
      </w:r>
    </w:p>
    <w:p w14:paraId="6C934DFF" w14:textId="3201576A" w:rsidR="007E384D" w:rsidRPr="002543B1" w:rsidRDefault="00F13CEF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The</w:t>
      </w:r>
      <w:r w:rsidR="007E384D" w:rsidRPr="002543B1">
        <w:rPr>
          <w:rFonts w:ascii="Times New Roman" w:hAnsi="Times New Roman" w:cs="Times New Roman"/>
        </w:rPr>
        <w:t xml:space="preserve"> approval entity can view </w:t>
      </w:r>
      <w:r w:rsidRPr="002543B1">
        <w:rPr>
          <w:rFonts w:ascii="Times New Roman" w:hAnsi="Times New Roman" w:cs="Times New Roman"/>
        </w:rPr>
        <w:t>modification request</w:t>
      </w:r>
      <w:r w:rsidR="007E384D" w:rsidRPr="002543B1">
        <w:rPr>
          <w:rFonts w:ascii="Times New Roman" w:hAnsi="Times New Roman" w:cs="Times New Roman"/>
        </w:rPr>
        <w:t xml:space="preserve">’s information.  </w:t>
      </w:r>
    </w:p>
    <w:p w14:paraId="6A240DD2" w14:textId="003BEF1C" w:rsidR="007E384D" w:rsidRPr="002543B1" w:rsidRDefault="00F13CEF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The</w:t>
      </w:r>
      <w:r w:rsidR="007E384D" w:rsidRPr="002543B1">
        <w:rPr>
          <w:rFonts w:ascii="Times New Roman" w:hAnsi="Times New Roman" w:cs="Times New Roman"/>
        </w:rPr>
        <w:t xml:space="preserve"> approval entity can either approve or deny the</w:t>
      </w:r>
      <w:r w:rsidR="008555A6" w:rsidRPr="002543B1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request for modification</w:t>
      </w:r>
      <w:r w:rsidR="007E384D" w:rsidRPr="002543B1">
        <w:rPr>
          <w:rFonts w:ascii="Times New Roman" w:hAnsi="Times New Roman" w:cs="Times New Roman"/>
        </w:rPr>
        <w:t>.</w:t>
      </w:r>
    </w:p>
    <w:p w14:paraId="04331792" w14:textId="77777777" w:rsidR="007E384D" w:rsidRPr="002543B1" w:rsidRDefault="007E384D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The approval entity must supply a comment with their response if they deny the requests.  </w:t>
      </w:r>
    </w:p>
    <w:p w14:paraId="371BED31" w14:textId="193EFCFF" w:rsidR="007E384D" w:rsidRPr="002543B1" w:rsidRDefault="007E384D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The registering entity (submitter) will receive notifications of </w:t>
      </w:r>
      <w:r w:rsidR="008555A6" w:rsidRPr="002543B1">
        <w:rPr>
          <w:rFonts w:ascii="Times New Roman" w:hAnsi="Times New Roman" w:cs="Times New Roman"/>
        </w:rPr>
        <w:t>the</w:t>
      </w:r>
      <w:r w:rsidRPr="002543B1">
        <w:rPr>
          <w:rFonts w:ascii="Times New Roman" w:hAnsi="Times New Roman" w:cs="Times New Roman"/>
        </w:rPr>
        <w:t xml:space="preserve"> approval entity’s approval/denial response and will be able to access the approval entity comments.  </w:t>
      </w:r>
    </w:p>
    <w:p w14:paraId="456750A2" w14:textId="2B0E710E" w:rsidR="007E384D" w:rsidRPr="002543B1" w:rsidRDefault="008555A6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The a</w:t>
      </w:r>
      <w:r w:rsidR="007E384D" w:rsidRPr="002543B1">
        <w:rPr>
          <w:rFonts w:ascii="Times New Roman" w:hAnsi="Times New Roman" w:cs="Times New Roman"/>
        </w:rPr>
        <w:t>pproval entit</w:t>
      </w:r>
      <w:r w:rsidRPr="002543B1">
        <w:rPr>
          <w:rFonts w:ascii="Times New Roman" w:hAnsi="Times New Roman" w:cs="Times New Roman"/>
        </w:rPr>
        <w:t>y</w:t>
      </w:r>
      <w:r w:rsidR="007E384D" w:rsidRPr="002543B1">
        <w:rPr>
          <w:rFonts w:ascii="Times New Roman" w:hAnsi="Times New Roman" w:cs="Times New Roman"/>
        </w:rPr>
        <w:t xml:space="preserve"> can change their approvals/denials at any time during the approval window.</w:t>
      </w:r>
    </w:p>
    <w:p w14:paraId="1F27DD57" w14:textId="77777777" w:rsidR="007E384D" w:rsidRPr="002543B1" w:rsidRDefault="007E384D" w:rsidP="007E384D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>EIR Processing of Approval information:</w:t>
      </w:r>
    </w:p>
    <w:p w14:paraId="5FF0351D" w14:textId="74168A98" w:rsidR="007E384D" w:rsidRPr="002543B1" w:rsidRDefault="007E384D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Once </w:t>
      </w:r>
      <w:r w:rsidR="00C15BA7" w:rsidRPr="002543B1">
        <w:rPr>
          <w:rFonts w:ascii="Times New Roman" w:hAnsi="Times New Roman" w:cs="Times New Roman"/>
        </w:rPr>
        <w:t>the</w:t>
      </w:r>
      <w:r w:rsidRPr="002543B1">
        <w:rPr>
          <w:rFonts w:ascii="Times New Roman" w:hAnsi="Times New Roman" w:cs="Times New Roman"/>
        </w:rPr>
        <w:t xml:space="preserve"> approval</w:t>
      </w:r>
      <w:r w:rsidR="00C15BA7" w:rsidRPr="002543B1">
        <w:rPr>
          <w:rFonts w:ascii="Times New Roman" w:hAnsi="Times New Roman" w:cs="Times New Roman"/>
        </w:rPr>
        <w:t xml:space="preserve"> entit</w:t>
      </w:r>
      <w:r w:rsidR="00A54B23" w:rsidRPr="002543B1">
        <w:rPr>
          <w:rFonts w:ascii="Times New Roman" w:hAnsi="Times New Roman" w:cs="Times New Roman"/>
        </w:rPr>
        <w:t>ies</w:t>
      </w:r>
      <w:r w:rsidRPr="002543B1">
        <w:rPr>
          <w:rFonts w:ascii="Times New Roman" w:hAnsi="Times New Roman" w:cs="Times New Roman"/>
        </w:rPr>
        <w:t xml:space="preserve"> ha</w:t>
      </w:r>
      <w:r w:rsidR="00A54B23" w:rsidRPr="002543B1">
        <w:rPr>
          <w:rFonts w:ascii="Times New Roman" w:hAnsi="Times New Roman" w:cs="Times New Roman"/>
        </w:rPr>
        <w:t>ve</w:t>
      </w:r>
      <w:r w:rsidRPr="002543B1">
        <w:rPr>
          <w:rFonts w:ascii="Times New Roman" w:hAnsi="Times New Roman" w:cs="Times New Roman"/>
        </w:rPr>
        <w:t xml:space="preserve"> responded with an approval, the</w:t>
      </w:r>
      <w:r w:rsidR="00C15BA7" w:rsidRPr="002543B1">
        <w:rPr>
          <w:rFonts w:ascii="Times New Roman" w:hAnsi="Times New Roman" w:cs="Times New Roman"/>
        </w:rPr>
        <w:t xml:space="preserve"> modification request</w:t>
      </w:r>
      <w:r w:rsidRPr="002543B1">
        <w:rPr>
          <w:rFonts w:ascii="Times New Roman" w:hAnsi="Times New Roman" w:cs="Times New Roman"/>
        </w:rPr>
        <w:t xml:space="preserve"> status will be set to</w:t>
      </w:r>
      <w:r w:rsidRPr="002543B1" w:rsidDel="00B83527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Approved, and the approval window will be closed.</w:t>
      </w:r>
    </w:p>
    <w:p w14:paraId="1D328D9A" w14:textId="7F3ED742" w:rsidR="007E384D" w:rsidRPr="002543B1" w:rsidRDefault="007E384D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The </w:t>
      </w:r>
      <w:r w:rsidR="00C15BA7" w:rsidRPr="002543B1">
        <w:rPr>
          <w:rFonts w:ascii="Times New Roman" w:hAnsi="Times New Roman" w:cs="Times New Roman"/>
        </w:rPr>
        <w:t xml:space="preserve">modification request </w:t>
      </w:r>
      <w:r w:rsidRPr="002543B1">
        <w:rPr>
          <w:rFonts w:ascii="Times New Roman" w:hAnsi="Times New Roman" w:cs="Times New Roman"/>
        </w:rPr>
        <w:t xml:space="preserve">status will be set to Denied at the end of the approval window, if </w:t>
      </w:r>
      <w:r w:rsidR="00A54B23" w:rsidRPr="002543B1">
        <w:rPr>
          <w:rFonts w:ascii="Times New Roman" w:hAnsi="Times New Roman" w:cs="Times New Roman"/>
        </w:rPr>
        <w:t>any</w:t>
      </w:r>
      <w:r w:rsidR="00C15BA7" w:rsidRPr="002543B1">
        <w:rPr>
          <w:rFonts w:ascii="Times New Roman" w:hAnsi="Times New Roman" w:cs="Times New Roman"/>
        </w:rPr>
        <w:t xml:space="preserve"> </w:t>
      </w:r>
      <w:r w:rsidRPr="002543B1">
        <w:rPr>
          <w:rFonts w:ascii="Times New Roman" w:hAnsi="Times New Roman" w:cs="Times New Roman"/>
        </w:rPr>
        <w:t>approval entity has either failed to respond or has set the</w:t>
      </w:r>
      <w:r w:rsidR="00C15BA7" w:rsidRPr="002543B1">
        <w:rPr>
          <w:rFonts w:ascii="Times New Roman" w:hAnsi="Times New Roman" w:cs="Times New Roman"/>
        </w:rPr>
        <w:t>ir</w:t>
      </w:r>
      <w:r w:rsidRPr="002543B1">
        <w:rPr>
          <w:rFonts w:ascii="Times New Roman" w:hAnsi="Times New Roman" w:cs="Times New Roman"/>
        </w:rPr>
        <w:t xml:space="preserve"> </w:t>
      </w:r>
      <w:r w:rsidR="00C15BA7" w:rsidRPr="002543B1">
        <w:rPr>
          <w:rFonts w:ascii="Times New Roman" w:hAnsi="Times New Roman" w:cs="Times New Roman"/>
        </w:rPr>
        <w:t xml:space="preserve">modification request response </w:t>
      </w:r>
      <w:r w:rsidRPr="002543B1">
        <w:rPr>
          <w:rFonts w:ascii="Times New Roman" w:hAnsi="Times New Roman" w:cs="Times New Roman"/>
        </w:rPr>
        <w:t>to Denied.</w:t>
      </w:r>
    </w:p>
    <w:p w14:paraId="376F0E49" w14:textId="77777777" w:rsidR="007E384D" w:rsidRPr="002543B1" w:rsidRDefault="007E384D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A notification will be sent to all involved that the pseudo-tie will be included in the next regularly scheduled EIR publication.</w:t>
      </w:r>
    </w:p>
    <w:p w14:paraId="0316B4D2" w14:textId="19238534" w:rsidR="0093389F" w:rsidRPr="002543B1" w:rsidRDefault="0093389F" w:rsidP="007E384D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Final approval will retain historical record, however only an Approved record with the most recent effective date within the applicable timespan will be active</w:t>
      </w:r>
    </w:p>
    <w:p w14:paraId="50320CBD" w14:textId="77777777" w:rsidR="00FA498C" w:rsidRPr="002543B1" w:rsidRDefault="00FA498C" w:rsidP="001E1FAE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>The request, effective, and start dates shall follow the existing EIR date process.</w:t>
      </w:r>
    </w:p>
    <w:p w14:paraId="73966A3D" w14:textId="77777777" w:rsidR="00737EC5" w:rsidRPr="002543B1" w:rsidRDefault="00737EC5" w:rsidP="001E1FAE">
      <w:pPr>
        <w:spacing w:after="120" w:line="240" w:lineRule="auto"/>
        <w:rPr>
          <w:sz w:val="22"/>
          <w:szCs w:val="22"/>
          <w:u w:val="single"/>
        </w:rPr>
      </w:pPr>
      <w:r w:rsidRPr="002543B1">
        <w:rPr>
          <w:sz w:val="22"/>
          <w:szCs w:val="22"/>
          <w:u w:val="single"/>
        </w:rPr>
        <w:t>Termination of Pse</w:t>
      </w:r>
      <w:r w:rsidR="00337A25" w:rsidRPr="002543B1">
        <w:rPr>
          <w:sz w:val="22"/>
          <w:szCs w:val="22"/>
          <w:u w:val="single"/>
        </w:rPr>
        <w:t>u</w:t>
      </w:r>
      <w:r w:rsidRPr="002543B1">
        <w:rPr>
          <w:sz w:val="22"/>
          <w:szCs w:val="22"/>
          <w:u w:val="single"/>
        </w:rPr>
        <w:t>do-Tie</w:t>
      </w:r>
    </w:p>
    <w:p w14:paraId="1D29E2EF" w14:textId="207C7C7C" w:rsidR="00B37E25" w:rsidRPr="002543B1" w:rsidRDefault="001E1FAE" w:rsidP="00300CB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Approved </w:t>
      </w:r>
      <w:r w:rsidR="00B37E25" w:rsidRPr="002543B1">
        <w:rPr>
          <w:rFonts w:ascii="Times New Roman" w:hAnsi="Times New Roman" w:cs="Times New Roman"/>
        </w:rPr>
        <w:t>pseudo</w:t>
      </w:r>
      <w:r w:rsidRPr="002543B1">
        <w:rPr>
          <w:rFonts w:ascii="Times New Roman" w:hAnsi="Times New Roman" w:cs="Times New Roman"/>
        </w:rPr>
        <w:t xml:space="preserve">-tie objects can be terminated </w:t>
      </w:r>
      <w:r w:rsidR="001B3F16" w:rsidRPr="002543B1">
        <w:rPr>
          <w:rFonts w:ascii="Times New Roman" w:hAnsi="Times New Roman" w:cs="Times New Roman"/>
        </w:rPr>
        <w:t xml:space="preserve">by any approving </w:t>
      </w:r>
      <w:r w:rsidR="00750ECD" w:rsidRPr="002543B1">
        <w:rPr>
          <w:rFonts w:ascii="Times New Roman" w:hAnsi="Times New Roman" w:cs="Times New Roman"/>
        </w:rPr>
        <w:t>entity</w:t>
      </w:r>
      <w:r w:rsidR="001B3F16" w:rsidRPr="002543B1">
        <w:rPr>
          <w:rFonts w:ascii="Times New Roman" w:hAnsi="Times New Roman" w:cs="Times New Roman"/>
        </w:rPr>
        <w:t xml:space="preserve"> on the pseudo-tie which submits a termination request.</w:t>
      </w:r>
      <w:r w:rsidR="003A72C8" w:rsidRPr="002543B1">
        <w:rPr>
          <w:rFonts w:ascii="Times New Roman" w:hAnsi="Times New Roman" w:cs="Times New Roman"/>
        </w:rPr>
        <w:t xml:space="preserve"> </w:t>
      </w:r>
    </w:p>
    <w:p w14:paraId="6AF3A93D" w14:textId="6DC02670" w:rsidR="00C34A61" w:rsidRPr="002543B1" w:rsidRDefault="00B37E25" w:rsidP="00C34A6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Terminations</w:t>
      </w:r>
      <w:r w:rsidR="00300CB6" w:rsidRPr="002543B1">
        <w:rPr>
          <w:rFonts w:ascii="Times New Roman" w:hAnsi="Times New Roman" w:cs="Times New Roman"/>
        </w:rPr>
        <w:t xml:space="preserve"> require </w:t>
      </w:r>
      <w:r w:rsidR="001E1FAE" w:rsidRPr="002543B1">
        <w:rPr>
          <w:rFonts w:ascii="Times New Roman" w:hAnsi="Times New Roman" w:cs="Times New Roman"/>
        </w:rPr>
        <w:t xml:space="preserve">at least </w:t>
      </w:r>
      <w:r w:rsidR="000C5BA0" w:rsidRPr="002543B1">
        <w:rPr>
          <w:rFonts w:ascii="Times New Roman" w:hAnsi="Times New Roman" w:cs="Times New Roman"/>
        </w:rPr>
        <w:t>7 calendar days of</w:t>
      </w:r>
      <w:r w:rsidR="001E1FAE" w:rsidRPr="002543B1">
        <w:rPr>
          <w:rFonts w:ascii="Times New Roman" w:hAnsi="Times New Roman" w:cs="Times New Roman"/>
        </w:rPr>
        <w:t xml:space="preserve"> lead time</w:t>
      </w:r>
      <w:r w:rsidR="000C5BA0" w:rsidRPr="002543B1">
        <w:rPr>
          <w:rFonts w:ascii="Times New Roman" w:hAnsi="Times New Roman" w:cs="Times New Roman"/>
        </w:rPr>
        <w:t>, excluding the publication schedule</w:t>
      </w:r>
      <w:r w:rsidR="00FA498C" w:rsidRPr="002543B1">
        <w:rPr>
          <w:rFonts w:ascii="Times New Roman" w:hAnsi="Times New Roman" w:cs="Times New Roman"/>
        </w:rPr>
        <w:t>.</w:t>
      </w:r>
      <w:r w:rsidR="001E1FAE" w:rsidRPr="002543B1">
        <w:rPr>
          <w:rFonts w:ascii="Times New Roman" w:hAnsi="Times New Roman" w:cs="Times New Roman"/>
        </w:rPr>
        <w:t xml:space="preserve">  </w:t>
      </w:r>
    </w:p>
    <w:p w14:paraId="20B06EC4" w14:textId="77777777" w:rsidR="00C34A61" w:rsidRPr="002543B1" w:rsidRDefault="00C34A61" w:rsidP="00300CB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The effective date shall not occur in the past and will represent the date the object is terminated regardless of when approval is received during the approval window.</w:t>
      </w:r>
    </w:p>
    <w:p w14:paraId="2B96145F" w14:textId="07A360DD" w:rsidR="00EB15CC" w:rsidRPr="002543B1" w:rsidRDefault="001E1FAE" w:rsidP="00F465C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The EIR will notify all approval entities of the pending termination and require </w:t>
      </w:r>
      <w:r w:rsidR="000C5BA0" w:rsidRPr="002543B1">
        <w:rPr>
          <w:rFonts w:ascii="Times New Roman" w:hAnsi="Times New Roman" w:cs="Times New Roman"/>
        </w:rPr>
        <w:t>approval</w:t>
      </w:r>
      <w:r w:rsidRPr="002543B1">
        <w:rPr>
          <w:rFonts w:ascii="Times New Roman" w:hAnsi="Times New Roman" w:cs="Times New Roman"/>
        </w:rPr>
        <w:t xml:space="preserve">  </w:t>
      </w:r>
      <w:r w:rsidR="00EB15CC" w:rsidRPr="002543B1">
        <w:rPr>
          <w:rFonts w:ascii="Times New Roman" w:hAnsi="Times New Roman" w:cs="Times New Roman"/>
        </w:rPr>
        <w:t xml:space="preserve"> </w:t>
      </w:r>
    </w:p>
    <w:p w14:paraId="379838B5" w14:textId="6ABEDD0C" w:rsidR="00750ECD" w:rsidRPr="002543B1" w:rsidRDefault="003A5715" w:rsidP="00F465C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If an</w:t>
      </w:r>
      <w:r w:rsidR="0093389F" w:rsidRPr="002543B1">
        <w:rPr>
          <w:rFonts w:ascii="Times New Roman" w:hAnsi="Times New Roman" w:cs="Times New Roman"/>
        </w:rPr>
        <w:t>y</w:t>
      </w:r>
      <w:r w:rsidRPr="002543B1">
        <w:rPr>
          <w:rFonts w:ascii="Times New Roman" w:hAnsi="Times New Roman" w:cs="Times New Roman"/>
        </w:rPr>
        <w:t xml:space="preserve"> approval entity </w:t>
      </w:r>
      <w:r w:rsidR="0093389F" w:rsidRPr="002543B1">
        <w:rPr>
          <w:rFonts w:ascii="Times New Roman" w:hAnsi="Times New Roman" w:cs="Times New Roman"/>
        </w:rPr>
        <w:t xml:space="preserve">associated with the pseudo-tie object termination request </w:t>
      </w:r>
      <w:r w:rsidRPr="002543B1">
        <w:rPr>
          <w:rFonts w:ascii="Times New Roman" w:hAnsi="Times New Roman" w:cs="Times New Roman"/>
        </w:rPr>
        <w:t xml:space="preserve">fails to respond in the 7 days window, </w:t>
      </w:r>
      <w:r w:rsidR="0093389F" w:rsidRPr="002543B1">
        <w:rPr>
          <w:rFonts w:ascii="Times New Roman" w:hAnsi="Times New Roman" w:cs="Times New Roman"/>
        </w:rPr>
        <w:t>it will be treated as a passive approval.</w:t>
      </w:r>
    </w:p>
    <w:p w14:paraId="72D33946" w14:textId="74D80F5B" w:rsidR="00300CB6" w:rsidRPr="002543B1" w:rsidRDefault="00842C00" w:rsidP="00300CB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 xml:space="preserve">The entity requesting the termination may withdraw the pending termination any time during </w:t>
      </w:r>
      <w:r w:rsidR="001E1FAE" w:rsidRPr="002543B1">
        <w:rPr>
          <w:rFonts w:ascii="Times New Roman" w:hAnsi="Times New Roman" w:cs="Times New Roman"/>
        </w:rPr>
        <w:t xml:space="preserve">the </w:t>
      </w:r>
      <w:r w:rsidR="000C5BA0" w:rsidRPr="002543B1">
        <w:rPr>
          <w:rFonts w:ascii="Times New Roman" w:hAnsi="Times New Roman" w:cs="Times New Roman"/>
        </w:rPr>
        <w:t>7 calendar day lead time</w:t>
      </w:r>
      <w:r w:rsidR="001E1FAE" w:rsidRPr="002543B1">
        <w:rPr>
          <w:rFonts w:ascii="Times New Roman" w:hAnsi="Times New Roman" w:cs="Times New Roman"/>
        </w:rPr>
        <w:t xml:space="preserve">.  </w:t>
      </w:r>
    </w:p>
    <w:p w14:paraId="2C491E8E" w14:textId="77777777" w:rsidR="00D54B43" w:rsidRPr="002543B1" w:rsidRDefault="001E1FAE" w:rsidP="00300CB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Cancellation of the pending termination will be communicated to all approval entities.</w:t>
      </w:r>
    </w:p>
    <w:p w14:paraId="0C25E543" w14:textId="77777777" w:rsidR="003A5715" w:rsidRPr="002543B1" w:rsidRDefault="003A5715" w:rsidP="00300CB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The pseudo-tie object termination request status will be set to Denied at the end of the approval window</w:t>
      </w:r>
      <w:r w:rsidR="004F607F" w:rsidRPr="002543B1">
        <w:rPr>
          <w:rFonts w:ascii="Times New Roman" w:hAnsi="Times New Roman" w:cs="Times New Roman"/>
        </w:rPr>
        <w:t xml:space="preserve"> if any approval entity</w:t>
      </w:r>
      <w:r w:rsidRPr="002543B1">
        <w:rPr>
          <w:rFonts w:ascii="Times New Roman" w:hAnsi="Times New Roman" w:cs="Times New Roman"/>
        </w:rPr>
        <w:t xml:space="preserve"> has set the pseudo-tie object to Denied.</w:t>
      </w:r>
    </w:p>
    <w:p w14:paraId="350B115E" w14:textId="77777777" w:rsidR="002543B1" w:rsidRDefault="002543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123C51" w14:textId="45E6745E" w:rsidR="0065659C" w:rsidRPr="00B56588" w:rsidRDefault="0065659C" w:rsidP="00B56588">
      <w:pPr>
        <w:pStyle w:val="ListParagraph"/>
        <w:numPr>
          <w:ilvl w:val="0"/>
          <w:numId w:val="14"/>
        </w:numPr>
        <w:spacing w:after="120" w:line="240" w:lineRule="auto"/>
        <w:rPr>
          <w:b/>
        </w:rPr>
      </w:pPr>
      <w:r w:rsidRPr="00B56588">
        <w:rPr>
          <w:b/>
        </w:rPr>
        <w:lastRenderedPageBreak/>
        <w:t>Registration</w:t>
      </w:r>
      <w:r w:rsidR="00322ACB" w:rsidRPr="00B56588">
        <w:rPr>
          <w:b/>
        </w:rPr>
        <w:t xml:space="preserve"> Data</w:t>
      </w:r>
      <w:r w:rsidRPr="00B56588">
        <w:rPr>
          <w:b/>
        </w:rPr>
        <w:t>:</w:t>
      </w:r>
    </w:p>
    <w:p w14:paraId="23A0AC45" w14:textId="5711F817" w:rsidR="00BA207D" w:rsidRPr="002543B1" w:rsidRDefault="00BA207D" w:rsidP="00B56588">
      <w:pPr>
        <w:spacing w:after="120" w:line="240" w:lineRule="auto"/>
        <w:rPr>
          <w:sz w:val="22"/>
          <w:szCs w:val="22"/>
        </w:rPr>
      </w:pPr>
      <w:r w:rsidRPr="002543B1">
        <w:rPr>
          <w:sz w:val="22"/>
          <w:szCs w:val="22"/>
        </w:rPr>
        <w:t>All information, where possible, should be available via drop-downs</w:t>
      </w:r>
      <w:r w:rsidR="00CA3374" w:rsidRPr="002543B1">
        <w:rPr>
          <w:sz w:val="22"/>
          <w:szCs w:val="22"/>
        </w:rPr>
        <w:t xml:space="preserve"> sourced from </w:t>
      </w:r>
      <w:r w:rsidR="003A72C8" w:rsidRPr="002543B1">
        <w:rPr>
          <w:sz w:val="22"/>
          <w:szCs w:val="22"/>
        </w:rPr>
        <w:t>other EIR objects</w:t>
      </w:r>
      <w:r w:rsidRPr="002543B1">
        <w:rPr>
          <w:sz w:val="22"/>
          <w:szCs w:val="22"/>
        </w:rPr>
        <w:t>.</w:t>
      </w:r>
    </w:p>
    <w:p w14:paraId="65FD996C" w14:textId="77777777" w:rsidR="00322ACB" w:rsidRPr="00B56588" w:rsidRDefault="00322ACB" w:rsidP="002543B1">
      <w:pPr>
        <w:spacing w:after="120" w:line="240" w:lineRule="auto"/>
        <w:rPr>
          <w:sz w:val="22"/>
          <w:szCs w:val="22"/>
          <w:u w:val="single"/>
        </w:rPr>
      </w:pPr>
      <w:r w:rsidRPr="00B56588">
        <w:rPr>
          <w:sz w:val="22"/>
          <w:szCs w:val="22"/>
          <w:u w:val="single"/>
        </w:rPr>
        <w:t xml:space="preserve">Required </w:t>
      </w:r>
      <w:r w:rsidR="00BA207D" w:rsidRPr="00B56588">
        <w:rPr>
          <w:sz w:val="22"/>
          <w:szCs w:val="22"/>
          <w:u w:val="single"/>
        </w:rPr>
        <w:t xml:space="preserve">General </w:t>
      </w:r>
      <w:r w:rsidRPr="00B56588">
        <w:rPr>
          <w:sz w:val="22"/>
          <w:szCs w:val="22"/>
          <w:u w:val="single"/>
        </w:rPr>
        <w:t>Information:</w:t>
      </w:r>
    </w:p>
    <w:p w14:paraId="55F8D459" w14:textId="659FF986" w:rsidR="00060B21" w:rsidRPr="002543B1" w:rsidRDefault="00060B21" w:rsidP="00F465C1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Start Date</w:t>
      </w:r>
    </w:p>
    <w:p w14:paraId="45348097" w14:textId="744DE02C" w:rsidR="00060B21" w:rsidRPr="002543B1" w:rsidRDefault="00060B21" w:rsidP="00F465C1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Stop Date</w:t>
      </w:r>
    </w:p>
    <w:p w14:paraId="6A9DDE2F" w14:textId="55A6E845" w:rsidR="00060B21" w:rsidRPr="002543B1" w:rsidRDefault="00060B21" w:rsidP="00F465C1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Checkbox indicating if pseudo-tie is new or existing.</w:t>
      </w:r>
    </w:p>
    <w:p w14:paraId="0B69522F" w14:textId="77777777" w:rsidR="00060B21" w:rsidRPr="002543B1" w:rsidRDefault="00060B21" w:rsidP="00060B21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All Reliability Coordinators (RCs) through which the pseudo-tie will flow based upon the BAs in the pseudo-tie object</w:t>
      </w:r>
    </w:p>
    <w:p w14:paraId="79824107" w14:textId="6C4CF865" w:rsidR="00060B21" w:rsidRPr="00B56588" w:rsidRDefault="00060B21" w:rsidP="00060B21">
      <w:pPr>
        <w:spacing w:after="120" w:line="240" w:lineRule="auto"/>
        <w:rPr>
          <w:sz w:val="22"/>
          <w:szCs w:val="22"/>
          <w:u w:val="single"/>
        </w:rPr>
      </w:pPr>
      <w:r w:rsidRPr="00B56588">
        <w:rPr>
          <w:sz w:val="22"/>
          <w:szCs w:val="22"/>
          <w:u w:val="single"/>
        </w:rPr>
        <w:t>Required Physical Path Information</w:t>
      </w:r>
    </w:p>
    <w:p w14:paraId="718A42BE" w14:textId="08C4DB5A" w:rsidR="001E1FAE" w:rsidRPr="002543B1" w:rsidRDefault="001E1FAE" w:rsidP="002543B1">
      <w:pPr>
        <w:pStyle w:val="ListParagraph"/>
        <w:ind w:left="0"/>
        <w:rPr>
          <w:rFonts w:ascii="Times New Roman" w:hAnsi="Times New Roman" w:cs="Times New Roman"/>
        </w:rPr>
      </w:pPr>
      <w:r w:rsidRPr="002543B1">
        <w:rPr>
          <w:rFonts w:ascii="Times New Roman" w:hAnsi="Times New Roman" w:cs="Times New Roman"/>
        </w:rPr>
        <w:t>For the purposes of registration, not all physical segment information is needed.  Below is the recommended required information</w:t>
      </w:r>
      <w:r w:rsidR="0065659C" w:rsidRPr="002543B1">
        <w:rPr>
          <w:rFonts w:ascii="Times New Roman" w:hAnsi="Times New Roman" w:cs="Times New Roman"/>
        </w:rPr>
        <w:t xml:space="preserve"> association with the physical segments</w:t>
      </w:r>
      <w:r w:rsidRPr="002543B1">
        <w:rPr>
          <w:rFonts w:ascii="Times New Roman" w:hAnsi="Times New Roman" w:cs="Times New Roman"/>
        </w:rPr>
        <w:t>:</w:t>
      </w: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3438"/>
        <w:gridCol w:w="5418"/>
      </w:tblGrid>
      <w:tr w:rsidR="001E1FAE" w:rsidRPr="00E218B5" w14:paraId="60AB201C" w14:textId="77777777" w:rsidTr="00B56588">
        <w:tc>
          <w:tcPr>
            <w:tcW w:w="3438" w:type="dxa"/>
            <w:vAlign w:val="bottom"/>
          </w:tcPr>
          <w:p w14:paraId="602F5481" w14:textId="77777777" w:rsidR="001E1FAE" w:rsidRPr="00E218B5" w:rsidRDefault="001E1FAE" w:rsidP="00B56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8B5">
              <w:rPr>
                <w:rFonts w:ascii="Times New Roman" w:hAnsi="Times New Roman" w:cs="Times New Roman"/>
                <w:b/>
              </w:rPr>
              <w:t>Segment</w:t>
            </w:r>
          </w:p>
        </w:tc>
        <w:tc>
          <w:tcPr>
            <w:tcW w:w="5418" w:type="dxa"/>
            <w:vAlign w:val="bottom"/>
          </w:tcPr>
          <w:p w14:paraId="12C9BED8" w14:textId="77777777" w:rsidR="001E1FAE" w:rsidRPr="00E218B5" w:rsidRDefault="001E1FAE" w:rsidP="00B56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8B5">
              <w:rPr>
                <w:rFonts w:ascii="Times New Roman" w:hAnsi="Times New Roman" w:cs="Times New Roman"/>
                <w:b/>
              </w:rPr>
              <w:t>Registration Information</w:t>
            </w:r>
          </w:p>
        </w:tc>
      </w:tr>
      <w:tr w:rsidR="001E1FAE" w:rsidRPr="00E218B5" w14:paraId="5C60EC7D" w14:textId="77777777" w:rsidTr="00B56588">
        <w:tc>
          <w:tcPr>
            <w:tcW w:w="3438" w:type="dxa"/>
          </w:tcPr>
          <w:p w14:paraId="1FFBC27E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Generation (only 1 segment)</w:t>
            </w:r>
          </w:p>
        </w:tc>
        <w:tc>
          <w:tcPr>
            <w:tcW w:w="5418" w:type="dxa"/>
          </w:tcPr>
          <w:p w14:paraId="186119F7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Source BA</w:t>
            </w:r>
          </w:p>
          <w:p w14:paraId="602DE96D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Source Point</w:t>
            </w:r>
          </w:p>
        </w:tc>
      </w:tr>
      <w:tr w:rsidR="001E1FAE" w:rsidRPr="00E218B5" w14:paraId="319B03F7" w14:textId="77777777" w:rsidTr="00B56588">
        <w:tc>
          <w:tcPr>
            <w:tcW w:w="3438" w:type="dxa"/>
          </w:tcPr>
          <w:p w14:paraId="0D5D54D9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Transmission (at least 1 segment)</w:t>
            </w:r>
          </w:p>
        </w:tc>
        <w:tc>
          <w:tcPr>
            <w:tcW w:w="5418" w:type="dxa"/>
          </w:tcPr>
          <w:p w14:paraId="508CCFB7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For each segment:</w:t>
            </w:r>
          </w:p>
          <w:p w14:paraId="450972E0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POR</w:t>
            </w:r>
          </w:p>
          <w:p w14:paraId="1688DB96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POD</w:t>
            </w:r>
          </w:p>
          <w:p w14:paraId="1B5CC5AA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Transmission Service Provider</w:t>
            </w:r>
          </w:p>
          <w:p w14:paraId="5117B8C3" w14:textId="0B4B1202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 xml:space="preserve">Contract Reference Number (e.g., OASIS </w:t>
            </w:r>
            <w:r w:rsidR="00BB0941">
              <w:rPr>
                <w:rFonts w:ascii="Times New Roman" w:hAnsi="Times New Roman" w:cs="Times New Roman"/>
              </w:rPr>
              <w:t>AREF</w:t>
            </w:r>
            <w:r w:rsidRPr="00E218B5">
              <w:rPr>
                <w:rFonts w:ascii="Times New Roman" w:hAnsi="Times New Roman" w:cs="Times New Roman"/>
              </w:rPr>
              <w:t>, etc.)</w:t>
            </w:r>
          </w:p>
          <w:p w14:paraId="1617FEEA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Scheduling Entity (e.g., BA in which the POR-POD reside.)</w:t>
            </w:r>
          </w:p>
        </w:tc>
      </w:tr>
      <w:tr w:rsidR="001E1FAE" w:rsidRPr="00E218B5" w14:paraId="6DF690D4" w14:textId="77777777" w:rsidTr="00B56588">
        <w:tc>
          <w:tcPr>
            <w:tcW w:w="3438" w:type="dxa"/>
          </w:tcPr>
          <w:p w14:paraId="22F3F3F9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Load (only 1 segment)</w:t>
            </w:r>
          </w:p>
        </w:tc>
        <w:tc>
          <w:tcPr>
            <w:tcW w:w="5418" w:type="dxa"/>
          </w:tcPr>
          <w:p w14:paraId="03E357C0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Sink BA</w:t>
            </w:r>
          </w:p>
          <w:p w14:paraId="43AA0E62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Sink Point</w:t>
            </w:r>
          </w:p>
        </w:tc>
      </w:tr>
    </w:tbl>
    <w:p w14:paraId="6ADA80FD" w14:textId="77777777" w:rsidR="00322ACB" w:rsidRPr="00B56588" w:rsidRDefault="00BA207D" w:rsidP="00B56588">
      <w:pPr>
        <w:spacing w:before="120" w:after="120" w:line="240" w:lineRule="auto"/>
        <w:rPr>
          <w:sz w:val="22"/>
          <w:szCs w:val="22"/>
          <w:u w:val="single"/>
        </w:rPr>
      </w:pPr>
      <w:r w:rsidRPr="00B56588">
        <w:rPr>
          <w:sz w:val="22"/>
          <w:szCs w:val="22"/>
          <w:u w:val="single"/>
        </w:rPr>
        <w:t>Optional Information</w:t>
      </w:r>
      <w:r w:rsidR="00322ACB" w:rsidRPr="00B56588">
        <w:rPr>
          <w:sz w:val="22"/>
          <w:szCs w:val="22"/>
          <w:u w:val="single"/>
        </w:rPr>
        <w:t>:</w:t>
      </w:r>
    </w:p>
    <w:p w14:paraId="41354E0A" w14:textId="77777777" w:rsidR="001E1FAE" w:rsidRPr="00E218B5" w:rsidRDefault="00BA207D" w:rsidP="00BA207D">
      <w:pPr>
        <w:pStyle w:val="ListParagraph"/>
        <w:numPr>
          <w:ilvl w:val="0"/>
          <w:numId w:val="4"/>
        </w:numPr>
        <w:spacing w:after="120" w:line="240" w:lineRule="auto"/>
        <w:ind w:left="1080"/>
        <w:rPr>
          <w:rFonts w:ascii="Times New Roman" w:hAnsi="Times New Roman" w:cs="Times New Roman"/>
        </w:rPr>
      </w:pPr>
      <w:r w:rsidRPr="00E218B5">
        <w:rPr>
          <w:rFonts w:ascii="Times New Roman" w:hAnsi="Times New Roman" w:cs="Times New Roman"/>
        </w:rPr>
        <w:t>C</w:t>
      </w:r>
      <w:r w:rsidR="001E1FAE" w:rsidRPr="00E218B5">
        <w:rPr>
          <w:rFonts w:ascii="Times New Roman" w:hAnsi="Times New Roman" w:cs="Times New Roman"/>
        </w:rPr>
        <w:t>omment field.</w:t>
      </w:r>
    </w:p>
    <w:p w14:paraId="4E88B750" w14:textId="77777777" w:rsidR="0065659C" w:rsidRPr="00B56588" w:rsidRDefault="0065659C" w:rsidP="001E1FAE">
      <w:pPr>
        <w:spacing w:after="120" w:line="240" w:lineRule="auto"/>
        <w:rPr>
          <w:sz w:val="22"/>
          <w:szCs w:val="22"/>
          <w:u w:val="single"/>
        </w:rPr>
      </w:pPr>
      <w:r w:rsidRPr="00B56588">
        <w:rPr>
          <w:sz w:val="22"/>
          <w:szCs w:val="22"/>
          <w:u w:val="single"/>
        </w:rPr>
        <w:t>Required Approvals:</w:t>
      </w:r>
    </w:p>
    <w:p w14:paraId="6DED4BFB" w14:textId="77777777" w:rsidR="001E1FAE" w:rsidRPr="00E218B5" w:rsidRDefault="001E1FAE" w:rsidP="001E1FAE">
      <w:pPr>
        <w:spacing w:after="120" w:line="240" w:lineRule="auto"/>
        <w:rPr>
          <w:sz w:val="22"/>
          <w:szCs w:val="22"/>
        </w:rPr>
      </w:pPr>
      <w:r w:rsidRPr="00E218B5">
        <w:rPr>
          <w:sz w:val="22"/>
          <w:szCs w:val="22"/>
        </w:rPr>
        <w:t xml:space="preserve">Below is the list of </w:t>
      </w:r>
      <w:r w:rsidR="00737EC5" w:rsidRPr="00E218B5">
        <w:rPr>
          <w:sz w:val="22"/>
          <w:szCs w:val="22"/>
        </w:rPr>
        <w:t>entities that are</w:t>
      </w:r>
      <w:r w:rsidRPr="00E218B5">
        <w:rPr>
          <w:sz w:val="22"/>
          <w:szCs w:val="22"/>
        </w:rPr>
        <w:t xml:space="preserve"> required to approve the registration:</w:t>
      </w: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3438"/>
        <w:gridCol w:w="5418"/>
      </w:tblGrid>
      <w:tr w:rsidR="001E1FAE" w:rsidRPr="00E218B5" w14:paraId="34A76CF7" w14:textId="77777777" w:rsidTr="00B56588">
        <w:tc>
          <w:tcPr>
            <w:tcW w:w="3438" w:type="dxa"/>
            <w:vAlign w:val="bottom"/>
          </w:tcPr>
          <w:p w14:paraId="4388C6CF" w14:textId="77777777" w:rsidR="001E1FAE" w:rsidRPr="00E218B5" w:rsidRDefault="001E1FAE" w:rsidP="00B56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8B5">
              <w:rPr>
                <w:rFonts w:ascii="Times New Roman" w:hAnsi="Times New Roman" w:cs="Times New Roman"/>
                <w:b/>
              </w:rPr>
              <w:t>Segment</w:t>
            </w:r>
          </w:p>
        </w:tc>
        <w:tc>
          <w:tcPr>
            <w:tcW w:w="5418" w:type="dxa"/>
            <w:vAlign w:val="bottom"/>
          </w:tcPr>
          <w:p w14:paraId="713FB8F4" w14:textId="77777777" w:rsidR="001E1FAE" w:rsidRPr="00E218B5" w:rsidRDefault="001E1FAE" w:rsidP="00B56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8B5">
              <w:rPr>
                <w:rFonts w:ascii="Times New Roman" w:hAnsi="Times New Roman" w:cs="Times New Roman"/>
                <w:b/>
              </w:rPr>
              <w:t>Required Approver</w:t>
            </w:r>
          </w:p>
        </w:tc>
      </w:tr>
      <w:tr w:rsidR="001E1FAE" w:rsidRPr="00E218B5" w14:paraId="3256B4BE" w14:textId="77777777" w:rsidTr="00B56588">
        <w:tc>
          <w:tcPr>
            <w:tcW w:w="3438" w:type="dxa"/>
          </w:tcPr>
          <w:p w14:paraId="160C112E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Generation (only 1 segment)</w:t>
            </w:r>
          </w:p>
        </w:tc>
        <w:tc>
          <w:tcPr>
            <w:tcW w:w="5418" w:type="dxa"/>
          </w:tcPr>
          <w:p w14:paraId="67FBD631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Source BA</w:t>
            </w:r>
          </w:p>
          <w:p w14:paraId="435516C1" w14:textId="18055C2A" w:rsidR="001E1FAE" w:rsidRPr="00E218B5" w:rsidRDefault="001E1FAE" w:rsidP="0000197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PSE</w:t>
            </w:r>
            <w:r w:rsidR="0000197D">
              <w:rPr>
                <w:rFonts w:ascii="Times New Roman" w:hAnsi="Times New Roman" w:cs="Times New Roman"/>
              </w:rPr>
              <w:t xml:space="preserve"> associated</w:t>
            </w:r>
            <w:r w:rsidR="0000197D" w:rsidRPr="00E218B5">
              <w:rPr>
                <w:rFonts w:ascii="Times New Roman" w:hAnsi="Times New Roman" w:cs="Times New Roman"/>
              </w:rPr>
              <w:t xml:space="preserve"> </w:t>
            </w:r>
            <w:r w:rsidRPr="00E218B5">
              <w:rPr>
                <w:rFonts w:ascii="Times New Roman" w:hAnsi="Times New Roman" w:cs="Times New Roman"/>
              </w:rPr>
              <w:t>the Source Point</w:t>
            </w:r>
          </w:p>
        </w:tc>
      </w:tr>
      <w:tr w:rsidR="001E1FAE" w:rsidRPr="00E218B5" w14:paraId="38F6AD12" w14:textId="77777777" w:rsidTr="00B56588">
        <w:tc>
          <w:tcPr>
            <w:tcW w:w="3438" w:type="dxa"/>
          </w:tcPr>
          <w:p w14:paraId="4360B391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Transmission (at least 1 segment)</w:t>
            </w:r>
          </w:p>
        </w:tc>
        <w:tc>
          <w:tcPr>
            <w:tcW w:w="5418" w:type="dxa"/>
          </w:tcPr>
          <w:p w14:paraId="6FD593A5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 xml:space="preserve">Each Transmission Service Provider identified with a  POR-POD segment </w:t>
            </w:r>
          </w:p>
          <w:p w14:paraId="6F8E1634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Each Scheduling Entity that is not the Source or Sink BA</w:t>
            </w:r>
          </w:p>
        </w:tc>
      </w:tr>
      <w:tr w:rsidR="001E1FAE" w:rsidRPr="00E218B5" w14:paraId="3008CF7E" w14:textId="77777777" w:rsidTr="00B56588">
        <w:tc>
          <w:tcPr>
            <w:tcW w:w="3438" w:type="dxa"/>
          </w:tcPr>
          <w:p w14:paraId="6A5A5FD5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Load (only 1 segment)</w:t>
            </w:r>
          </w:p>
        </w:tc>
        <w:tc>
          <w:tcPr>
            <w:tcW w:w="5418" w:type="dxa"/>
          </w:tcPr>
          <w:p w14:paraId="281B557B" w14:textId="77777777" w:rsidR="001E1FAE" w:rsidRPr="00E218B5" w:rsidRDefault="001E1FAE" w:rsidP="001E1FA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Sink BA</w:t>
            </w:r>
          </w:p>
          <w:p w14:paraId="3BAB2720" w14:textId="3A45E48D" w:rsidR="001E1FAE" w:rsidRPr="00E218B5" w:rsidRDefault="001E1FAE" w:rsidP="0000197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 xml:space="preserve">PSE </w:t>
            </w:r>
            <w:r w:rsidR="0000197D">
              <w:rPr>
                <w:rFonts w:ascii="Times New Roman" w:hAnsi="Times New Roman" w:cs="Times New Roman"/>
              </w:rPr>
              <w:t>associated</w:t>
            </w:r>
            <w:r w:rsidR="0000197D" w:rsidRPr="00E218B5" w:rsidDel="0000197D">
              <w:rPr>
                <w:rFonts w:ascii="Times New Roman" w:hAnsi="Times New Roman" w:cs="Times New Roman"/>
              </w:rPr>
              <w:t xml:space="preserve"> </w:t>
            </w:r>
            <w:r w:rsidR="0000197D">
              <w:rPr>
                <w:rFonts w:ascii="Times New Roman" w:hAnsi="Times New Roman" w:cs="Times New Roman"/>
              </w:rPr>
              <w:t xml:space="preserve">with </w:t>
            </w:r>
            <w:r w:rsidRPr="00E218B5">
              <w:rPr>
                <w:rFonts w:ascii="Times New Roman" w:hAnsi="Times New Roman" w:cs="Times New Roman"/>
              </w:rPr>
              <w:t>the Sink Point</w:t>
            </w:r>
          </w:p>
        </w:tc>
      </w:tr>
      <w:tr w:rsidR="001E1FAE" w:rsidRPr="00E218B5" w14:paraId="646B3349" w14:textId="77777777" w:rsidTr="00B56588">
        <w:tc>
          <w:tcPr>
            <w:tcW w:w="3438" w:type="dxa"/>
          </w:tcPr>
          <w:p w14:paraId="5D0CD895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418" w:type="dxa"/>
          </w:tcPr>
          <w:p w14:paraId="50DDB4BA" w14:textId="77777777" w:rsidR="001E1FAE" w:rsidRPr="00E218B5" w:rsidRDefault="001E1FAE" w:rsidP="0065659C">
            <w:pPr>
              <w:spacing w:after="120"/>
              <w:rPr>
                <w:rFonts w:ascii="Times New Roman" w:hAnsi="Times New Roman" w:cs="Times New Roman"/>
              </w:rPr>
            </w:pPr>
            <w:r w:rsidRPr="00E218B5">
              <w:rPr>
                <w:rFonts w:ascii="Times New Roman" w:hAnsi="Times New Roman" w:cs="Times New Roman"/>
              </w:rPr>
              <w:t>Each RC that is associated with any BA or Transmission Service Provider listed above</w:t>
            </w:r>
          </w:p>
        </w:tc>
      </w:tr>
    </w:tbl>
    <w:p w14:paraId="7F9B710D" w14:textId="77777777" w:rsidR="001E1FAE" w:rsidRPr="00E218B5" w:rsidRDefault="0000197D" w:rsidP="001E1FAE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ab/>
        <w:t>*Entities that request registration are automatically approved upon submission of the request</w:t>
      </w:r>
    </w:p>
    <w:p w14:paraId="094CF164" w14:textId="77777777" w:rsidR="0065659C" w:rsidRPr="00E218B5" w:rsidRDefault="0065659C" w:rsidP="001E1FAE">
      <w:pPr>
        <w:spacing w:after="120" w:line="240" w:lineRule="auto"/>
        <w:rPr>
          <w:sz w:val="22"/>
          <w:szCs w:val="22"/>
        </w:rPr>
      </w:pPr>
    </w:p>
    <w:p w14:paraId="67D551EE" w14:textId="77777777" w:rsidR="00D54B43" w:rsidRPr="00B56588" w:rsidRDefault="00D54B43" w:rsidP="00B56588">
      <w:pPr>
        <w:pStyle w:val="ListParagraph"/>
        <w:numPr>
          <w:ilvl w:val="0"/>
          <w:numId w:val="14"/>
        </w:numPr>
        <w:rPr>
          <w:b/>
        </w:rPr>
      </w:pPr>
      <w:r w:rsidRPr="00B56588">
        <w:rPr>
          <w:b/>
        </w:rPr>
        <w:lastRenderedPageBreak/>
        <w:t>Testing Requirements</w:t>
      </w:r>
    </w:p>
    <w:p w14:paraId="7DB51809" w14:textId="77777777" w:rsidR="00206FE3" w:rsidRDefault="00206FE3" w:rsidP="00D54B43">
      <w:pPr>
        <w:rPr>
          <w:sz w:val="22"/>
          <w:szCs w:val="22"/>
        </w:rPr>
      </w:pPr>
      <w:r>
        <w:rPr>
          <w:sz w:val="22"/>
          <w:szCs w:val="22"/>
        </w:rPr>
        <w:t>Industry volunteers will create, approve, deny, modify, and terminate pseudo-tie objects in a test environment with the EIR administrator prior to implementation in a production environment.  Variances will be documented, corrected, and retested prior to implementation in a production environment.</w:t>
      </w:r>
    </w:p>
    <w:p w14:paraId="276805C9" w14:textId="79199C41" w:rsidR="00D54B43" w:rsidRPr="00E218B5" w:rsidRDefault="00206FE3" w:rsidP="00D54B43">
      <w:pPr>
        <w:rPr>
          <w:sz w:val="22"/>
          <w:szCs w:val="22"/>
        </w:rPr>
      </w:pPr>
      <w:r>
        <w:rPr>
          <w:sz w:val="22"/>
          <w:szCs w:val="22"/>
        </w:rPr>
        <w:t xml:space="preserve">While traditional </w:t>
      </w:r>
      <w:r w:rsidR="00C35304" w:rsidRPr="00E218B5">
        <w:rPr>
          <w:sz w:val="22"/>
          <w:szCs w:val="22"/>
        </w:rPr>
        <w:t>interoperability testing</w:t>
      </w:r>
      <w:r>
        <w:rPr>
          <w:sz w:val="22"/>
          <w:szCs w:val="22"/>
        </w:rPr>
        <w:t xml:space="preserve"> (e.g., e-Tag related interoperability testing, etc.)</w:t>
      </w:r>
      <w:r w:rsidR="00C35304" w:rsidRPr="00E218B5">
        <w:rPr>
          <w:sz w:val="22"/>
          <w:szCs w:val="22"/>
        </w:rPr>
        <w:t xml:space="preserve"> will </w:t>
      </w:r>
      <w:r>
        <w:rPr>
          <w:sz w:val="22"/>
          <w:szCs w:val="22"/>
        </w:rPr>
        <w:t xml:space="preserve">not </w:t>
      </w:r>
      <w:r w:rsidR="00C35304" w:rsidRPr="00E218B5">
        <w:rPr>
          <w:sz w:val="22"/>
          <w:szCs w:val="22"/>
        </w:rPr>
        <w:t>be needed</w:t>
      </w:r>
      <w:r>
        <w:rPr>
          <w:sz w:val="22"/>
          <w:szCs w:val="22"/>
        </w:rPr>
        <w:t xml:space="preserve">, </w:t>
      </w:r>
      <w:r w:rsidR="00772FDE">
        <w:rPr>
          <w:sz w:val="22"/>
          <w:szCs w:val="22"/>
        </w:rPr>
        <w:t>schema and supporting documentation will be available 30 days prior to implementation in a production environment</w:t>
      </w:r>
      <w:r w:rsidR="00C35304" w:rsidRPr="00E218B5">
        <w:rPr>
          <w:sz w:val="22"/>
          <w:szCs w:val="22"/>
        </w:rPr>
        <w:t>.</w:t>
      </w:r>
      <w:r w:rsidR="00772FDE">
        <w:rPr>
          <w:sz w:val="22"/>
          <w:szCs w:val="22"/>
        </w:rPr>
        <w:t xml:space="preserve">  In addition, test publications will also be available 30 days prior to implementation in a production environment.</w:t>
      </w:r>
    </w:p>
    <w:p w14:paraId="5CB2B4E1" w14:textId="77777777" w:rsidR="00D54B43" w:rsidRPr="00B56588" w:rsidRDefault="00D54B43" w:rsidP="00B56588">
      <w:pPr>
        <w:pStyle w:val="ListParagraph"/>
        <w:numPr>
          <w:ilvl w:val="0"/>
          <w:numId w:val="14"/>
        </w:numPr>
        <w:rPr>
          <w:b/>
        </w:rPr>
      </w:pPr>
      <w:r w:rsidRPr="00B56588">
        <w:rPr>
          <w:b/>
        </w:rPr>
        <w:t>Specific Benefits to Industry/Entity/Segment</w:t>
      </w:r>
    </w:p>
    <w:p w14:paraId="4ED1F2CE" w14:textId="74593538" w:rsidR="00C35304" w:rsidRPr="00E218B5" w:rsidRDefault="00C35304" w:rsidP="00C35304">
      <w:pPr>
        <w:tabs>
          <w:tab w:val="left" w:pos="5654"/>
        </w:tabs>
        <w:rPr>
          <w:sz w:val="22"/>
          <w:szCs w:val="22"/>
        </w:rPr>
      </w:pPr>
      <w:r w:rsidRPr="00E218B5">
        <w:rPr>
          <w:sz w:val="22"/>
          <w:szCs w:val="22"/>
        </w:rPr>
        <w:t xml:space="preserve">Registration of Pseudo-Ties will improve awareness among RCs, BAs, and TSPs, allow Balancing </w:t>
      </w:r>
      <w:r w:rsidRPr="00772FDE">
        <w:rPr>
          <w:sz w:val="22"/>
          <w:szCs w:val="22"/>
        </w:rPr>
        <w:t xml:space="preserve">Authorities to comply with the NERC </w:t>
      </w:r>
      <w:r w:rsidR="00772FDE">
        <w:rPr>
          <w:bCs/>
          <w:sz w:val="22"/>
          <w:szCs w:val="22"/>
        </w:rPr>
        <w:t xml:space="preserve">Standard INT-004-3 - </w:t>
      </w:r>
      <w:r w:rsidR="00772FDE" w:rsidRPr="00772FDE">
        <w:rPr>
          <w:bCs/>
          <w:sz w:val="22"/>
          <w:szCs w:val="22"/>
        </w:rPr>
        <w:t>Dynamic Transfers</w:t>
      </w:r>
      <w:r w:rsidR="00772FDE">
        <w:rPr>
          <w:bCs/>
          <w:sz w:val="22"/>
          <w:szCs w:val="22"/>
        </w:rPr>
        <w:t>, R3</w:t>
      </w:r>
      <w:r w:rsidRPr="00772FDE">
        <w:rPr>
          <w:sz w:val="22"/>
          <w:szCs w:val="22"/>
        </w:rPr>
        <w:t>, support</w:t>
      </w:r>
      <w:r w:rsidRPr="00E218B5">
        <w:rPr>
          <w:sz w:val="22"/>
          <w:szCs w:val="22"/>
        </w:rPr>
        <w:t xml:space="preserve"> congestion management, and provide more efficient e-Tag creation for </w:t>
      </w:r>
      <w:r w:rsidR="00772FDE">
        <w:rPr>
          <w:sz w:val="22"/>
          <w:szCs w:val="22"/>
        </w:rPr>
        <w:t>p</w:t>
      </w:r>
      <w:r w:rsidR="00772FDE" w:rsidRPr="00E218B5">
        <w:rPr>
          <w:sz w:val="22"/>
          <w:szCs w:val="22"/>
        </w:rPr>
        <w:t>seudo</w:t>
      </w:r>
      <w:r w:rsidRPr="00E218B5">
        <w:rPr>
          <w:sz w:val="22"/>
          <w:szCs w:val="22"/>
        </w:rPr>
        <w:t>-ties.</w:t>
      </w:r>
    </w:p>
    <w:p w14:paraId="675CA538" w14:textId="77777777" w:rsidR="00C35304" w:rsidRPr="00E218B5" w:rsidRDefault="00C35304" w:rsidP="00D54B43">
      <w:pPr>
        <w:rPr>
          <w:sz w:val="22"/>
          <w:szCs w:val="22"/>
        </w:rPr>
      </w:pPr>
    </w:p>
    <w:sectPr w:rsidR="00C35304" w:rsidRPr="00E218B5" w:rsidSect="009B6C3B">
      <w:headerReference w:type="default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7968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A20D4" w14:textId="77777777" w:rsidR="00BF4857" w:rsidRDefault="00BF4857" w:rsidP="009B6C3B">
      <w:pPr>
        <w:spacing w:after="0" w:line="240" w:lineRule="auto"/>
      </w:pPr>
      <w:r>
        <w:separator/>
      </w:r>
    </w:p>
  </w:endnote>
  <w:endnote w:type="continuationSeparator" w:id="0">
    <w:p w14:paraId="7DCDFD9B" w14:textId="77777777" w:rsidR="00BF4857" w:rsidRDefault="00BF4857" w:rsidP="009B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634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FE27C8" w14:textId="61AB826F" w:rsidR="00B56588" w:rsidRDefault="00B565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0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0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F7011B" w14:textId="77777777" w:rsidR="00B56588" w:rsidRDefault="00B56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4B7E" w14:textId="77777777" w:rsidR="00BF4857" w:rsidRDefault="00BF4857" w:rsidP="009B6C3B">
      <w:pPr>
        <w:spacing w:after="0" w:line="240" w:lineRule="auto"/>
      </w:pPr>
      <w:r>
        <w:separator/>
      </w:r>
    </w:p>
  </w:footnote>
  <w:footnote w:type="continuationSeparator" w:id="0">
    <w:p w14:paraId="7D37B8DC" w14:textId="77777777" w:rsidR="00BF4857" w:rsidRDefault="00BF4857" w:rsidP="009B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270A" w14:textId="77777777" w:rsidR="002543B1" w:rsidRDefault="002543B1" w:rsidP="009B6C3B">
    <w:pPr>
      <w:jc w:val="center"/>
    </w:pPr>
    <w:r>
      <w:t>EIR Enhancement Request ER13001 Work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B4"/>
    <w:multiLevelType w:val="hybridMultilevel"/>
    <w:tmpl w:val="071A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E1D"/>
    <w:multiLevelType w:val="hybridMultilevel"/>
    <w:tmpl w:val="FA54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4A3F"/>
    <w:multiLevelType w:val="hybridMultilevel"/>
    <w:tmpl w:val="2CF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1BC5"/>
    <w:multiLevelType w:val="hybridMultilevel"/>
    <w:tmpl w:val="39B2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61F8D"/>
    <w:multiLevelType w:val="hybridMultilevel"/>
    <w:tmpl w:val="1A8C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26F8"/>
    <w:multiLevelType w:val="hybridMultilevel"/>
    <w:tmpl w:val="7D7680F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241B9"/>
    <w:multiLevelType w:val="hybridMultilevel"/>
    <w:tmpl w:val="1C6C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D64D1"/>
    <w:multiLevelType w:val="hybridMultilevel"/>
    <w:tmpl w:val="019E64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A6808"/>
    <w:multiLevelType w:val="hybridMultilevel"/>
    <w:tmpl w:val="71649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A10C8"/>
    <w:multiLevelType w:val="hybridMultilevel"/>
    <w:tmpl w:val="E994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9318C"/>
    <w:multiLevelType w:val="hybridMultilevel"/>
    <w:tmpl w:val="1090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F5F38"/>
    <w:multiLevelType w:val="hybridMultilevel"/>
    <w:tmpl w:val="6C9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248A9"/>
    <w:multiLevelType w:val="hybridMultilevel"/>
    <w:tmpl w:val="716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1AA1"/>
    <w:multiLevelType w:val="hybridMultilevel"/>
    <w:tmpl w:val="4D96ED66"/>
    <w:lvl w:ilvl="0" w:tplc="839EAFF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02440D"/>
    <w:multiLevelType w:val="hybridMultilevel"/>
    <w:tmpl w:val="F52A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ua Phillips">
    <w15:presenceInfo w15:providerId="Windows Live" w15:userId="cd54361c92ac6a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43"/>
    <w:rsid w:val="0000197D"/>
    <w:rsid w:val="00032495"/>
    <w:rsid w:val="00060B21"/>
    <w:rsid w:val="000C5BA0"/>
    <w:rsid w:val="000E5702"/>
    <w:rsid w:val="00151E81"/>
    <w:rsid w:val="001B3F16"/>
    <w:rsid w:val="001D4A85"/>
    <w:rsid w:val="001E1FAE"/>
    <w:rsid w:val="001E6100"/>
    <w:rsid w:val="00206FE3"/>
    <w:rsid w:val="002543B1"/>
    <w:rsid w:val="002653A9"/>
    <w:rsid w:val="002D3173"/>
    <w:rsid w:val="002E07F7"/>
    <w:rsid w:val="00300CB6"/>
    <w:rsid w:val="00322ACB"/>
    <w:rsid w:val="00323786"/>
    <w:rsid w:val="00337A25"/>
    <w:rsid w:val="003A5715"/>
    <w:rsid w:val="003A72C8"/>
    <w:rsid w:val="003B0B5F"/>
    <w:rsid w:val="003D43DE"/>
    <w:rsid w:val="003E2DAF"/>
    <w:rsid w:val="004A6039"/>
    <w:rsid w:val="004F607F"/>
    <w:rsid w:val="00555E1E"/>
    <w:rsid w:val="00594EF3"/>
    <w:rsid w:val="005F2EE5"/>
    <w:rsid w:val="0064406C"/>
    <w:rsid w:val="0065659C"/>
    <w:rsid w:val="00687FC2"/>
    <w:rsid w:val="006A10F9"/>
    <w:rsid w:val="006F65A4"/>
    <w:rsid w:val="00737EC5"/>
    <w:rsid w:val="00750ECD"/>
    <w:rsid w:val="00751E88"/>
    <w:rsid w:val="00772FDE"/>
    <w:rsid w:val="00791A88"/>
    <w:rsid w:val="007E384D"/>
    <w:rsid w:val="008266E1"/>
    <w:rsid w:val="00842C00"/>
    <w:rsid w:val="008555A6"/>
    <w:rsid w:val="008602EC"/>
    <w:rsid w:val="008D4E09"/>
    <w:rsid w:val="009000D2"/>
    <w:rsid w:val="00903DD1"/>
    <w:rsid w:val="009068D3"/>
    <w:rsid w:val="0092495D"/>
    <w:rsid w:val="0093389F"/>
    <w:rsid w:val="00945A78"/>
    <w:rsid w:val="00981F85"/>
    <w:rsid w:val="009B6C3B"/>
    <w:rsid w:val="009D6FD2"/>
    <w:rsid w:val="00A54B23"/>
    <w:rsid w:val="00AA3AE1"/>
    <w:rsid w:val="00AD6085"/>
    <w:rsid w:val="00B37E25"/>
    <w:rsid w:val="00B50BF9"/>
    <w:rsid w:val="00B56588"/>
    <w:rsid w:val="00B83527"/>
    <w:rsid w:val="00BA207D"/>
    <w:rsid w:val="00BA2F7A"/>
    <w:rsid w:val="00BA5AD2"/>
    <w:rsid w:val="00BA7272"/>
    <w:rsid w:val="00BB0941"/>
    <w:rsid w:val="00BD55AE"/>
    <w:rsid w:val="00BF4857"/>
    <w:rsid w:val="00C02E57"/>
    <w:rsid w:val="00C15BA7"/>
    <w:rsid w:val="00C34A61"/>
    <w:rsid w:val="00C35304"/>
    <w:rsid w:val="00C415E7"/>
    <w:rsid w:val="00CA3374"/>
    <w:rsid w:val="00CC1B7A"/>
    <w:rsid w:val="00D13D38"/>
    <w:rsid w:val="00D54B43"/>
    <w:rsid w:val="00D929B8"/>
    <w:rsid w:val="00DA0F03"/>
    <w:rsid w:val="00DF4402"/>
    <w:rsid w:val="00E05176"/>
    <w:rsid w:val="00E218B5"/>
    <w:rsid w:val="00E41408"/>
    <w:rsid w:val="00E504FF"/>
    <w:rsid w:val="00EB15CC"/>
    <w:rsid w:val="00EC20DA"/>
    <w:rsid w:val="00F13CEF"/>
    <w:rsid w:val="00F20A34"/>
    <w:rsid w:val="00F465C1"/>
    <w:rsid w:val="00F7279E"/>
    <w:rsid w:val="00F81817"/>
    <w:rsid w:val="00F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C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FA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FA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0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3B"/>
  </w:style>
  <w:style w:type="paragraph" w:styleId="Footer">
    <w:name w:val="footer"/>
    <w:basedOn w:val="Normal"/>
    <w:link w:val="FooterChar"/>
    <w:uiPriority w:val="99"/>
    <w:unhideWhenUsed/>
    <w:rsid w:val="009B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3B"/>
  </w:style>
  <w:style w:type="paragraph" w:styleId="Revision">
    <w:name w:val="Revision"/>
    <w:hidden/>
    <w:uiPriority w:val="99"/>
    <w:semiHidden/>
    <w:rsid w:val="002D31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FA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FA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0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3B"/>
  </w:style>
  <w:style w:type="paragraph" w:styleId="Footer">
    <w:name w:val="footer"/>
    <w:basedOn w:val="Normal"/>
    <w:link w:val="FooterChar"/>
    <w:uiPriority w:val="99"/>
    <w:unhideWhenUsed/>
    <w:rsid w:val="009B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3B"/>
  </w:style>
  <w:style w:type="paragraph" w:styleId="Revision">
    <w:name w:val="Revision"/>
    <w:hidden/>
    <w:uiPriority w:val="99"/>
    <w:semiHidden/>
    <w:rsid w:val="002D3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FFA9-D9D9-43D7-83E9-FB76C213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naesb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naesb</dc:creator>
  <cp:lastModifiedBy>Caroline Trum</cp:lastModifiedBy>
  <cp:revision>2</cp:revision>
  <dcterms:created xsi:type="dcterms:W3CDTF">2014-08-13T20:31:00Z</dcterms:created>
  <dcterms:modified xsi:type="dcterms:W3CDTF">2014-08-13T20:31:00Z</dcterms:modified>
</cp:coreProperties>
</file>