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340"/>
      </w:tblGrid>
      <w:tr w:rsidR="0047142A" w14:paraId="7E19E460" w14:textId="77777777">
        <w:trPr>
          <w:jc w:val="center"/>
        </w:trPr>
        <w:tc>
          <w:tcPr>
            <w:tcW w:w="0" w:type="auto"/>
            <w:tcBorders>
              <w:top w:val="single" w:sz="8" w:space="0" w:color="DDDDDD"/>
              <w:left w:val="single" w:sz="8" w:space="0" w:color="DDDDDD"/>
              <w:bottom w:val="nil"/>
              <w:right w:val="single" w:sz="8" w:space="0" w:color="DDDDDD"/>
            </w:tcBorders>
            <w:hideMark/>
          </w:tcPr>
          <w:p w14:paraId="7AE353FC" w14:textId="77777777" w:rsidR="0047142A" w:rsidRDefault="0047142A">
            <w:pPr>
              <w:spacing w:line="15" w:lineRule="atLeast"/>
              <w:jc w:val="center"/>
              <w:rPr>
                <w:color w:val="FFFFFF"/>
                <w:sz w:val="2"/>
                <w:szCs w:val="2"/>
              </w:rPr>
            </w:pPr>
            <w:r>
              <w:rPr>
                <w:color w:val="FFFFFF"/>
                <w:sz w:val="2"/>
                <w:szCs w:val="2"/>
              </w:rPr>
              <w:t> </w:t>
            </w:r>
          </w:p>
        </w:tc>
      </w:tr>
      <w:tr w:rsidR="0047142A" w14:paraId="7A67BD60" w14:textId="77777777">
        <w:trPr>
          <w:jc w:val="center"/>
        </w:trPr>
        <w:tc>
          <w:tcPr>
            <w:tcW w:w="0" w:type="auto"/>
            <w:tcBorders>
              <w:top w:val="nil"/>
              <w:left w:val="single" w:sz="8" w:space="0" w:color="DDDDDD"/>
              <w:bottom w:val="nil"/>
              <w:right w:val="single" w:sz="8" w:space="0" w:color="DDDDDD"/>
            </w:tcBorders>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320"/>
            </w:tblGrid>
            <w:tr w:rsidR="0047142A" w14:paraId="426234BC" w14:textId="77777777">
              <w:trPr>
                <w:jc w:val="center"/>
              </w:trPr>
              <w:tc>
                <w:tcPr>
                  <w:tcW w:w="0" w:type="auto"/>
                  <w:tcBorders>
                    <w:top w:val="nil"/>
                    <w:left w:val="nil"/>
                    <w:bottom w:val="single" w:sz="8" w:space="0" w:color="CCCCCC"/>
                    <w:right w:val="nil"/>
                  </w:tcBorders>
                  <w:shd w:val="clear" w:color="auto" w:fill="FFFFFF"/>
                  <w:vAlign w:val="center"/>
                  <w:hideMark/>
                </w:tcPr>
                <w:p w14:paraId="425B4491" w14:textId="77777777" w:rsidR="0047142A" w:rsidRDefault="0047142A">
                  <w:pPr>
                    <w:spacing w:line="300" w:lineRule="atLeast"/>
                    <w:rPr>
                      <w:rFonts w:ascii="Helvetica" w:hAnsi="Helvetica" w:cs="Helvetica"/>
                      <w:b/>
                      <w:bCs/>
                      <w:color w:val="505050"/>
                      <w:sz w:val="30"/>
                      <w:szCs w:val="30"/>
                    </w:rPr>
                  </w:pPr>
                  <w:r>
                    <w:rPr>
                      <w:rFonts w:ascii="Helvetica" w:hAnsi="Helvetica" w:cs="Helvetica"/>
                      <w:b/>
                      <w:noProof/>
                      <w:color w:val="505050"/>
                      <w:sz w:val="30"/>
                      <w:szCs w:val="30"/>
                    </w:rPr>
                    <w:drawing>
                      <wp:inline distT="0" distB="0" distL="0" distR="0" wp14:anchorId="108DDF49" wp14:editId="2DBBA80C">
                        <wp:extent cx="5715000" cy="7620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15000" cy="762000"/>
                                </a:xfrm>
                                <a:prstGeom prst="rect">
                                  <a:avLst/>
                                </a:prstGeom>
                                <a:noFill/>
                                <a:ln>
                                  <a:noFill/>
                                </a:ln>
                              </pic:spPr>
                            </pic:pic>
                          </a:graphicData>
                        </a:graphic>
                      </wp:inline>
                    </w:drawing>
                  </w:r>
                </w:p>
              </w:tc>
            </w:tr>
          </w:tbl>
          <w:p w14:paraId="4C8DE3C4" w14:textId="77777777" w:rsidR="0047142A" w:rsidRDefault="0047142A">
            <w:pPr>
              <w:jc w:val="center"/>
              <w:rPr>
                <w:rFonts w:ascii="Times New Roman" w:eastAsia="Times New Roman" w:hAnsi="Times New Roman" w:cs="Times New Roman"/>
                <w:sz w:val="20"/>
                <w:szCs w:val="20"/>
              </w:rPr>
            </w:pPr>
          </w:p>
        </w:tc>
      </w:tr>
      <w:tr w:rsidR="0047142A" w14:paraId="419E8A64" w14:textId="77777777">
        <w:trPr>
          <w:jc w:val="center"/>
        </w:trPr>
        <w:tc>
          <w:tcPr>
            <w:tcW w:w="0" w:type="auto"/>
            <w:tcBorders>
              <w:top w:val="nil"/>
              <w:left w:val="single" w:sz="8" w:space="0" w:color="DDDDDD"/>
              <w:bottom w:val="nil"/>
              <w:right w:val="single" w:sz="8" w:space="0" w:color="DDDDDD"/>
            </w:tcBorders>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320"/>
            </w:tblGrid>
            <w:tr w:rsidR="0047142A" w14:paraId="1B6B3B7E" w14:textId="77777777">
              <w:trPr>
                <w:jc w:val="center"/>
              </w:trPr>
              <w:tc>
                <w:tcPr>
                  <w:tcW w:w="0" w:type="auto"/>
                  <w:tcBorders>
                    <w:top w:val="single" w:sz="8" w:space="0" w:color="FFFFFF"/>
                    <w:left w:val="nil"/>
                    <w:bottom w:val="nil"/>
                    <w:right w:val="nil"/>
                  </w:tcBorders>
                  <w:shd w:val="clear" w:color="auto" w:fill="FFFFFF"/>
                  <w:tcMar>
                    <w:top w:w="75" w:type="dxa"/>
                    <w:left w:w="300" w:type="dxa"/>
                    <w:bottom w:w="75" w:type="dxa"/>
                    <w:right w:w="300" w:type="dxa"/>
                  </w:tcMar>
                  <w:hideMark/>
                </w:tcPr>
                <w:p w14:paraId="78D910A5" w14:textId="77777777" w:rsidR="0047142A" w:rsidRDefault="0047142A">
                  <w:pPr>
                    <w:pStyle w:val="NormalWeb"/>
                    <w:spacing w:after="165" w:afterAutospacing="0" w:line="315" w:lineRule="atLeast"/>
                    <w:rPr>
                      <w:rFonts w:ascii="Arial" w:hAnsi="Arial" w:cs="Arial"/>
                      <w:color w:val="000000"/>
                      <w:sz w:val="21"/>
                      <w:szCs w:val="21"/>
                    </w:rPr>
                  </w:pPr>
                  <w:r>
                    <w:rPr>
                      <w:rFonts w:ascii="Arial" w:hAnsi="Arial" w:cs="Arial"/>
                      <w:b/>
                      <w:bCs/>
                      <w:color w:val="000000"/>
                      <w:sz w:val="21"/>
                      <w:szCs w:val="21"/>
                    </w:rPr>
                    <w:t>Intended Audience:</w:t>
                  </w:r>
                  <w:r>
                    <w:rPr>
                      <w:rFonts w:ascii="Arial" w:hAnsi="Arial" w:cs="Arial"/>
                      <w:color w:val="000000"/>
                      <w:sz w:val="21"/>
                      <w:szCs w:val="21"/>
                    </w:rPr>
                    <w:t> Information Technology (IT) teams responsible for implementing changes to system security configurations.</w:t>
                  </w:r>
                </w:p>
                <w:p w14:paraId="3A60850D" w14:textId="77777777" w:rsidR="0047142A" w:rsidRDefault="0047142A">
                  <w:pPr>
                    <w:pStyle w:val="NormalWeb"/>
                    <w:spacing w:after="165" w:afterAutospacing="0" w:line="315" w:lineRule="atLeast"/>
                    <w:rPr>
                      <w:rFonts w:ascii="Arial" w:hAnsi="Arial" w:cs="Arial"/>
                      <w:color w:val="000000"/>
                      <w:sz w:val="21"/>
                      <w:szCs w:val="21"/>
                    </w:rPr>
                  </w:pPr>
                  <w:r>
                    <w:rPr>
                      <w:rFonts w:ascii="Arial" w:hAnsi="Arial" w:cs="Arial"/>
                      <w:b/>
                      <w:bCs/>
                      <w:color w:val="000000"/>
                      <w:sz w:val="21"/>
                      <w:szCs w:val="21"/>
                    </w:rPr>
                    <w:t>Actions Requested</w:t>
                  </w:r>
                </w:p>
                <w:p w14:paraId="23DD07FC" w14:textId="77777777" w:rsidR="0047142A" w:rsidRDefault="0047142A" w:rsidP="00EE5931">
                  <w:pPr>
                    <w:numPr>
                      <w:ilvl w:val="0"/>
                      <w:numId w:val="1"/>
                    </w:numPr>
                    <w:spacing w:before="100" w:beforeAutospacing="1" w:after="100" w:afterAutospacing="1" w:line="315" w:lineRule="atLeast"/>
                    <w:rPr>
                      <w:rFonts w:ascii="Arial" w:eastAsia="Times New Roman" w:hAnsi="Arial" w:cs="Arial"/>
                      <w:color w:val="000000"/>
                      <w:sz w:val="21"/>
                      <w:szCs w:val="21"/>
                    </w:rPr>
                  </w:pPr>
                  <w:r>
                    <w:rPr>
                      <w:rFonts w:ascii="Arial" w:eastAsia="Times New Roman" w:hAnsi="Arial" w:cs="Arial"/>
                      <w:color w:val="000000"/>
                      <w:sz w:val="21"/>
                      <w:szCs w:val="21"/>
                    </w:rPr>
                    <w:t>Share this communication internally within your organization with technical contact(s) who manage the configuration of desktops/laptops and server applications that are used to connect to PJM’s applications.</w:t>
                  </w:r>
                </w:p>
                <w:p w14:paraId="7188143A" w14:textId="77777777" w:rsidR="0047142A" w:rsidRDefault="0047142A" w:rsidP="00EE5931">
                  <w:pPr>
                    <w:numPr>
                      <w:ilvl w:val="0"/>
                      <w:numId w:val="1"/>
                    </w:numPr>
                    <w:spacing w:before="100" w:beforeAutospacing="1" w:after="100" w:afterAutospacing="1" w:line="315"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Verify clients (browser or </w:t>
                  </w:r>
                  <w:proofErr w:type="spellStart"/>
                  <w:r>
                    <w:rPr>
                      <w:rFonts w:ascii="Arial" w:eastAsia="Times New Roman" w:hAnsi="Arial" w:cs="Arial"/>
                      <w:color w:val="000000"/>
                      <w:sz w:val="21"/>
                      <w:szCs w:val="21"/>
                    </w:rPr>
                    <w:t>browserless</w:t>
                  </w:r>
                  <w:proofErr w:type="spellEnd"/>
                  <w:r>
                    <w:rPr>
                      <w:rFonts w:ascii="Arial" w:eastAsia="Times New Roman" w:hAnsi="Arial" w:cs="Arial"/>
                      <w:color w:val="000000"/>
                      <w:sz w:val="21"/>
                      <w:szCs w:val="21"/>
                    </w:rPr>
                    <w:t xml:space="preserve">) support TLS 1.3 and Hybrid Key Exchange. </w:t>
                  </w:r>
                </w:p>
                <w:p w14:paraId="0C7CF26E" w14:textId="77777777" w:rsidR="0047142A" w:rsidRDefault="0047142A" w:rsidP="00EE5931">
                  <w:pPr>
                    <w:numPr>
                      <w:ilvl w:val="0"/>
                      <w:numId w:val="1"/>
                    </w:numPr>
                    <w:spacing w:before="100" w:beforeAutospacing="1" w:after="100" w:afterAutospacing="1" w:line="315"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Review the </w:t>
                  </w:r>
                  <w:hyperlink r:id="rId7" w:history="1">
                    <w:r>
                      <w:rPr>
                        <w:rStyle w:val="Hyperlink"/>
                        <w:rFonts w:ascii="Arial" w:eastAsia="Times New Roman" w:hAnsi="Arial" w:cs="Arial"/>
                        <w:sz w:val="21"/>
                        <w:szCs w:val="21"/>
                      </w:rPr>
                      <w:t>TLS 1.3 Transition Guide</w:t>
                    </w:r>
                  </w:hyperlink>
                  <w:r>
                    <w:rPr>
                      <w:rFonts w:ascii="Arial" w:eastAsia="Times New Roman" w:hAnsi="Arial" w:cs="Arial"/>
                      <w:color w:val="000000"/>
                      <w:sz w:val="21"/>
                      <w:szCs w:val="21"/>
                    </w:rPr>
                    <w:t>.</w:t>
                  </w:r>
                </w:p>
                <w:p w14:paraId="306D1518" w14:textId="77777777" w:rsidR="0047142A" w:rsidRDefault="0047142A">
                  <w:pPr>
                    <w:pStyle w:val="NormalWeb"/>
                    <w:spacing w:line="315" w:lineRule="atLeast"/>
                    <w:rPr>
                      <w:rFonts w:ascii="Arial" w:hAnsi="Arial" w:cs="Arial"/>
                      <w:color w:val="000000"/>
                      <w:sz w:val="21"/>
                      <w:szCs w:val="21"/>
                    </w:rPr>
                  </w:pPr>
                  <w:r>
                    <w:rPr>
                      <w:rFonts w:ascii="Arial" w:hAnsi="Arial" w:cs="Arial"/>
                      <w:color w:val="000000"/>
                      <w:sz w:val="21"/>
                      <w:szCs w:val="21"/>
                    </w:rPr>
                    <w:t>TLS is the most widely deployed security protocol that encrypts data transmitted between two endpoints, mostly common when loading websites over HTTPS. Recent advancements in quantum computing indicate that the cryptographic algorithms traditionally used in TLS connections can be easily broken by quantum computers. Such quantum computers may be available to threat actors as early as 2029.</w:t>
                  </w:r>
                </w:p>
                <w:p w14:paraId="63CEF6DC" w14:textId="77777777" w:rsidR="0047142A" w:rsidRDefault="0047142A">
                  <w:pPr>
                    <w:pStyle w:val="NormalWeb"/>
                    <w:spacing w:line="315" w:lineRule="atLeast"/>
                    <w:rPr>
                      <w:rFonts w:ascii="Arial" w:hAnsi="Arial" w:cs="Arial"/>
                      <w:color w:val="000000"/>
                      <w:sz w:val="21"/>
                      <w:szCs w:val="21"/>
                    </w:rPr>
                  </w:pPr>
                  <w:r>
                    <w:rPr>
                      <w:rFonts w:ascii="Arial" w:hAnsi="Arial" w:cs="Arial"/>
                      <w:color w:val="000000"/>
                      <w:sz w:val="21"/>
                      <w:szCs w:val="21"/>
                    </w:rPr>
                    <w:t>To mitigate the quantum computing threat on encryption, PJM will enable TLS 1.3 and Hybrid Key Exchange across all PJM web applications. This transition to Post Quantum Cryptography (PQC) will ensure that stakeholder data remains secure in a post-quantum era.</w:t>
                  </w:r>
                  <w:r>
                    <w:rPr>
                      <w:rFonts w:ascii="Arial" w:hAnsi="Arial" w:cs="Arial"/>
                      <w:color w:val="000000"/>
                      <w:sz w:val="21"/>
                      <w:szCs w:val="21"/>
                    </w:rPr>
                    <w:br/>
                  </w:r>
                  <w:r>
                    <w:rPr>
                      <w:rFonts w:ascii="Arial" w:hAnsi="Arial" w:cs="Arial"/>
                      <w:color w:val="000000"/>
                      <w:sz w:val="21"/>
                      <w:szCs w:val="21"/>
                    </w:rPr>
                    <w:br/>
                  </w:r>
                  <w:r>
                    <w:rPr>
                      <w:rFonts w:ascii="Arial" w:hAnsi="Arial" w:cs="Arial"/>
                      <w:b/>
                      <w:bCs/>
                      <w:color w:val="000000"/>
                      <w:sz w:val="21"/>
                      <w:szCs w:val="21"/>
                    </w:rPr>
                    <w:t>What is the timeline for enabling Post Quantum Cryptography?</w:t>
                  </w:r>
                </w:p>
                <w:p w14:paraId="15E13828" w14:textId="77777777" w:rsidR="0047142A" w:rsidRDefault="0047142A">
                  <w:pPr>
                    <w:pStyle w:val="NormalWeb"/>
                    <w:spacing w:line="315" w:lineRule="atLeast"/>
                    <w:rPr>
                      <w:rFonts w:ascii="Arial" w:hAnsi="Arial" w:cs="Arial"/>
                      <w:color w:val="000000"/>
                      <w:sz w:val="21"/>
                      <w:szCs w:val="21"/>
                    </w:rPr>
                  </w:pPr>
                  <w:r>
                    <w:rPr>
                      <w:rFonts w:ascii="Arial" w:hAnsi="Arial" w:cs="Arial"/>
                      <w:color w:val="000000"/>
                      <w:sz w:val="21"/>
                      <w:szCs w:val="21"/>
                    </w:rPr>
                    <w:t>PJM has prepared the following list of key milestones and dates, subject to stakeholder readiness and technology support:</w:t>
                  </w:r>
                </w:p>
                <w:tbl>
                  <w:tblPr>
                    <w:tblW w:w="8985" w:type="dxa"/>
                    <w:tblCellMar>
                      <w:left w:w="0" w:type="dxa"/>
                      <w:right w:w="0" w:type="dxa"/>
                    </w:tblCellMar>
                    <w:tblLook w:val="04A0" w:firstRow="1" w:lastRow="0" w:firstColumn="1" w:lastColumn="0" w:noHBand="0" w:noVBand="1"/>
                  </w:tblPr>
                  <w:tblGrid>
                    <w:gridCol w:w="7105"/>
                    <w:gridCol w:w="1880"/>
                  </w:tblGrid>
                  <w:tr w:rsidR="0047142A" w14:paraId="23FF9932" w14:textId="77777777">
                    <w:trPr>
                      <w:trHeight w:val="300"/>
                    </w:trPr>
                    <w:tc>
                      <w:tcPr>
                        <w:tcW w:w="5895" w:type="dxa"/>
                        <w:tcBorders>
                          <w:top w:val="single" w:sz="12" w:space="0" w:color="000000"/>
                          <w:left w:val="single" w:sz="12" w:space="0" w:color="000000"/>
                          <w:bottom w:val="single" w:sz="12" w:space="0" w:color="000000"/>
                          <w:right w:val="single" w:sz="12" w:space="0" w:color="000000"/>
                        </w:tcBorders>
                        <w:noWrap/>
                        <w:tcMar>
                          <w:top w:w="0" w:type="dxa"/>
                          <w:left w:w="105" w:type="dxa"/>
                          <w:bottom w:w="0" w:type="dxa"/>
                          <w:right w:w="105" w:type="dxa"/>
                        </w:tcMar>
                        <w:vAlign w:val="center"/>
                        <w:hideMark/>
                      </w:tcPr>
                      <w:p w14:paraId="7C340F06" w14:textId="77777777" w:rsidR="0047142A" w:rsidRDefault="0047142A">
                        <w:pPr>
                          <w:pStyle w:val="NormalWeb"/>
                          <w:jc w:val="center"/>
                        </w:pPr>
                        <w:r>
                          <w:rPr>
                            <w:rFonts w:ascii="Arial" w:hAnsi="Arial" w:cs="Arial"/>
                            <w:b/>
                            <w:bCs/>
                            <w:sz w:val="21"/>
                            <w:szCs w:val="21"/>
                          </w:rPr>
                          <w:t>Milestone</w:t>
                        </w:r>
                      </w:p>
                    </w:tc>
                    <w:tc>
                      <w:tcPr>
                        <w:tcW w:w="1560" w:type="dxa"/>
                        <w:tcBorders>
                          <w:top w:val="single" w:sz="12" w:space="0" w:color="auto"/>
                          <w:left w:val="nil"/>
                          <w:bottom w:val="single" w:sz="12" w:space="0" w:color="auto"/>
                          <w:right w:val="single" w:sz="12" w:space="0" w:color="auto"/>
                        </w:tcBorders>
                        <w:tcMar>
                          <w:top w:w="0" w:type="dxa"/>
                          <w:left w:w="105" w:type="dxa"/>
                          <w:bottom w:w="0" w:type="dxa"/>
                          <w:right w:w="105" w:type="dxa"/>
                        </w:tcMar>
                        <w:vAlign w:val="center"/>
                        <w:hideMark/>
                      </w:tcPr>
                      <w:p w14:paraId="743157BB" w14:textId="77777777" w:rsidR="0047142A" w:rsidRDefault="0047142A">
                        <w:pPr>
                          <w:pStyle w:val="NormalWeb"/>
                          <w:jc w:val="center"/>
                        </w:pPr>
                        <w:r>
                          <w:rPr>
                            <w:rFonts w:ascii="Arial" w:hAnsi="Arial" w:cs="Arial"/>
                            <w:b/>
                            <w:bCs/>
                            <w:sz w:val="21"/>
                            <w:szCs w:val="21"/>
                          </w:rPr>
                          <w:t>Planned Date</w:t>
                        </w:r>
                      </w:p>
                    </w:tc>
                  </w:tr>
                  <w:tr w:rsidR="0047142A" w14:paraId="4494EDAE" w14:textId="77777777">
                    <w:trPr>
                      <w:trHeight w:val="300"/>
                    </w:trPr>
                    <w:tc>
                      <w:tcPr>
                        <w:tcW w:w="5895" w:type="dxa"/>
                        <w:tcBorders>
                          <w:top w:val="nil"/>
                          <w:left w:val="single" w:sz="12" w:space="0" w:color="000000"/>
                          <w:bottom w:val="single" w:sz="12" w:space="0" w:color="000000"/>
                          <w:right w:val="single" w:sz="12" w:space="0" w:color="000000"/>
                        </w:tcBorders>
                        <w:noWrap/>
                        <w:tcMar>
                          <w:top w:w="0" w:type="dxa"/>
                          <w:left w:w="105" w:type="dxa"/>
                          <w:bottom w:w="0" w:type="dxa"/>
                          <w:right w:w="105" w:type="dxa"/>
                        </w:tcMar>
                        <w:hideMark/>
                      </w:tcPr>
                      <w:p w14:paraId="1FA4DB2C" w14:textId="77777777" w:rsidR="0047142A" w:rsidRDefault="0047142A">
                        <w:pPr>
                          <w:pStyle w:val="NormalWeb"/>
                        </w:pPr>
                        <w:r>
                          <w:rPr>
                            <w:rFonts w:ascii="Arial" w:hAnsi="Arial" w:cs="Arial"/>
                            <w:sz w:val="21"/>
                            <w:szCs w:val="21"/>
                          </w:rPr>
                          <w:t>Begin enabling TLS 1.3 + Hybrid Key Exchange on Train applications</w:t>
                        </w:r>
                      </w:p>
                    </w:tc>
                    <w:tc>
                      <w:tcPr>
                        <w:tcW w:w="1560" w:type="dxa"/>
                        <w:tcBorders>
                          <w:top w:val="nil"/>
                          <w:left w:val="nil"/>
                          <w:bottom w:val="single" w:sz="12" w:space="0" w:color="auto"/>
                          <w:right w:val="single" w:sz="12" w:space="0" w:color="auto"/>
                        </w:tcBorders>
                        <w:noWrap/>
                        <w:tcMar>
                          <w:top w:w="0" w:type="dxa"/>
                          <w:left w:w="105" w:type="dxa"/>
                          <w:bottom w:w="0" w:type="dxa"/>
                          <w:right w:w="105" w:type="dxa"/>
                        </w:tcMar>
                        <w:hideMark/>
                      </w:tcPr>
                      <w:p w14:paraId="1278EFD1" w14:textId="77777777" w:rsidR="0047142A" w:rsidRDefault="0047142A">
                        <w:pPr>
                          <w:pStyle w:val="NormalWeb"/>
                          <w:jc w:val="center"/>
                        </w:pPr>
                        <w:r>
                          <w:rPr>
                            <w:rFonts w:ascii="Arial" w:hAnsi="Arial" w:cs="Arial"/>
                            <w:sz w:val="21"/>
                            <w:szCs w:val="21"/>
                          </w:rPr>
                          <w:t>Q3 2026</w:t>
                        </w:r>
                      </w:p>
                    </w:tc>
                  </w:tr>
                  <w:tr w:rsidR="0047142A" w14:paraId="4FB3E732" w14:textId="77777777">
                    <w:trPr>
                      <w:trHeight w:val="300"/>
                    </w:trPr>
                    <w:tc>
                      <w:tcPr>
                        <w:tcW w:w="5895" w:type="dxa"/>
                        <w:tcBorders>
                          <w:top w:val="nil"/>
                          <w:left w:val="single" w:sz="12" w:space="0" w:color="000000"/>
                          <w:bottom w:val="single" w:sz="12" w:space="0" w:color="000000"/>
                          <w:right w:val="single" w:sz="12" w:space="0" w:color="000000"/>
                        </w:tcBorders>
                        <w:noWrap/>
                        <w:tcMar>
                          <w:top w:w="0" w:type="dxa"/>
                          <w:left w:w="105" w:type="dxa"/>
                          <w:bottom w:w="0" w:type="dxa"/>
                          <w:right w:w="105" w:type="dxa"/>
                        </w:tcMar>
                        <w:hideMark/>
                      </w:tcPr>
                      <w:p w14:paraId="206F145D" w14:textId="77777777" w:rsidR="0047142A" w:rsidRDefault="0047142A">
                        <w:pPr>
                          <w:pStyle w:val="NormalWeb"/>
                        </w:pPr>
                        <w:r>
                          <w:rPr>
                            <w:rFonts w:ascii="Arial" w:hAnsi="Arial" w:cs="Arial"/>
                            <w:sz w:val="21"/>
                            <w:szCs w:val="21"/>
                          </w:rPr>
                          <w:t>Begin enabling TLS 1.3 + Hybrid Key Exchange on Production applications</w:t>
                        </w:r>
                      </w:p>
                    </w:tc>
                    <w:tc>
                      <w:tcPr>
                        <w:tcW w:w="1560" w:type="dxa"/>
                        <w:tcBorders>
                          <w:top w:val="nil"/>
                          <w:left w:val="nil"/>
                          <w:bottom w:val="single" w:sz="12" w:space="0" w:color="auto"/>
                          <w:right w:val="single" w:sz="12" w:space="0" w:color="auto"/>
                        </w:tcBorders>
                        <w:noWrap/>
                        <w:tcMar>
                          <w:top w:w="0" w:type="dxa"/>
                          <w:left w:w="105" w:type="dxa"/>
                          <w:bottom w:w="0" w:type="dxa"/>
                          <w:right w:w="105" w:type="dxa"/>
                        </w:tcMar>
                        <w:hideMark/>
                      </w:tcPr>
                      <w:p w14:paraId="606CF9B1" w14:textId="77777777" w:rsidR="0047142A" w:rsidRDefault="0047142A">
                        <w:pPr>
                          <w:pStyle w:val="NormalWeb"/>
                          <w:jc w:val="center"/>
                        </w:pPr>
                        <w:r>
                          <w:rPr>
                            <w:rFonts w:ascii="Arial" w:hAnsi="Arial" w:cs="Arial"/>
                            <w:sz w:val="21"/>
                            <w:szCs w:val="21"/>
                          </w:rPr>
                          <w:t>Q1 2027</w:t>
                        </w:r>
                      </w:p>
                    </w:tc>
                  </w:tr>
                  <w:tr w:rsidR="0047142A" w14:paraId="5AB8062B" w14:textId="77777777">
                    <w:trPr>
                      <w:trHeight w:val="300"/>
                    </w:trPr>
                    <w:tc>
                      <w:tcPr>
                        <w:tcW w:w="5895" w:type="dxa"/>
                        <w:tcBorders>
                          <w:top w:val="nil"/>
                          <w:left w:val="single" w:sz="12" w:space="0" w:color="000000"/>
                          <w:bottom w:val="single" w:sz="12" w:space="0" w:color="000000"/>
                          <w:right w:val="single" w:sz="12" w:space="0" w:color="000000"/>
                        </w:tcBorders>
                        <w:noWrap/>
                        <w:tcMar>
                          <w:top w:w="0" w:type="dxa"/>
                          <w:left w:w="105" w:type="dxa"/>
                          <w:bottom w:w="0" w:type="dxa"/>
                          <w:right w:w="105" w:type="dxa"/>
                        </w:tcMar>
                        <w:hideMark/>
                      </w:tcPr>
                      <w:p w14:paraId="43B95895" w14:textId="77777777" w:rsidR="0047142A" w:rsidRDefault="0047142A">
                        <w:pPr>
                          <w:pStyle w:val="NormalWeb"/>
                        </w:pPr>
                        <w:r>
                          <w:rPr>
                            <w:rFonts w:ascii="Arial" w:hAnsi="Arial" w:cs="Arial"/>
                            <w:sz w:val="21"/>
                            <w:szCs w:val="21"/>
                          </w:rPr>
                          <w:t>Begin disabling TLS 1.2 on Train applications</w:t>
                        </w:r>
                      </w:p>
                    </w:tc>
                    <w:tc>
                      <w:tcPr>
                        <w:tcW w:w="1560" w:type="dxa"/>
                        <w:tcBorders>
                          <w:top w:val="nil"/>
                          <w:left w:val="nil"/>
                          <w:bottom w:val="single" w:sz="12" w:space="0" w:color="auto"/>
                          <w:right w:val="single" w:sz="12" w:space="0" w:color="auto"/>
                        </w:tcBorders>
                        <w:noWrap/>
                        <w:tcMar>
                          <w:top w:w="0" w:type="dxa"/>
                          <w:left w:w="105" w:type="dxa"/>
                          <w:bottom w:w="0" w:type="dxa"/>
                          <w:right w:w="105" w:type="dxa"/>
                        </w:tcMar>
                        <w:hideMark/>
                      </w:tcPr>
                      <w:p w14:paraId="388829CA" w14:textId="77777777" w:rsidR="0047142A" w:rsidRDefault="0047142A">
                        <w:pPr>
                          <w:pStyle w:val="NormalWeb"/>
                          <w:jc w:val="center"/>
                        </w:pPr>
                        <w:r>
                          <w:rPr>
                            <w:rFonts w:ascii="Arial" w:hAnsi="Arial" w:cs="Arial"/>
                            <w:sz w:val="21"/>
                            <w:szCs w:val="21"/>
                          </w:rPr>
                          <w:t>Q4 2027</w:t>
                        </w:r>
                      </w:p>
                    </w:tc>
                  </w:tr>
                  <w:tr w:rsidR="0047142A" w14:paraId="5BCCFDFC" w14:textId="77777777">
                    <w:trPr>
                      <w:trHeight w:val="300"/>
                    </w:trPr>
                    <w:tc>
                      <w:tcPr>
                        <w:tcW w:w="5895" w:type="dxa"/>
                        <w:tcBorders>
                          <w:top w:val="nil"/>
                          <w:left w:val="single" w:sz="12" w:space="0" w:color="000000"/>
                          <w:bottom w:val="single" w:sz="12" w:space="0" w:color="000000"/>
                          <w:right w:val="single" w:sz="12" w:space="0" w:color="000000"/>
                        </w:tcBorders>
                        <w:noWrap/>
                        <w:tcMar>
                          <w:top w:w="0" w:type="dxa"/>
                          <w:left w:w="105" w:type="dxa"/>
                          <w:bottom w:w="0" w:type="dxa"/>
                          <w:right w:w="105" w:type="dxa"/>
                        </w:tcMar>
                        <w:hideMark/>
                      </w:tcPr>
                      <w:p w14:paraId="60D18D04" w14:textId="77777777" w:rsidR="0047142A" w:rsidRDefault="0047142A">
                        <w:pPr>
                          <w:pStyle w:val="NormalWeb"/>
                        </w:pPr>
                        <w:r>
                          <w:rPr>
                            <w:rFonts w:ascii="Arial" w:hAnsi="Arial" w:cs="Arial"/>
                            <w:sz w:val="21"/>
                            <w:szCs w:val="21"/>
                          </w:rPr>
                          <w:t>Begin disabling TLS 1.2 on Production applications</w:t>
                        </w:r>
                      </w:p>
                    </w:tc>
                    <w:tc>
                      <w:tcPr>
                        <w:tcW w:w="1560" w:type="dxa"/>
                        <w:tcBorders>
                          <w:top w:val="nil"/>
                          <w:left w:val="nil"/>
                          <w:bottom w:val="single" w:sz="12" w:space="0" w:color="auto"/>
                          <w:right w:val="single" w:sz="12" w:space="0" w:color="auto"/>
                        </w:tcBorders>
                        <w:noWrap/>
                        <w:tcMar>
                          <w:top w:w="0" w:type="dxa"/>
                          <w:left w:w="105" w:type="dxa"/>
                          <w:bottom w:w="0" w:type="dxa"/>
                          <w:right w:w="105" w:type="dxa"/>
                        </w:tcMar>
                        <w:hideMark/>
                      </w:tcPr>
                      <w:p w14:paraId="621BB3C9" w14:textId="77777777" w:rsidR="0047142A" w:rsidRDefault="0047142A">
                        <w:pPr>
                          <w:pStyle w:val="NormalWeb"/>
                          <w:jc w:val="center"/>
                        </w:pPr>
                        <w:r>
                          <w:rPr>
                            <w:rFonts w:ascii="Arial" w:hAnsi="Arial" w:cs="Arial"/>
                            <w:sz w:val="21"/>
                            <w:szCs w:val="21"/>
                          </w:rPr>
                          <w:t>Q1 2028</w:t>
                        </w:r>
                      </w:p>
                    </w:tc>
                  </w:tr>
                  <w:tr w:rsidR="0047142A" w14:paraId="28F245D4" w14:textId="77777777">
                    <w:trPr>
                      <w:trHeight w:val="300"/>
                    </w:trPr>
                    <w:tc>
                      <w:tcPr>
                        <w:tcW w:w="5895" w:type="dxa"/>
                        <w:tcBorders>
                          <w:top w:val="nil"/>
                          <w:left w:val="single" w:sz="12" w:space="0" w:color="000000"/>
                          <w:bottom w:val="single" w:sz="12" w:space="0" w:color="000000"/>
                          <w:right w:val="single" w:sz="12" w:space="0" w:color="000000"/>
                        </w:tcBorders>
                        <w:noWrap/>
                        <w:tcMar>
                          <w:top w:w="0" w:type="dxa"/>
                          <w:left w:w="105" w:type="dxa"/>
                          <w:bottom w:w="0" w:type="dxa"/>
                          <w:right w:w="105" w:type="dxa"/>
                        </w:tcMar>
                        <w:hideMark/>
                      </w:tcPr>
                      <w:p w14:paraId="62388FD3" w14:textId="77777777" w:rsidR="0047142A" w:rsidRDefault="0047142A">
                        <w:pPr>
                          <w:pStyle w:val="NormalWeb"/>
                        </w:pPr>
                        <w:r>
                          <w:rPr>
                            <w:rFonts w:ascii="Arial" w:hAnsi="Arial" w:cs="Arial"/>
                            <w:sz w:val="21"/>
                            <w:szCs w:val="21"/>
                          </w:rPr>
                          <w:t>Complete disabling TLS 1.2 on Production applications</w:t>
                        </w:r>
                      </w:p>
                    </w:tc>
                    <w:tc>
                      <w:tcPr>
                        <w:tcW w:w="1560" w:type="dxa"/>
                        <w:tcBorders>
                          <w:top w:val="nil"/>
                          <w:left w:val="nil"/>
                          <w:bottom w:val="single" w:sz="12" w:space="0" w:color="auto"/>
                          <w:right w:val="single" w:sz="12" w:space="0" w:color="auto"/>
                        </w:tcBorders>
                        <w:noWrap/>
                        <w:tcMar>
                          <w:top w:w="0" w:type="dxa"/>
                          <w:left w:w="105" w:type="dxa"/>
                          <w:bottom w:w="0" w:type="dxa"/>
                          <w:right w:w="105" w:type="dxa"/>
                        </w:tcMar>
                        <w:hideMark/>
                      </w:tcPr>
                      <w:p w14:paraId="2EF28558" w14:textId="77777777" w:rsidR="0047142A" w:rsidRDefault="0047142A">
                        <w:pPr>
                          <w:pStyle w:val="NormalWeb"/>
                          <w:jc w:val="center"/>
                        </w:pPr>
                        <w:r>
                          <w:rPr>
                            <w:rFonts w:ascii="Arial" w:hAnsi="Arial" w:cs="Arial"/>
                            <w:sz w:val="21"/>
                            <w:szCs w:val="21"/>
                          </w:rPr>
                          <w:t>TBD</w:t>
                        </w:r>
                      </w:p>
                    </w:tc>
                  </w:tr>
                </w:tbl>
                <w:p w14:paraId="716DAD14" w14:textId="77777777" w:rsidR="0047142A" w:rsidRDefault="0047142A">
                  <w:pPr>
                    <w:pStyle w:val="NormalWeb"/>
                    <w:spacing w:line="315" w:lineRule="atLeast"/>
                    <w:rPr>
                      <w:rFonts w:ascii="Arial" w:hAnsi="Arial" w:cs="Arial"/>
                      <w:color w:val="000000"/>
                      <w:sz w:val="21"/>
                      <w:szCs w:val="21"/>
                    </w:rPr>
                  </w:pPr>
                  <w:r>
                    <w:rPr>
                      <w:rFonts w:ascii="Arial" w:hAnsi="Arial" w:cs="Arial"/>
                      <w:color w:val="000000"/>
                      <w:sz w:val="21"/>
                      <w:szCs w:val="21"/>
                    </w:rPr>
                    <w:t xml:space="preserve">TLS 1.2 will remain enabled in parallel with TLS 1.3 throughout a transition period to ensure zero operational impact. Stakeholders can continue to use TLS 1.2 to connect to PJM </w:t>
                  </w:r>
                  <w:r>
                    <w:rPr>
                      <w:rFonts w:ascii="Arial" w:hAnsi="Arial" w:cs="Arial"/>
                      <w:color w:val="000000"/>
                      <w:sz w:val="21"/>
                      <w:szCs w:val="21"/>
                    </w:rPr>
                    <w:lastRenderedPageBreak/>
                    <w:t>applications while enabling TLS 1.3 and validating support on client systems. Disablement of TLS 1.2 will follow pending sufficient validation and stakeholder readiness.</w:t>
                  </w:r>
                </w:p>
                <w:p w14:paraId="1795DB05" w14:textId="77777777" w:rsidR="0047142A" w:rsidRDefault="0047142A">
                  <w:pPr>
                    <w:pStyle w:val="NormalWeb"/>
                    <w:spacing w:line="315" w:lineRule="atLeast"/>
                    <w:rPr>
                      <w:rFonts w:ascii="Arial" w:hAnsi="Arial" w:cs="Arial"/>
                      <w:color w:val="000000"/>
                      <w:sz w:val="21"/>
                      <w:szCs w:val="21"/>
                    </w:rPr>
                  </w:pPr>
                  <w:r>
                    <w:rPr>
                      <w:rFonts w:ascii="Arial" w:hAnsi="Arial" w:cs="Arial"/>
                      <w:color w:val="000000"/>
                      <w:sz w:val="21"/>
                      <w:szCs w:val="21"/>
                    </w:rPr>
                    <w:t xml:space="preserve">PJM is requesting you share this communication internally within your organization to technical contact(s) who manage the setup and configuration of your desktops/laptops and server applications that are used to connect to PJM’s applications. We have prepared the </w:t>
                  </w:r>
                  <w:hyperlink r:id="rId8" w:history="1">
                    <w:r>
                      <w:rPr>
                        <w:rStyle w:val="Hyperlink"/>
                        <w:rFonts w:ascii="Arial" w:hAnsi="Arial" w:cs="Arial"/>
                        <w:sz w:val="21"/>
                        <w:szCs w:val="21"/>
                      </w:rPr>
                      <w:t>TLS 1.3 Transition Guide</w:t>
                    </w:r>
                  </w:hyperlink>
                  <w:r>
                    <w:rPr>
                      <w:rFonts w:ascii="Arial" w:hAnsi="Arial" w:cs="Arial"/>
                      <w:color w:val="000000"/>
                      <w:sz w:val="21"/>
                      <w:szCs w:val="21"/>
                    </w:rPr>
                    <w:t>, which provides guidance that technical contacts can use to verify client support for TLS 1.3 and Hybrid Key Exchange.</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Key Messages</w:t>
                  </w:r>
                </w:p>
                <w:p w14:paraId="6B0000F1" w14:textId="77777777" w:rsidR="0047142A" w:rsidRDefault="0047142A" w:rsidP="00EE5931">
                  <w:pPr>
                    <w:numPr>
                      <w:ilvl w:val="0"/>
                      <w:numId w:val="2"/>
                    </w:numPr>
                    <w:spacing w:before="100" w:beforeAutospacing="1" w:after="100" w:afterAutospacing="1" w:line="315" w:lineRule="atLeast"/>
                    <w:ind w:left="840"/>
                    <w:rPr>
                      <w:rFonts w:ascii="Arial" w:hAnsi="Arial" w:cs="Arial"/>
                      <w:color w:val="000000"/>
                      <w:sz w:val="21"/>
                      <w:szCs w:val="21"/>
                    </w:rPr>
                  </w:pPr>
                  <w:r>
                    <w:rPr>
                      <w:rFonts w:ascii="Arial" w:hAnsi="Arial" w:cs="Arial"/>
                      <w:color w:val="000000"/>
                      <w:sz w:val="21"/>
                      <w:szCs w:val="21"/>
                    </w:rPr>
                    <w:t>PJM works hard to ensure the security of PJM stakeholders’ information and aims to create as little disruption as possible for those who do business with us.</w:t>
                  </w:r>
                </w:p>
                <w:p w14:paraId="7A310B3E" w14:textId="77777777" w:rsidR="0047142A" w:rsidRDefault="0047142A" w:rsidP="00EE5931">
                  <w:pPr>
                    <w:numPr>
                      <w:ilvl w:val="0"/>
                      <w:numId w:val="2"/>
                    </w:numPr>
                    <w:spacing w:before="100" w:beforeAutospacing="1" w:after="100" w:afterAutospacing="1" w:line="315" w:lineRule="atLeast"/>
                    <w:ind w:left="840"/>
                    <w:rPr>
                      <w:rFonts w:ascii="Arial" w:hAnsi="Arial" w:cs="Arial"/>
                      <w:color w:val="000000"/>
                      <w:sz w:val="21"/>
                      <w:szCs w:val="21"/>
                    </w:rPr>
                  </w:pPr>
                  <w:r>
                    <w:rPr>
                      <w:rFonts w:ascii="Arial" w:hAnsi="Arial" w:cs="Arial"/>
                      <w:color w:val="000000"/>
                      <w:sz w:val="21"/>
                      <w:szCs w:val="21"/>
                    </w:rPr>
                    <w:t>PJM will enable support for TLS 1.3 while keeping TLS 1.2 enabled. TLS 1.2 will eventually be disabled so that all connections use quantum-safe cryptographic algorithms.</w:t>
                  </w:r>
                </w:p>
                <w:p w14:paraId="468946BB" w14:textId="77777777" w:rsidR="0047142A" w:rsidRDefault="0047142A" w:rsidP="00EE5931">
                  <w:pPr>
                    <w:numPr>
                      <w:ilvl w:val="0"/>
                      <w:numId w:val="2"/>
                    </w:numPr>
                    <w:spacing w:before="100" w:beforeAutospacing="1" w:after="100" w:afterAutospacing="1" w:line="315" w:lineRule="atLeast"/>
                    <w:ind w:left="840"/>
                    <w:rPr>
                      <w:rFonts w:ascii="Arial" w:hAnsi="Arial" w:cs="Arial"/>
                      <w:color w:val="000000"/>
                      <w:sz w:val="21"/>
                      <w:szCs w:val="21"/>
                    </w:rPr>
                  </w:pPr>
                  <w:r>
                    <w:rPr>
                      <w:rFonts w:ascii="Arial" w:hAnsi="Arial" w:cs="Arial"/>
                      <w:color w:val="000000"/>
                      <w:sz w:val="21"/>
                      <w:szCs w:val="21"/>
                    </w:rPr>
                    <w:t>Stakeholders may need to update clients to support TLS 1.3 and gain the benefits of quantum resistant security.​​​​​​</w:t>
                  </w:r>
                </w:p>
              </w:tc>
            </w:tr>
            <w:tr w:rsidR="0047142A" w14:paraId="09AF1130" w14:textId="77777777">
              <w:trPr>
                <w:jc w:val="center"/>
              </w:trPr>
              <w:tc>
                <w:tcPr>
                  <w:tcW w:w="0" w:type="auto"/>
                  <w:shd w:val="clear" w:color="auto" w:fill="FFFFFF"/>
                  <w:tcMar>
                    <w:top w:w="75" w:type="dxa"/>
                    <w:left w:w="300" w:type="dxa"/>
                    <w:bottom w:w="75" w:type="dxa"/>
                    <w:right w:w="300" w:type="dxa"/>
                  </w:tcMar>
                  <w:hideMark/>
                </w:tcPr>
                <w:p w14:paraId="7BD61627" w14:textId="77777777" w:rsidR="0047142A" w:rsidRDefault="0047142A">
                  <w:pPr>
                    <w:pStyle w:val="NormalWeb"/>
                    <w:spacing w:line="240" w:lineRule="atLeast"/>
                    <w:rPr>
                      <w:rFonts w:ascii="Arial" w:hAnsi="Arial" w:cs="Arial"/>
                      <w:color w:val="000000"/>
                      <w:sz w:val="21"/>
                      <w:szCs w:val="21"/>
                    </w:rPr>
                  </w:pPr>
                  <w:r>
                    <w:rPr>
                      <w:rFonts w:ascii="Arial" w:hAnsi="Arial" w:cs="Arial"/>
                      <w:color w:val="000000"/>
                      <w:sz w:val="21"/>
                      <w:szCs w:val="21"/>
                    </w:rPr>
                    <w:lastRenderedPageBreak/>
                    <w:t xml:space="preserve">If you have any questions regarding this communication, please contact PJM’s </w:t>
                  </w:r>
                  <w:hyperlink r:id="rId9" w:history="1">
                    <w:r>
                      <w:rPr>
                        <w:rStyle w:val="Hyperlink"/>
                        <w:rFonts w:ascii="Arial" w:hAnsi="Arial" w:cs="Arial"/>
                        <w:sz w:val="21"/>
                        <w:szCs w:val="21"/>
                      </w:rPr>
                      <w:t>Member Relations</w:t>
                    </w:r>
                  </w:hyperlink>
                  <w:r>
                    <w:rPr>
                      <w:rFonts w:ascii="Arial" w:hAnsi="Arial" w:cs="Arial"/>
                      <w:color w:val="000000"/>
                      <w:sz w:val="21"/>
                      <w:szCs w:val="21"/>
                    </w:rPr>
                    <w:t xml:space="preserve"> or (610) 666-8980.</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Stay Informed</w:t>
                  </w:r>
                </w:p>
                <w:p w14:paraId="5F1CDE03" w14:textId="77777777" w:rsidR="0047142A" w:rsidRDefault="0047142A" w:rsidP="00EE5931">
                  <w:pPr>
                    <w:numPr>
                      <w:ilvl w:val="0"/>
                      <w:numId w:val="3"/>
                    </w:numPr>
                    <w:spacing w:before="100" w:beforeAutospacing="1" w:after="100" w:afterAutospacing="1" w:line="240" w:lineRule="atLeast"/>
                    <w:rPr>
                      <w:rFonts w:ascii="Arial" w:eastAsia="Times New Roman" w:hAnsi="Arial" w:cs="Arial"/>
                      <w:color w:val="000000"/>
                      <w:sz w:val="21"/>
                      <w:szCs w:val="21"/>
                    </w:rPr>
                  </w:pPr>
                  <w:hyperlink r:id="rId10" w:history="1">
                    <w:r>
                      <w:rPr>
                        <w:rStyle w:val="Hyperlink"/>
                        <w:rFonts w:ascii="Arial" w:eastAsia="Times New Roman" w:hAnsi="Arial" w:cs="Arial"/>
                        <w:sz w:val="21"/>
                        <w:szCs w:val="21"/>
                      </w:rPr>
                      <w:t xml:space="preserve">Upcoming Changes </w:t>
                    </w:r>
                  </w:hyperlink>
                  <w:r>
                    <w:rPr>
                      <w:rFonts w:ascii="Arial" w:eastAsia="Times New Roman" w:hAnsi="Arial" w:cs="Arial"/>
                      <w:color w:val="000000"/>
                      <w:sz w:val="21"/>
                      <w:szCs w:val="21"/>
                    </w:rPr>
                    <w:t>– latest information about upcoming changes to PJM’s websites and tools</w:t>
                  </w:r>
                </w:p>
                <w:p w14:paraId="717DFF11" w14:textId="77777777" w:rsidR="0047142A" w:rsidRDefault="0047142A" w:rsidP="00EE5931">
                  <w:pPr>
                    <w:numPr>
                      <w:ilvl w:val="0"/>
                      <w:numId w:val="3"/>
                    </w:numPr>
                    <w:spacing w:before="100" w:beforeAutospacing="1" w:after="100" w:afterAutospacing="1" w:line="240" w:lineRule="atLeast"/>
                    <w:rPr>
                      <w:rFonts w:ascii="Arial" w:eastAsia="Times New Roman" w:hAnsi="Arial" w:cs="Arial"/>
                      <w:color w:val="000000"/>
                      <w:sz w:val="21"/>
                      <w:szCs w:val="21"/>
                    </w:rPr>
                  </w:pPr>
                  <w:hyperlink r:id="rId11" w:history="1">
                    <w:r>
                      <w:rPr>
                        <w:rStyle w:val="Hyperlink"/>
                        <w:rFonts w:ascii="Arial" w:eastAsia="Times New Roman" w:hAnsi="Arial" w:cs="Arial"/>
                        <w:sz w:val="21"/>
                        <w:szCs w:val="21"/>
                      </w:rPr>
                      <w:t xml:space="preserve">Tech Change Forum </w:t>
                    </w:r>
                  </w:hyperlink>
                  <w:r>
                    <w:rPr>
                      <w:rFonts w:ascii="Arial" w:eastAsia="Times New Roman" w:hAnsi="Arial" w:cs="Arial"/>
                      <w:color w:val="000000"/>
                      <w:sz w:val="21"/>
                      <w:szCs w:val="21"/>
                    </w:rPr>
                    <w:t>– attend monthly meetings to get latest details and provide feedback</w:t>
                  </w:r>
                </w:p>
              </w:tc>
            </w:tr>
            <w:tr w:rsidR="0047142A" w14:paraId="6BE1AB18" w14:textId="77777777">
              <w:trPr>
                <w:jc w:val="center"/>
              </w:trPr>
              <w:tc>
                <w:tcPr>
                  <w:tcW w:w="0" w:type="auto"/>
                  <w:shd w:val="clear" w:color="auto" w:fill="FFFFFF"/>
                  <w:tcMar>
                    <w:top w:w="0" w:type="dxa"/>
                    <w:left w:w="300" w:type="dxa"/>
                    <w:bottom w:w="0" w:type="dxa"/>
                    <w:right w:w="300" w:type="dxa"/>
                  </w:tcMar>
                  <w:hideMark/>
                </w:tcPr>
                <w:p w14:paraId="1C330208" w14:textId="77777777" w:rsidR="0047142A" w:rsidRDefault="0047142A">
                  <w:pPr>
                    <w:pStyle w:val="NormalWeb"/>
                    <w:spacing w:line="165" w:lineRule="atLeast"/>
                    <w:rPr>
                      <w:rFonts w:ascii="Arial" w:hAnsi="Arial" w:cs="Arial"/>
                      <w:color w:val="000000"/>
                      <w:sz w:val="14"/>
                      <w:szCs w:val="14"/>
                    </w:rPr>
                  </w:pPr>
                  <w:r>
                    <w:rPr>
                      <w:rFonts w:ascii="Trebuchet MS" w:hAnsi="Trebuchet MS"/>
                      <w:color w:val="000000"/>
                      <w:sz w:val="18"/>
                      <w:szCs w:val="18"/>
                    </w:rPr>
                    <w:t xml:space="preserve">This has been sent to: Account Manager, </w:t>
                  </w:r>
                  <w:proofErr w:type="spellStart"/>
                  <w:r>
                    <w:rPr>
                      <w:rFonts w:ascii="Trebuchet MS" w:hAnsi="Trebuchet MS"/>
                      <w:color w:val="000000"/>
                      <w:sz w:val="18"/>
                      <w:szCs w:val="18"/>
                    </w:rPr>
                    <w:t>TechNotify</w:t>
                  </w:r>
                  <w:proofErr w:type="spellEnd"/>
                </w:p>
              </w:tc>
            </w:tr>
            <w:tr w:rsidR="0047142A" w14:paraId="49D6FA42" w14:textId="77777777">
              <w:trPr>
                <w:jc w:val="center"/>
              </w:trPr>
              <w:tc>
                <w:tcPr>
                  <w:tcW w:w="0" w:type="auto"/>
                  <w:shd w:val="clear" w:color="auto" w:fill="FFFFFF"/>
                  <w:vAlign w:val="center"/>
                  <w:hideMark/>
                </w:tcPr>
                <w:p w14:paraId="4B6DAEC8" w14:textId="77777777" w:rsidR="0047142A" w:rsidRDefault="0047142A">
                  <w:pPr>
                    <w:rPr>
                      <w:rFonts w:ascii="Arial" w:hAnsi="Arial" w:cs="Arial"/>
                      <w:color w:val="000000"/>
                      <w:sz w:val="14"/>
                      <w:szCs w:val="14"/>
                    </w:rPr>
                  </w:pPr>
                </w:p>
              </w:tc>
            </w:tr>
            <w:tr w:rsidR="0047142A" w14:paraId="67F8FF1F" w14:textId="77777777">
              <w:trPr>
                <w:jc w:val="center"/>
              </w:trPr>
              <w:tc>
                <w:tcPr>
                  <w:tcW w:w="0" w:type="auto"/>
                  <w:tcBorders>
                    <w:top w:val="nil"/>
                    <w:left w:val="nil"/>
                    <w:bottom w:val="single" w:sz="8" w:space="0" w:color="CCCCCC"/>
                    <w:right w:val="nil"/>
                  </w:tcBorders>
                  <w:shd w:val="clear" w:color="auto" w:fill="123C5A"/>
                  <w:vAlign w:val="center"/>
                  <w:hideMark/>
                </w:tcPr>
                <w:p w14:paraId="574B9A61" w14:textId="77777777" w:rsidR="0047142A" w:rsidRDefault="0047142A">
                  <w:pPr>
                    <w:spacing w:line="315" w:lineRule="atLeast"/>
                    <w:rPr>
                      <w:rFonts w:ascii="Helvetica" w:hAnsi="Helvetica" w:cs="Helvetica"/>
                      <w:color w:val="505050"/>
                      <w:sz w:val="21"/>
                      <w:szCs w:val="21"/>
                    </w:rPr>
                  </w:pPr>
                  <w:r>
                    <w:rPr>
                      <w:noProof/>
                    </w:rPr>
                    <w:drawing>
                      <wp:anchor distT="0" distB="0" distL="0" distR="0" simplePos="0" relativeHeight="251659264" behindDoc="0" locked="0" layoutInCell="1" allowOverlap="0" wp14:anchorId="132A9480" wp14:editId="0F8E311C">
                        <wp:simplePos x="0" y="0"/>
                        <wp:positionH relativeFrom="column">
                          <wp:align>left</wp:align>
                        </wp:positionH>
                        <wp:positionV relativeFrom="line">
                          <wp:posOffset>0</wp:posOffset>
                        </wp:positionV>
                        <wp:extent cx="5715000" cy="66675"/>
                        <wp:effectExtent l="0" t="0" r="0" b="952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15000" cy="66675"/>
                                </a:xfrm>
                                <a:prstGeom prst="rect">
                                  <a:avLst/>
                                </a:prstGeom>
                                <a:noFill/>
                              </pic:spPr>
                            </pic:pic>
                          </a:graphicData>
                        </a:graphic>
                        <wp14:sizeRelH relativeFrom="page">
                          <wp14:pctWidth>0</wp14:pctWidth>
                        </wp14:sizeRelH>
                        <wp14:sizeRelV relativeFrom="page">
                          <wp14:pctHeight>0</wp14:pctHeight>
                        </wp14:sizeRelV>
                      </wp:anchor>
                    </w:drawing>
                  </w:r>
                </w:p>
                <w:tbl>
                  <w:tblPr>
                    <w:tblW w:w="9000" w:type="dxa"/>
                    <w:tblCellMar>
                      <w:left w:w="0" w:type="dxa"/>
                      <w:right w:w="0" w:type="dxa"/>
                    </w:tblCellMar>
                    <w:tblLook w:val="04A0" w:firstRow="1" w:lastRow="0" w:firstColumn="1" w:lastColumn="0" w:noHBand="0" w:noVBand="1"/>
                  </w:tblPr>
                  <w:tblGrid>
                    <w:gridCol w:w="2153"/>
                    <w:gridCol w:w="4071"/>
                    <w:gridCol w:w="889"/>
                    <w:gridCol w:w="1887"/>
                  </w:tblGrid>
                  <w:tr w:rsidR="0047142A" w14:paraId="5D4E6F4D" w14:textId="77777777">
                    <w:tc>
                      <w:tcPr>
                        <w:tcW w:w="2070" w:type="dxa"/>
                        <w:vMerge w:val="restart"/>
                        <w:tcMar>
                          <w:top w:w="15" w:type="dxa"/>
                          <w:left w:w="15" w:type="dxa"/>
                          <w:bottom w:w="15" w:type="dxa"/>
                          <w:right w:w="15" w:type="dxa"/>
                        </w:tcMar>
                        <w:vAlign w:val="bottom"/>
                        <w:hideMark/>
                      </w:tcPr>
                      <w:p w14:paraId="0A6E645E" w14:textId="77777777" w:rsidR="0047142A" w:rsidRDefault="0047142A">
                        <w:pPr>
                          <w:jc w:val="center"/>
                        </w:pPr>
                        <w:r>
                          <w:rPr>
                            <w:rFonts w:ascii="Arial" w:hAnsi="Arial" w:cs="Arial"/>
                            <w:color w:val="E6E6FA"/>
                            <w:sz w:val="15"/>
                            <w:szCs w:val="15"/>
                          </w:rPr>
                          <w:t>​​​</w:t>
                        </w:r>
                        <w:r>
                          <w:rPr>
                            <w:rFonts w:ascii="Arial" w:hAnsi="Arial" w:cs="Arial"/>
                            <w:noProof/>
                            <w:color w:val="E6E6FA"/>
                            <w:sz w:val="15"/>
                            <w:szCs w:val="15"/>
                          </w:rPr>
                          <w:drawing>
                            <wp:inline distT="0" distB="0" distL="0" distR="0" wp14:anchorId="1BA8196C" wp14:editId="1AE4050D">
                              <wp:extent cx="889000" cy="387350"/>
                              <wp:effectExtent l="0" t="0" r="6350" b="1270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89000" cy="387350"/>
                                      </a:xfrm>
                                      <a:prstGeom prst="rect">
                                        <a:avLst/>
                                      </a:prstGeom>
                                      <a:noFill/>
                                      <a:ln>
                                        <a:noFill/>
                                      </a:ln>
                                    </pic:spPr>
                                  </pic:pic>
                                </a:graphicData>
                              </a:graphic>
                            </wp:inline>
                          </w:drawing>
                        </w:r>
                      </w:p>
                    </w:tc>
                    <w:tc>
                      <w:tcPr>
                        <w:tcW w:w="3915" w:type="dxa"/>
                        <w:tcMar>
                          <w:top w:w="15" w:type="dxa"/>
                          <w:left w:w="15" w:type="dxa"/>
                          <w:bottom w:w="15" w:type="dxa"/>
                          <w:right w:w="15" w:type="dxa"/>
                        </w:tcMar>
                        <w:vAlign w:val="center"/>
                        <w:hideMark/>
                      </w:tcPr>
                      <w:p w14:paraId="480D178E" w14:textId="77777777" w:rsidR="0047142A" w:rsidRDefault="0047142A">
                        <w:pPr>
                          <w:jc w:val="right"/>
                        </w:pPr>
                        <w:r>
                          <w:rPr>
                            <w:rFonts w:ascii="Trebuchet MS" w:hAnsi="Trebuchet MS"/>
                            <w:color w:val="E6E6FA"/>
                            <w:sz w:val="18"/>
                            <w:szCs w:val="18"/>
                          </w:rPr>
                          <w:t>Was this email helpful?</w:t>
                        </w:r>
                      </w:p>
                    </w:tc>
                    <w:tc>
                      <w:tcPr>
                        <w:tcW w:w="855" w:type="dxa"/>
                        <w:tcMar>
                          <w:top w:w="15" w:type="dxa"/>
                          <w:left w:w="15" w:type="dxa"/>
                          <w:bottom w:w="15" w:type="dxa"/>
                          <w:right w:w="15" w:type="dxa"/>
                        </w:tcMar>
                        <w:vAlign w:val="center"/>
                        <w:hideMark/>
                      </w:tcPr>
                      <w:p w14:paraId="394D7F46" w14:textId="77777777" w:rsidR="0047142A" w:rsidRDefault="0047142A">
                        <w:pPr>
                          <w:jc w:val="right"/>
                        </w:pPr>
                        <w:r>
                          <w:rPr>
                            <w:noProof/>
                            <w:color w:val="3D8EC7"/>
                            <w:sz w:val="18"/>
                            <w:szCs w:val="18"/>
                          </w:rPr>
                          <w:drawing>
                            <wp:inline distT="0" distB="0" distL="0" distR="0" wp14:anchorId="38A27BC5" wp14:editId="4C73094F">
                              <wp:extent cx="222250" cy="203200"/>
                              <wp:effectExtent l="0" t="0" r="6350" b="6350"/>
                              <wp:docPr id="7" name="Picture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2250" cy="203200"/>
                                      </a:xfrm>
                                      <a:prstGeom prst="rect">
                                        <a:avLst/>
                                      </a:prstGeom>
                                      <a:noFill/>
                                      <a:ln>
                                        <a:noFill/>
                                      </a:ln>
                                    </pic:spPr>
                                  </pic:pic>
                                </a:graphicData>
                              </a:graphic>
                            </wp:inline>
                          </w:drawing>
                        </w:r>
                        <w:r>
                          <w:rPr>
                            <w:sz w:val="18"/>
                            <w:szCs w:val="18"/>
                          </w:rPr>
                          <w:t>  </w:t>
                        </w:r>
                        <w:r>
                          <w:rPr>
                            <w:noProof/>
                            <w:color w:val="3D8EC7"/>
                            <w:sz w:val="18"/>
                            <w:szCs w:val="18"/>
                          </w:rPr>
                          <w:drawing>
                            <wp:inline distT="0" distB="0" distL="0" distR="0" wp14:anchorId="7439063F" wp14:editId="4AB183F7">
                              <wp:extent cx="222250" cy="203200"/>
                              <wp:effectExtent l="0" t="0" r="6350" b="6350"/>
                              <wp:docPr id="8" name="Picture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2250" cy="203200"/>
                                      </a:xfrm>
                                      <a:prstGeom prst="rect">
                                        <a:avLst/>
                                      </a:prstGeom>
                                      <a:noFill/>
                                      <a:ln>
                                        <a:noFill/>
                                      </a:ln>
                                    </pic:spPr>
                                  </pic:pic>
                                </a:graphicData>
                              </a:graphic>
                            </wp:inline>
                          </w:drawing>
                        </w:r>
                      </w:p>
                    </w:tc>
                    <w:tc>
                      <w:tcPr>
                        <w:tcW w:w="1815" w:type="dxa"/>
                        <w:tcMar>
                          <w:top w:w="15" w:type="dxa"/>
                          <w:left w:w="15" w:type="dxa"/>
                          <w:bottom w:w="15" w:type="dxa"/>
                          <w:right w:w="15" w:type="dxa"/>
                        </w:tcMar>
                        <w:vAlign w:val="center"/>
                        <w:hideMark/>
                      </w:tcPr>
                      <w:p w14:paraId="6D186E5A" w14:textId="77777777" w:rsidR="0047142A" w:rsidRDefault="0047142A">
                        <w:pPr>
                          <w:jc w:val="right"/>
                        </w:pPr>
                        <w:r>
                          <w:rPr>
                            <w:rFonts w:ascii="Trebuchet MS" w:hAnsi="Trebuchet MS"/>
                            <w:color w:val="E6E6FA"/>
                            <w:sz w:val="18"/>
                            <w:szCs w:val="18"/>
                          </w:rPr>
                          <w:t>| </w:t>
                        </w:r>
                        <w:hyperlink r:id="rId22" w:history="1">
                          <w:r>
                            <w:rPr>
                              <w:rStyle w:val="Hyperlink"/>
                              <w:rFonts w:ascii="Trebuchet MS" w:hAnsi="Trebuchet MS"/>
                              <w:color w:val="E6E6FA"/>
                              <w:sz w:val="18"/>
                              <w:szCs w:val="18"/>
                            </w:rPr>
                            <w:t>Manage Preferences</w:t>
                          </w:r>
                        </w:hyperlink>
                      </w:p>
                    </w:tc>
                  </w:tr>
                  <w:tr w:rsidR="0047142A" w14:paraId="4D2587CB" w14:textId="77777777">
                    <w:tc>
                      <w:tcPr>
                        <w:tcW w:w="0" w:type="auto"/>
                        <w:vMerge/>
                        <w:vAlign w:val="center"/>
                        <w:hideMark/>
                      </w:tcPr>
                      <w:p w14:paraId="2510B983" w14:textId="77777777" w:rsidR="0047142A" w:rsidRDefault="0047142A"/>
                    </w:tc>
                    <w:tc>
                      <w:tcPr>
                        <w:tcW w:w="3915" w:type="dxa"/>
                        <w:tcMar>
                          <w:top w:w="15" w:type="dxa"/>
                          <w:left w:w="15" w:type="dxa"/>
                          <w:bottom w:w="15" w:type="dxa"/>
                          <w:right w:w="15" w:type="dxa"/>
                        </w:tcMar>
                        <w:hideMark/>
                      </w:tcPr>
                      <w:p w14:paraId="0DA99695" w14:textId="77777777" w:rsidR="0047142A" w:rsidRDefault="0047142A">
                        <w:pPr>
                          <w:jc w:val="right"/>
                        </w:pPr>
                        <w:r>
                          <w:rPr>
                            <w:rFonts w:ascii="Arial" w:hAnsi="Arial" w:cs="Arial"/>
                          </w:rPr>
                          <w:t>​​​​​​</w:t>
                        </w:r>
                      </w:p>
                    </w:tc>
                    <w:tc>
                      <w:tcPr>
                        <w:tcW w:w="855" w:type="dxa"/>
                        <w:tcMar>
                          <w:top w:w="15" w:type="dxa"/>
                          <w:left w:w="15" w:type="dxa"/>
                          <w:bottom w:w="15" w:type="dxa"/>
                          <w:right w:w="15" w:type="dxa"/>
                        </w:tcMar>
                        <w:hideMark/>
                      </w:tcPr>
                      <w:p w14:paraId="3E028A40" w14:textId="77777777" w:rsidR="0047142A" w:rsidRDefault="0047142A">
                        <w:pPr>
                          <w:jc w:val="right"/>
                        </w:pPr>
                        <w:r>
                          <w:t> </w:t>
                        </w:r>
                      </w:p>
                    </w:tc>
                    <w:tc>
                      <w:tcPr>
                        <w:tcW w:w="1815" w:type="dxa"/>
                        <w:tcMar>
                          <w:top w:w="15" w:type="dxa"/>
                          <w:left w:w="15" w:type="dxa"/>
                          <w:bottom w:w="15" w:type="dxa"/>
                          <w:right w:w="15" w:type="dxa"/>
                        </w:tcMar>
                        <w:hideMark/>
                      </w:tcPr>
                      <w:p w14:paraId="027E94F7" w14:textId="77777777" w:rsidR="0047142A" w:rsidRDefault="0047142A">
                        <w:pPr>
                          <w:jc w:val="right"/>
                        </w:pPr>
                        <w:r>
                          <w:t> </w:t>
                        </w:r>
                      </w:p>
                    </w:tc>
                  </w:tr>
                </w:tbl>
                <w:p w14:paraId="33D75C34" w14:textId="77777777" w:rsidR="0047142A" w:rsidRDefault="0047142A">
                  <w:pPr>
                    <w:rPr>
                      <w:rFonts w:ascii="Times New Roman" w:eastAsia="Times New Roman" w:hAnsi="Times New Roman" w:cs="Times New Roman"/>
                      <w:sz w:val="20"/>
                      <w:szCs w:val="20"/>
                    </w:rPr>
                  </w:pPr>
                </w:p>
              </w:tc>
            </w:tr>
          </w:tbl>
          <w:p w14:paraId="566025FF" w14:textId="77777777" w:rsidR="0047142A" w:rsidRDefault="0047142A">
            <w:pPr>
              <w:jc w:val="center"/>
              <w:rPr>
                <w:rFonts w:ascii="Times New Roman" w:eastAsia="Times New Roman" w:hAnsi="Times New Roman" w:cs="Times New Roman"/>
                <w:sz w:val="20"/>
                <w:szCs w:val="20"/>
              </w:rPr>
            </w:pPr>
          </w:p>
        </w:tc>
      </w:tr>
      <w:tr w:rsidR="0047142A" w14:paraId="26A484F8" w14:textId="77777777">
        <w:trPr>
          <w:jc w:val="center"/>
        </w:trPr>
        <w:tc>
          <w:tcPr>
            <w:tcW w:w="0" w:type="auto"/>
            <w:tcBorders>
              <w:top w:val="nil"/>
              <w:left w:val="single" w:sz="8" w:space="0" w:color="DDDDDD"/>
              <w:bottom w:val="single" w:sz="8" w:space="0" w:color="DDDDDD"/>
              <w:right w:val="single" w:sz="8" w:space="0" w:color="DDDDDD"/>
            </w:tcBorders>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320"/>
            </w:tblGrid>
            <w:tr w:rsidR="0047142A" w14:paraId="6B745B1C" w14:textId="77777777">
              <w:trPr>
                <w:jc w:val="center"/>
              </w:trPr>
              <w:tc>
                <w:tcPr>
                  <w:tcW w:w="0" w:type="auto"/>
                  <w:tcBorders>
                    <w:top w:val="single" w:sz="8" w:space="0" w:color="FFFFFF"/>
                    <w:left w:val="nil"/>
                    <w:bottom w:val="nil"/>
                    <w:right w:val="nil"/>
                  </w:tcBorders>
                  <w:shd w:val="clear" w:color="auto" w:fill="FFFFFF"/>
                  <w:tcMar>
                    <w:top w:w="0" w:type="dxa"/>
                    <w:left w:w="150" w:type="dxa"/>
                    <w:bottom w:w="150" w:type="dxa"/>
                    <w:right w:w="150" w:type="dxa"/>
                  </w:tcMar>
                  <w:hideMark/>
                </w:tcPr>
                <w:p w14:paraId="7A300799" w14:textId="77777777" w:rsidR="0047142A" w:rsidRDefault="0047142A">
                  <w:pPr>
                    <w:spacing w:line="225" w:lineRule="atLeast"/>
                    <w:rPr>
                      <w:rFonts w:ascii="Trebuchet MS" w:hAnsi="Trebuchet MS"/>
                      <w:color w:val="000000"/>
                      <w:sz w:val="15"/>
                      <w:szCs w:val="15"/>
                    </w:rPr>
                  </w:pPr>
                  <w:r>
                    <w:rPr>
                      <w:rFonts w:ascii="Trebuchet MS" w:hAnsi="Trebuchet MS"/>
                      <w:color w:val="000000"/>
                      <w:sz w:val="15"/>
                      <w:szCs w:val="15"/>
                    </w:rPr>
                    <w:lastRenderedPageBreak/>
                    <w:t>© 1999-2026, All rights reserved.</w:t>
                  </w:r>
                  <w:r>
                    <w:rPr>
                      <w:rFonts w:ascii="Trebuchet MS" w:hAnsi="Trebuchet MS"/>
                      <w:color w:val="000000"/>
                      <w:sz w:val="15"/>
                      <w:szCs w:val="15"/>
                    </w:rPr>
                    <w:br/>
                    <w:t xml:space="preserve">Member Relations: </w:t>
                  </w:r>
                  <w:hyperlink r:id="rId23" w:tgtFrame="_blank" w:history="1">
                    <w:r>
                      <w:rPr>
                        <w:rStyle w:val="Hyperlink"/>
                        <w:rFonts w:ascii="Trebuchet MS" w:hAnsi="Trebuchet MS"/>
                        <w:sz w:val="15"/>
                        <w:szCs w:val="15"/>
                      </w:rPr>
                      <w:t>(610) 666 8980</w:t>
                    </w:r>
                  </w:hyperlink>
                  <w:r>
                    <w:rPr>
                      <w:rFonts w:ascii="Trebuchet MS" w:hAnsi="Trebuchet MS"/>
                      <w:color w:val="000000"/>
                      <w:sz w:val="15"/>
                      <w:szCs w:val="15"/>
                    </w:rPr>
                    <w:t xml:space="preserve"> | </w:t>
                  </w:r>
                  <w:hyperlink r:id="rId24" w:history="1">
                    <w:r>
                      <w:rPr>
                        <w:rStyle w:val="Hyperlink"/>
                        <w:rFonts w:ascii="Trebuchet MS" w:hAnsi="Trebuchet MS"/>
                        <w:sz w:val="15"/>
                        <w:szCs w:val="15"/>
                      </w:rPr>
                      <w:t>(866) 400 8980</w:t>
                    </w:r>
                  </w:hyperlink>
                  <w:r>
                    <w:rPr>
                      <w:rFonts w:ascii="Trebuchet MS" w:hAnsi="Trebuchet MS"/>
                      <w:color w:val="000000"/>
                      <w:sz w:val="15"/>
                      <w:szCs w:val="15"/>
                    </w:rPr>
                    <w:br/>
                  </w:r>
                  <w:r>
                    <w:rPr>
                      <w:rFonts w:ascii="Trebuchet MS" w:hAnsi="Trebuchet MS"/>
                      <w:color w:val="000000"/>
                      <w:sz w:val="15"/>
                      <w:szCs w:val="15"/>
                    </w:rPr>
                    <w:br/>
                    <w:t xml:space="preserve">This email was sent to: </w:t>
                  </w:r>
                  <w:hyperlink r:id="rId25" w:history="1">
                    <w:r>
                      <w:rPr>
                        <w:rStyle w:val="Hyperlink"/>
                        <w:rFonts w:ascii="Trebuchet MS" w:hAnsi="Trebuchet MS"/>
                        <w:sz w:val="15"/>
                        <w:szCs w:val="15"/>
                      </w:rPr>
                      <w:t>dick@reliableenergyanalytics.com</w:t>
                    </w:r>
                  </w:hyperlink>
                  <w:r>
                    <w:rPr>
                      <w:rFonts w:ascii="Trebuchet MS" w:hAnsi="Trebuchet MS"/>
                      <w:color w:val="000000"/>
                      <w:sz w:val="15"/>
                      <w:szCs w:val="15"/>
                    </w:rPr>
                    <w:br/>
                  </w:r>
                  <w:r>
                    <w:rPr>
                      <w:rFonts w:ascii="Trebuchet MS" w:hAnsi="Trebuchet MS"/>
                      <w:color w:val="000000"/>
                      <w:sz w:val="15"/>
                      <w:szCs w:val="15"/>
                    </w:rPr>
                    <w:br/>
                    <w:t xml:space="preserve">Email not displaying properly, view it in a </w:t>
                  </w:r>
                  <w:hyperlink r:id="rId26" w:history="1">
                    <w:r>
                      <w:rPr>
                        <w:rStyle w:val="Hyperlink"/>
                        <w:rFonts w:ascii="Trebuchet MS" w:hAnsi="Trebuchet MS"/>
                        <w:sz w:val="15"/>
                        <w:szCs w:val="15"/>
                      </w:rPr>
                      <w:t>browser</w:t>
                    </w:r>
                  </w:hyperlink>
                  <w:r>
                    <w:rPr>
                      <w:rFonts w:ascii="Trebuchet MS" w:hAnsi="Trebuchet MS"/>
                      <w:color w:val="000000"/>
                      <w:sz w:val="15"/>
                      <w:szCs w:val="15"/>
                    </w:rPr>
                    <w:t>.</w:t>
                  </w:r>
                </w:p>
                <w:p w14:paraId="1FA080A7" w14:textId="77777777" w:rsidR="0047142A" w:rsidRDefault="0047142A">
                  <w:pPr>
                    <w:spacing w:line="225" w:lineRule="atLeast"/>
                    <w:rPr>
                      <w:rFonts w:ascii="Arial" w:hAnsi="Arial" w:cs="Arial"/>
                      <w:color w:val="000000"/>
                      <w:sz w:val="14"/>
                      <w:szCs w:val="14"/>
                    </w:rPr>
                  </w:pPr>
                  <w:r>
                    <w:rPr>
                      <w:rFonts w:ascii="Arial" w:hAnsi="Arial" w:cs="Arial"/>
                      <w:color w:val="000000"/>
                      <w:sz w:val="14"/>
                      <w:szCs w:val="14"/>
                    </w:rPr>
                    <w:br/>
                  </w:r>
                  <w:r>
                    <w:rPr>
                      <w:rFonts w:ascii="Arial" w:hAnsi="Arial" w:cs="Arial"/>
                      <w:color w:val="000000"/>
                      <w:sz w:val="12"/>
                      <w:szCs w:val="12"/>
                    </w:rPr>
                    <w:t xml:space="preserve">This e-mail communication and any attachments hereto are intended only for use by the addressees named herein and may contain legally privileged and/or confidential information. Please notify the sender immediately by email if you have received this email by mistake and permanently delete all copies of this email from your computer system. Any dissemination, distribution or copying of this e-mail and any attachments hereto is strictly prohibited. Email transmission cannot be guaranteed to be secure or error-free, as information could be intercepted, corrupted, lost, destroyed, arrive late or incomplete, or contain viruses. PJM, therefore, accepts no liability for the </w:t>
                  </w:r>
                  <w:r>
                    <w:rPr>
                      <w:rFonts w:ascii="Arial" w:hAnsi="Arial" w:cs="Arial"/>
                      <w:color w:val="000000"/>
                      <w:sz w:val="12"/>
                      <w:szCs w:val="12"/>
                    </w:rPr>
                    <w:lastRenderedPageBreak/>
                    <w:t>content of this email, or for the consequences of any actions taken on the basis of the information provided, unless that information is subsequently confirmed in writing. If verification is required, please request a hard-copy version.</w:t>
                  </w:r>
                </w:p>
              </w:tc>
            </w:tr>
          </w:tbl>
          <w:p w14:paraId="69D83635" w14:textId="77777777" w:rsidR="0047142A" w:rsidRDefault="0047142A">
            <w:pPr>
              <w:jc w:val="center"/>
              <w:rPr>
                <w:rFonts w:ascii="Times New Roman" w:eastAsia="Times New Roman" w:hAnsi="Times New Roman" w:cs="Times New Roman"/>
                <w:sz w:val="20"/>
                <w:szCs w:val="20"/>
              </w:rPr>
            </w:pPr>
          </w:p>
        </w:tc>
      </w:tr>
    </w:tbl>
    <w:p w14:paraId="768913F3" w14:textId="77777777" w:rsidR="000A68CE" w:rsidRDefault="000A68CE"/>
    <w:sectPr w:rsidR="000A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0F4B"/>
    <w:multiLevelType w:val="multilevel"/>
    <w:tmpl w:val="AE0A6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87930"/>
    <w:multiLevelType w:val="multilevel"/>
    <w:tmpl w:val="14E4F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6378B"/>
    <w:multiLevelType w:val="multilevel"/>
    <w:tmpl w:val="1E3C4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9853935">
    <w:abstractNumId w:val="2"/>
    <w:lvlOverride w:ilvl="0"/>
    <w:lvlOverride w:ilvl="1"/>
    <w:lvlOverride w:ilvl="2"/>
    <w:lvlOverride w:ilvl="3"/>
    <w:lvlOverride w:ilvl="4"/>
    <w:lvlOverride w:ilvl="5"/>
    <w:lvlOverride w:ilvl="6"/>
    <w:lvlOverride w:ilvl="7"/>
    <w:lvlOverride w:ilvl="8"/>
  </w:num>
  <w:num w:numId="2" w16cid:durableId="52319944">
    <w:abstractNumId w:val="0"/>
    <w:lvlOverride w:ilvl="0"/>
    <w:lvlOverride w:ilvl="1"/>
    <w:lvlOverride w:ilvl="2"/>
    <w:lvlOverride w:ilvl="3"/>
    <w:lvlOverride w:ilvl="4"/>
    <w:lvlOverride w:ilvl="5"/>
    <w:lvlOverride w:ilvl="6"/>
    <w:lvlOverride w:ilvl="7"/>
    <w:lvlOverride w:ilvl="8"/>
  </w:num>
  <w:num w:numId="3" w16cid:durableId="64658958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2A"/>
    <w:rsid w:val="000A68CE"/>
    <w:rsid w:val="0047142A"/>
    <w:rsid w:val="00550F83"/>
    <w:rsid w:val="00FD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8724"/>
  <w15:chartTrackingRefBased/>
  <w15:docId w15:val="{23BB2AFD-C01D-492E-9428-072B5711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42A"/>
    <w:pPr>
      <w:spacing w:after="0" w:line="240" w:lineRule="auto"/>
    </w:pPr>
    <w:rPr>
      <w:rFonts w:ascii="Aptos" w:eastAsia="Calibri" w:hAnsi="Aptos" w:cs="Aptos"/>
      <w:kern w:val="0"/>
      <w14:ligatures w14:val="none"/>
    </w:rPr>
  </w:style>
  <w:style w:type="paragraph" w:styleId="Heading1">
    <w:name w:val="heading 1"/>
    <w:basedOn w:val="Normal"/>
    <w:next w:val="Normal"/>
    <w:link w:val="Heading1Char"/>
    <w:uiPriority w:val="9"/>
    <w:qFormat/>
    <w:rsid w:val="00471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4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4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4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4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42A"/>
    <w:rPr>
      <w:rFonts w:eastAsiaTheme="majorEastAsia" w:cstheme="majorBidi"/>
      <w:color w:val="272727" w:themeColor="text1" w:themeTint="D8"/>
    </w:rPr>
  </w:style>
  <w:style w:type="paragraph" w:styleId="Title">
    <w:name w:val="Title"/>
    <w:basedOn w:val="Normal"/>
    <w:next w:val="Normal"/>
    <w:link w:val="TitleChar"/>
    <w:uiPriority w:val="10"/>
    <w:qFormat/>
    <w:rsid w:val="004714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42A"/>
    <w:pPr>
      <w:spacing w:before="160"/>
      <w:jc w:val="center"/>
    </w:pPr>
    <w:rPr>
      <w:i/>
      <w:iCs/>
      <w:color w:val="404040" w:themeColor="text1" w:themeTint="BF"/>
    </w:rPr>
  </w:style>
  <w:style w:type="character" w:customStyle="1" w:styleId="QuoteChar">
    <w:name w:val="Quote Char"/>
    <w:basedOn w:val="DefaultParagraphFont"/>
    <w:link w:val="Quote"/>
    <w:uiPriority w:val="29"/>
    <w:rsid w:val="0047142A"/>
    <w:rPr>
      <w:i/>
      <w:iCs/>
      <w:color w:val="404040" w:themeColor="text1" w:themeTint="BF"/>
    </w:rPr>
  </w:style>
  <w:style w:type="paragraph" w:styleId="ListParagraph">
    <w:name w:val="List Paragraph"/>
    <w:basedOn w:val="Normal"/>
    <w:uiPriority w:val="34"/>
    <w:qFormat/>
    <w:rsid w:val="0047142A"/>
    <w:pPr>
      <w:ind w:left="720"/>
      <w:contextualSpacing/>
    </w:pPr>
  </w:style>
  <w:style w:type="character" w:styleId="IntenseEmphasis">
    <w:name w:val="Intense Emphasis"/>
    <w:basedOn w:val="DefaultParagraphFont"/>
    <w:uiPriority w:val="21"/>
    <w:qFormat/>
    <w:rsid w:val="0047142A"/>
    <w:rPr>
      <w:i/>
      <w:iCs/>
      <w:color w:val="2F5496" w:themeColor="accent1" w:themeShade="BF"/>
    </w:rPr>
  </w:style>
  <w:style w:type="paragraph" w:styleId="IntenseQuote">
    <w:name w:val="Intense Quote"/>
    <w:basedOn w:val="Normal"/>
    <w:next w:val="Normal"/>
    <w:link w:val="IntenseQuoteChar"/>
    <w:uiPriority w:val="30"/>
    <w:qFormat/>
    <w:rsid w:val="00471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42A"/>
    <w:rPr>
      <w:i/>
      <w:iCs/>
      <w:color w:val="2F5496" w:themeColor="accent1" w:themeShade="BF"/>
    </w:rPr>
  </w:style>
  <w:style w:type="character" w:styleId="IntenseReference">
    <w:name w:val="Intense Reference"/>
    <w:basedOn w:val="DefaultParagraphFont"/>
    <w:uiPriority w:val="32"/>
    <w:qFormat/>
    <w:rsid w:val="0047142A"/>
    <w:rPr>
      <w:b/>
      <w:bCs/>
      <w:smallCaps/>
      <w:color w:val="2F5496" w:themeColor="accent1" w:themeShade="BF"/>
      <w:spacing w:val="5"/>
    </w:rPr>
  </w:style>
  <w:style w:type="character" w:styleId="Hyperlink">
    <w:name w:val="Hyperlink"/>
    <w:basedOn w:val="DefaultParagraphFont"/>
    <w:uiPriority w:val="99"/>
    <w:semiHidden/>
    <w:unhideWhenUsed/>
    <w:rsid w:val="0047142A"/>
    <w:rPr>
      <w:color w:val="3D8EC7"/>
      <w:u w:val="single"/>
    </w:rPr>
  </w:style>
  <w:style w:type="paragraph" w:styleId="NormalWeb">
    <w:name w:val="Normal (Web)"/>
    <w:basedOn w:val="Normal"/>
    <w:uiPriority w:val="99"/>
    <w:semiHidden/>
    <w:unhideWhenUsed/>
    <w:rsid w:val="0047142A"/>
    <w:pPr>
      <w:spacing w:before="100" w:beforeAutospacing="1" w:after="100" w:afterAutospacing="1"/>
    </w:pPr>
  </w:style>
  <w:style w:type="character" w:styleId="Strong">
    <w:name w:val="Strong"/>
    <w:basedOn w:val="DefaultParagraphFont"/>
    <w:uiPriority w:val="22"/>
    <w:qFormat/>
    <w:rsid w:val="00471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pjm.com/e/678183/y-tls-1-3-transition-guide-pdf/21f5ch/1597068980/h/Pkh2uM7wq5EY_a-yy4jhIhY8XVsWnvH2l_XlRlgqJy0" TargetMode="External"/><Relationship Id="rId13" Type="http://schemas.openxmlformats.org/officeDocument/2006/relationships/image" Target="https://go.pjm.com/l/678183/2019-08-16/vjv2/678183/28505/ColorBar.png" TargetMode="External"/><Relationship Id="rId18" Type="http://schemas.openxmlformats.org/officeDocument/2006/relationships/image" Target="https://go.pjm.com/l/678183/2019-08-26/x57c/678183/29634/u20.png" TargetMode="External"/><Relationship Id="rId26" Type="http://schemas.openxmlformats.org/officeDocument/2006/relationships/hyperlink" Target="https://go.pjm.com/webmail/678183/1597068980/f6ab7595152aa3d05ea57a422feed3c7bc43576bb22cdaafa03a0db99c30323a" TargetMode="External"/><Relationship Id="rId3" Type="http://schemas.openxmlformats.org/officeDocument/2006/relationships/settings" Target="settings.xml"/><Relationship Id="rId21" Type="http://schemas.openxmlformats.org/officeDocument/2006/relationships/image" Target="https://go.pjm.com/l/678183/2019-08-26/x579/678183/29632/u19.png" TargetMode="External"/><Relationship Id="rId7" Type="http://schemas.openxmlformats.org/officeDocument/2006/relationships/hyperlink" Target="https://go.pjm.com/e/678183/y-tls-1-3-transition-guide-pdf/21f5ch/1597068980/h/Pkh2uM7wq5EY_a-yy4jhIhY8XVsWnvH2l_XlRlgqJy0" TargetMode="Externa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mailto:dick@reliableenergyanalytics.com" TargetMode="External"/><Relationship Id="rId2" Type="http://schemas.openxmlformats.org/officeDocument/2006/relationships/styles" Target="styles.xml"/><Relationship Id="rId16" Type="http://schemas.openxmlformats.org/officeDocument/2006/relationships/hyperlink" Target="https://go.pjm.com/e/678183/l-678183-2019-08-16-vjxq/21f5cs/1597068980/h/Pkh2uM7wq5EY_a-yy4jhIhY8XVsWnvH2l_XlRlgqJy0"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https://go.pjm.com/l/678183/2019-08-26/xq31/678183/29708/Technical.jpg" TargetMode="External"/><Relationship Id="rId11" Type="http://schemas.openxmlformats.org/officeDocument/2006/relationships/hyperlink" Target="https://go.pjm.com/e/678183/l-678183-2019-08-16-vjx8/21f5cp/1597068980/h/Pkh2uM7wq5EY_a-yy4jhIhY8XVsWnvH2l_XlRlgqJy0" TargetMode="External"/><Relationship Id="rId24" Type="http://schemas.openxmlformats.org/officeDocument/2006/relationships/hyperlink" Target="tel:(866)%20400%208980" TargetMode="External"/><Relationship Id="rId5" Type="http://schemas.openxmlformats.org/officeDocument/2006/relationships/image" Target="media/image1.jpeg"/><Relationship Id="rId15" Type="http://schemas.openxmlformats.org/officeDocument/2006/relationships/image" Target="https://go.pjm.com/l/678183/2019-08-28/xz2w/678183/30232/PJM_1_color_logo_sm.png" TargetMode="External"/><Relationship Id="rId23" Type="http://schemas.openxmlformats.org/officeDocument/2006/relationships/hyperlink" Target="tel:(610)%20666%208980" TargetMode="External"/><Relationship Id="rId28" Type="http://schemas.openxmlformats.org/officeDocument/2006/relationships/theme" Target="theme/theme1.xml"/><Relationship Id="rId10" Type="http://schemas.openxmlformats.org/officeDocument/2006/relationships/hyperlink" Target="https://go.pjm.com/e/678183/l-678183-2019-08-16-vjx6/21f5cl/1597068980/h/Pkh2uM7wq5EY_a-yy4jhIhY8XVsWnvH2l_XlRlgqJy0" TargetMode="External"/><Relationship Id="rId19" Type="http://schemas.openxmlformats.org/officeDocument/2006/relationships/hyperlink" Target="https://go.pjm.com/e/678183/l-678183-2019-08-16-vjxs/21f5cw/1597068980/h/Pkh2uM7wq5EY_a-yy4jhIhY8XVsWnvH2l_XlRlgqJy0" TargetMode="External"/><Relationship Id="rId4" Type="http://schemas.openxmlformats.org/officeDocument/2006/relationships/webSettings" Target="webSettings.xml"/><Relationship Id="rId9" Type="http://schemas.openxmlformats.org/officeDocument/2006/relationships/hyperlink" Target="mailto:custsvc@pjm.com" TargetMode="External"/><Relationship Id="rId14" Type="http://schemas.openxmlformats.org/officeDocument/2006/relationships/image" Target="media/image3.png"/><Relationship Id="rId22" Type="http://schemas.openxmlformats.org/officeDocument/2006/relationships/hyperlink" Target="https://go.pjm.com/emailPreference/e/epc/678183/FLryBs3P4gTbbqNDI81tul_ZTItRJmk256ZHr5zkEH0/53/f6ab7595152aa3d05ea57a422feed3c7bc43576bb22cdaafa03a0db99c30323a/159706898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2026-07-14T15:08:00Z</dcterms:created>
  <dcterms:modified xsi:type="dcterms:W3CDTF">2026-07-14T15:09:00Z</dcterms:modified>
</cp:coreProperties>
</file>