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1062A5">
      <w:pPr>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5E83585F" w:rsidR="00C44C62" w:rsidRPr="000E5855" w:rsidRDefault="00C44C62" w:rsidP="001062A5">
      <w:pPr>
        <w:ind w:left="1440" w:hanging="1440"/>
      </w:pPr>
      <w:r w:rsidRPr="000E5855">
        <w:rPr>
          <w:b/>
          <w:bCs/>
        </w:rPr>
        <w:t xml:space="preserve">FROM: </w:t>
      </w:r>
      <w:r w:rsidRPr="000E5855">
        <w:rPr>
          <w:b/>
          <w:bCs/>
        </w:rPr>
        <w:tab/>
      </w:r>
      <w:r w:rsidR="002E4F17">
        <w:t>Caroline Trum</w:t>
      </w:r>
      <w:r w:rsidR="00230ECA">
        <w:t xml:space="preserve">, </w:t>
      </w:r>
      <w:r w:rsidR="00ED3FB5">
        <w:t xml:space="preserve">Director, Wholesale </w:t>
      </w:r>
      <w:r w:rsidR="002E4F17">
        <w:t>Electric</w:t>
      </w:r>
      <w:r w:rsidR="00815AEA">
        <w:t xml:space="preserve"> Quadrant</w:t>
      </w:r>
    </w:p>
    <w:p w14:paraId="2BD3EE26" w14:textId="282186C5" w:rsidR="00C44C62" w:rsidRPr="000E5855" w:rsidRDefault="00C44C62" w:rsidP="001062A5">
      <w:pPr>
        <w:ind w:left="1440" w:hanging="1440"/>
      </w:pPr>
      <w:r w:rsidRPr="000E5855">
        <w:rPr>
          <w:b/>
          <w:bCs/>
        </w:rPr>
        <w:t>RE:</w:t>
      </w:r>
      <w:r w:rsidRPr="000E5855">
        <w:rPr>
          <w:b/>
          <w:bCs/>
        </w:rPr>
        <w:tab/>
      </w:r>
      <w:r w:rsidR="00230ECA">
        <w:t>Draft Minutes from</w:t>
      </w:r>
      <w:r w:rsidR="005965E2">
        <w:t xml:space="preserve"> </w:t>
      </w:r>
      <w:r w:rsidR="002E4F17">
        <w:t>December 5</w:t>
      </w:r>
      <w:r w:rsidR="00372AA2">
        <w:t>, 2023</w:t>
      </w:r>
      <w:r w:rsidR="00230ECA">
        <w:t xml:space="preserve"> </w:t>
      </w:r>
      <w:r w:rsidR="002E4F17">
        <w:t xml:space="preserve">Joint </w:t>
      </w:r>
      <w:r w:rsidR="00230ECA">
        <w:t>WEQ B</w:t>
      </w:r>
      <w:r w:rsidR="00815AEA">
        <w:t xml:space="preserve">usiness </w:t>
      </w:r>
      <w:r w:rsidR="00230ECA">
        <w:t>P</w:t>
      </w:r>
      <w:r w:rsidR="00815AEA">
        <w:t xml:space="preserve">ractices </w:t>
      </w:r>
      <w:r w:rsidR="00230ECA">
        <w:t>S</w:t>
      </w:r>
      <w:r w:rsidR="00815AEA">
        <w:t>ubcommittee (BPS), RMQ BPS, and WEQ Cybersecurity Subcommittee</w:t>
      </w:r>
      <w:r w:rsidR="002E4F17">
        <w:t xml:space="preserve"> (CSS) </w:t>
      </w:r>
      <w:r w:rsidR="00A856C9">
        <w:t>Meeti</w:t>
      </w:r>
      <w:r w:rsidR="00230ECA">
        <w:t>ng</w:t>
      </w:r>
    </w:p>
    <w:p w14:paraId="7C63E7B7" w14:textId="2D633775" w:rsidR="00C44C62" w:rsidRPr="000E5855" w:rsidRDefault="00C44C62" w:rsidP="001062A5">
      <w:pPr>
        <w:pBdr>
          <w:bottom w:val="single" w:sz="12" w:space="1" w:color="auto"/>
        </w:pBdr>
      </w:pPr>
      <w:r w:rsidRPr="000E5855">
        <w:rPr>
          <w:b/>
          <w:bCs/>
        </w:rPr>
        <w:t>DATE:</w:t>
      </w:r>
      <w:r w:rsidRPr="000E5855">
        <w:tab/>
      </w:r>
      <w:r w:rsidRPr="000E5855">
        <w:tab/>
      </w:r>
      <w:r w:rsidR="002E4F17">
        <w:t>December 7</w:t>
      </w:r>
      <w:r w:rsidR="00941592">
        <w:t>, 2023</w:t>
      </w:r>
    </w:p>
    <w:p w14:paraId="1FBD555D" w14:textId="77777777" w:rsidR="00C44C62" w:rsidRDefault="00C44C62" w:rsidP="00EA2474">
      <w:pPr>
        <w:widowControl w:val="0"/>
        <w:jc w:val="center"/>
        <w:rPr>
          <w:b/>
          <w:bCs/>
        </w:rPr>
      </w:pPr>
      <w:r>
        <w:rPr>
          <w:b/>
          <w:bCs/>
        </w:rPr>
        <w:t>WHOLESALE ELECTRIC QUADRANT</w:t>
      </w:r>
    </w:p>
    <w:p w14:paraId="08DBD211" w14:textId="13987B47" w:rsidR="003141FA" w:rsidRDefault="003141FA" w:rsidP="003141FA">
      <w:pPr>
        <w:widowControl w:val="0"/>
        <w:jc w:val="center"/>
        <w:rPr>
          <w:b/>
          <w:bCs/>
        </w:rPr>
      </w:pPr>
      <w:r>
        <w:rPr>
          <w:b/>
          <w:bCs/>
        </w:rPr>
        <w:t>RETAIL MARKETS QUADRANT</w:t>
      </w:r>
    </w:p>
    <w:p w14:paraId="3D808A41" w14:textId="52CDD410" w:rsidR="00C44C62" w:rsidRPr="000E5855" w:rsidRDefault="00C44C62" w:rsidP="00EA2474">
      <w:pPr>
        <w:widowControl w:val="0"/>
        <w:jc w:val="center"/>
        <w:rPr>
          <w:b/>
          <w:bCs/>
        </w:rPr>
      </w:pPr>
      <w:r>
        <w:rPr>
          <w:b/>
          <w:bCs/>
        </w:rPr>
        <w:t>Business Practices Subcommittee</w:t>
      </w:r>
      <w:r w:rsidR="003141FA">
        <w:rPr>
          <w:b/>
          <w:bCs/>
        </w:rPr>
        <w:t>s and Cybersecurity Subcommittee</w:t>
      </w:r>
      <w:r>
        <w:rPr>
          <w:b/>
          <w:bCs/>
        </w:rPr>
        <w:t xml:space="preserve"> </w:t>
      </w:r>
    </w:p>
    <w:p w14:paraId="0744C5AB" w14:textId="77777777" w:rsidR="00C44C62" w:rsidRPr="00A51F65" w:rsidRDefault="006403FE" w:rsidP="00EA2474">
      <w:pPr>
        <w:widowControl w:val="0"/>
        <w:jc w:val="center"/>
        <w:outlineLvl w:val="2"/>
        <w:rPr>
          <w:b/>
          <w:bCs/>
        </w:rPr>
      </w:pPr>
      <w:r>
        <w:rPr>
          <w:b/>
          <w:bCs/>
        </w:rPr>
        <w:t>Conference Call</w:t>
      </w:r>
    </w:p>
    <w:p w14:paraId="20163922" w14:textId="4E446EBB" w:rsidR="00C44C62" w:rsidRDefault="002E4F17" w:rsidP="0063021A">
      <w:pPr>
        <w:widowControl w:val="0"/>
        <w:jc w:val="center"/>
        <w:outlineLvl w:val="2"/>
        <w:rPr>
          <w:b/>
          <w:bCs/>
        </w:rPr>
      </w:pPr>
      <w:r>
        <w:rPr>
          <w:b/>
          <w:bCs/>
        </w:rPr>
        <w:t>December 5</w:t>
      </w:r>
      <w:r w:rsidR="000807B7">
        <w:rPr>
          <w:b/>
          <w:bCs/>
        </w:rPr>
        <w:t>, 2023</w:t>
      </w:r>
      <w:r w:rsidR="00B70957">
        <w:rPr>
          <w:b/>
          <w:bCs/>
        </w:rPr>
        <w:t xml:space="preserve"> – </w:t>
      </w:r>
      <w:r>
        <w:rPr>
          <w:b/>
          <w:bCs/>
        </w:rPr>
        <w:t>2:30</w:t>
      </w:r>
      <w:r w:rsidR="00F250F8">
        <w:rPr>
          <w:b/>
          <w:bCs/>
        </w:rPr>
        <w:t xml:space="preserve"> </w:t>
      </w:r>
      <w:r w:rsidR="001D1C24">
        <w:rPr>
          <w:b/>
          <w:bCs/>
        </w:rPr>
        <w:t>P</w:t>
      </w:r>
      <w:r w:rsidR="00F250F8">
        <w:rPr>
          <w:b/>
          <w:bCs/>
        </w:rPr>
        <w:t>M</w:t>
      </w:r>
      <w:r w:rsidR="00B70957">
        <w:rPr>
          <w:b/>
          <w:bCs/>
        </w:rPr>
        <w:t xml:space="preserve"> to </w:t>
      </w:r>
      <w:r>
        <w:rPr>
          <w:b/>
          <w:bCs/>
        </w:rPr>
        <w:t>4:30</w:t>
      </w:r>
      <w:r w:rsidR="00F250F8">
        <w:rPr>
          <w:b/>
          <w:bCs/>
        </w:rPr>
        <w:t xml:space="preserve"> </w:t>
      </w:r>
      <w:r w:rsidR="00437FB7">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79197D">
      <w:pPr>
        <w:widowControl w:val="0"/>
        <w:spacing w:before="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79197D">
      <w:pPr>
        <w:numPr>
          <w:ilvl w:val="0"/>
          <w:numId w:val="11"/>
        </w:numPr>
        <w:tabs>
          <w:tab w:val="left" w:pos="1440"/>
        </w:tabs>
        <w:spacing w:before="120"/>
        <w:ind w:left="0" w:firstLine="0"/>
        <w:jc w:val="both"/>
        <w:rPr>
          <w:b/>
          <w:bCs/>
        </w:rPr>
      </w:pPr>
      <w:r w:rsidRPr="00EF45DE">
        <w:rPr>
          <w:b/>
          <w:bCs/>
        </w:rPr>
        <w:t>Welcome</w:t>
      </w:r>
    </w:p>
    <w:p w14:paraId="315A07D3" w14:textId="308425CD" w:rsidR="001D1C24" w:rsidRDefault="00790D69" w:rsidP="0079197D">
      <w:pPr>
        <w:spacing w:before="120"/>
        <w:jc w:val="both"/>
      </w:pPr>
      <w:r>
        <w:t xml:space="preserve">Mr. </w:t>
      </w:r>
      <w:r w:rsidR="001D1C24">
        <w:t>Phillips</w:t>
      </w:r>
      <w:r w:rsidR="007577F1">
        <w:t xml:space="preserve"> </w:t>
      </w:r>
      <w:r w:rsidR="00C44C62" w:rsidRPr="005443F7">
        <w:t xml:space="preserve">welcomed </w:t>
      </w:r>
      <w:r w:rsidR="00DA493E">
        <w:t xml:space="preserve">the </w:t>
      </w:r>
      <w:r w:rsidR="00C44C62" w:rsidRPr="005443F7">
        <w:t xml:space="preserve">participants to the meeting. </w:t>
      </w:r>
      <w:r w:rsidR="002D6B08">
        <w:t>Ms.</w:t>
      </w:r>
      <w:r w:rsidR="007577F1">
        <w:t xml:space="preserve"> </w:t>
      </w:r>
      <w:r w:rsidR="001D1C24">
        <w:t>Trum</w:t>
      </w:r>
      <w:r w:rsidR="007577F1">
        <w:t xml:space="preserve"> </w:t>
      </w:r>
      <w:r w:rsidR="002D2E6E">
        <w:t>provided the antitrust and meeting policies reminder</w:t>
      </w:r>
      <w:r w:rsidR="00C44C62" w:rsidRPr="005443F7">
        <w:t>.</w:t>
      </w:r>
      <w:r w:rsidR="00AB6EB6">
        <w:t xml:space="preserve">  </w:t>
      </w:r>
      <w:r w:rsidR="00F04232">
        <w:t>The participants introduced themselves</w:t>
      </w:r>
      <w:r w:rsidR="007C241C">
        <w:t xml:space="preserve">.  </w:t>
      </w:r>
      <w:r w:rsidR="007577F1">
        <w:t xml:space="preserve">Mr. </w:t>
      </w:r>
      <w:r w:rsidR="001D1C24">
        <w:t>Phillip</w:t>
      </w:r>
      <w:r w:rsidR="007577F1">
        <w:t>s</w:t>
      </w:r>
      <w:r>
        <w:t xml:space="preserve"> </w:t>
      </w:r>
      <w:r w:rsidR="00515FAB">
        <w:t>reviewed the agenda</w:t>
      </w:r>
      <w:r w:rsidR="00340AF3">
        <w:t xml:space="preserve">.  </w:t>
      </w:r>
      <w:r w:rsidR="007577F1">
        <w:t xml:space="preserve">Mr. </w:t>
      </w:r>
      <w:r w:rsidR="001D1C24">
        <w:t>Brooks</w:t>
      </w:r>
      <w:r w:rsidR="007577F1">
        <w:t xml:space="preserve"> moved</w:t>
      </w:r>
      <w:r w:rsidR="001D1C24">
        <w:t>, seconded by Mr. Galloway,</w:t>
      </w:r>
      <w:r w:rsidR="007577F1">
        <w:t xml:space="preserve"> to adopt the agenda as final.</w:t>
      </w:r>
      <w:r w:rsidR="001D1C24">
        <w:t xml:space="preserve">  The motion passed a simple majority vote without opposition.</w:t>
      </w:r>
    </w:p>
    <w:p w14:paraId="72C2DE41" w14:textId="20BE6D32" w:rsidR="001D1C24" w:rsidRPr="001D1C24" w:rsidRDefault="001D1C24" w:rsidP="001D1C24">
      <w:pPr>
        <w:spacing w:before="120"/>
        <w:jc w:val="both"/>
      </w:pPr>
      <w:r>
        <w:t xml:space="preserve">The participants reviewed the draft minutes from the </w:t>
      </w:r>
      <w:r w:rsidR="002E4F17">
        <w:t>November 15</w:t>
      </w:r>
      <w:r>
        <w:t xml:space="preserve">, 2023 meeting.  </w:t>
      </w:r>
      <w:r w:rsidR="002E4F17">
        <w:t xml:space="preserve">One modification was made to correct a typographical error.  </w:t>
      </w:r>
      <w:r w:rsidR="007577F1">
        <w:t xml:space="preserve">Mr. Brooks </w:t>
      </w:r>
      <w:r>
        <w:t xml:space="preserve">moved, seconded by </w:t>
      </w:r>
      <w:r w:rsidR="002E4F17">
        <w:t>Mr. Galloway</w:t>
      </w:r>
      <w:r>
        <w:t>, to adopt the</w:t>
      </w:r>
      <w:r w:rsidR="002E4F17">
        <w:t xml:space="preserve"> revised</w:t>
      </w:r>
      <w:r>
        <w:t xml:space="preserve"> minutes as final.  The motion passed a simple majority vote without opposition.  The final minutes for the </w:t>
      </w:r>
      <w:r w:rsidR="002E4F17">
        <w:t>November 15</w:t>
      </w:r>
      <w:r>
        <w:t>, 2023 meeting can be viewed at the following link:</w:t>
      </w:r>
      <w:r w:rsidR="00545E19">
        <w:t xml:space="preserve"> </w:t>
      </w:r>
      <w:hyperlink r:id="rId8" w:history="1">
        <w:r w:rsidR="00FB6992">
          <w:rPr>
            <w:rStyle w:val="Hyperlink"/>
          </w:rPr>
          <w:t>https://www.naesb.org/pdf4/weq_bps_css_rmqbps111523fm.docx</w:t>
        </w:r>
      </w:hyperlink>
    </w:p>
    <w:p w14:paraId="0F2FDD99" w14:textId="463B79F7" w:rsidR="006C6388" w:rsidRPr="00C856DF" w:rsidRDefault="001D1C24" w:rsidP="0079197D">
      <w:pPr>
        <w:numPr>
          <w:ilvl w:val="0"/>
          <w:numId w:val="11"/>
        </w:numPr>
        <w:tabs>
          <w:tab w:val="num" w:pos="1620"/>
          <w:tab w:val="num" w:pos="2160"/>
        </w:tabs>
        <w:spacing w:before="120"/>
        <w:jc w:val="both"/>
        <w:rPr>
          <w:b/>
        </w:rPr>
      </w:pPr>
      <w:r>
        <w:rPr>
          <w:b/>
        </w:rPr>
        <w:t xml:space="preserve">Continue to </w:t>
      </w:r>
      <w:r w:rsidR="00C856DF">
        <w:rPr>
          <w:b/>
        </w:rPr>
        <w:t>D</w:t>
      </w:r>
      <w:r w:rsidR="00C856DF" w:rsidRPr="00C856DF">
        <w:rPr>
          <w:b/>
        </w:rPr>
        <w:t xml:space="preserve">iscuss </w:t>
      </w:r>
      <w:bookmarkStart w:id="0" w:name="_Hlk145073326"/>
      <w:r w:rsidR="00C856DF" w:rsidRPr="00C856DF">
        <w:rPr>
          <w:b/>
        </w:rPr>
        <w:t>2023 WEQ Annual Plan Item 3.d 2023 RMQ Annual Plan Item 4.a – Review cybersecurity</w:t>
      </w:r>
      <w:r w:rsidR="00307A76">
        <w:rPr>
          <w:b/>
        </w:rPr>
        <w:t xml:space="preserve"> </w:t>
      </w:r>
      <w:r w:rsidR="00C856DF" w:rsidRPr="00C856DF">
        <w:rPr>
          <w:b/>
        </w:rPr>
        <w:t>protections, such as Public Key Infrastructure (PKI), that may be necessary to secure electronic communications for distributed energy resources (DERs), and develop business practices as needed</w:t>
      </w:r>
      <w:bookmarkEnd w:id="0"/>
    </w:p>
    <w:p w14:paraId="38521982" w14:textId="77777777" w:rsidR="00BF5DC0" w:rsidRDefault="001D1C24" w:rsidP="002E4F17">
      <w:pPr>
        <w:tabs>
          <w:tab w:val="num" w:pos="1620"/>
        </w:tabs>
        <w:spacing w:before="120"/>
        <w:jc w:val="both"/>
        <w:rPr>
          <w:bCs/>
        </w:rPr>
      </w:pPr>
      <w:r>
        <w:rPr>
          <w:bCs/>
        </w:rPr>
        <w:t xml:space="preserve">Mr. Phillips </w:t>
      </w:r>
      <w:r w:rsidR="002E4F17">
        <w:rPr>
          <w:bCs/>
        </w:rPr>
        <w:t xml:space="preserve">stated that during the previous meeting, the participants had reviewed </w:t>
      </w:r>
      <w:r w:rsidR="009B69FA">
        <w:rPr>
          <w:bCs/>
        </w:rPr>
        <w:t xml:space="preserve">and revised the </w:t>
      </w:r>
      <w:hyperlink r:id="rId9" w:history="1">
        <w:r w:rsidR="009B69FA" w:rsidRPr="009B69FA">
          <w:rPr>
            <w:rStyle w:val="Hyperlink"/>
            <w:bCs/>
          </w:rPr>
          <w:t>DER Communications Path Diagram</w:t>
        </w:r>
      </w:hyperlink>
      <w:r w:rsidR="009B69FA">
        <w:rPr>
          <w:bCs/>
        </w:rPr>
        <w:t xml:space="preserve">, agreeing to </w:t>
      </w:r>
      <w:hyperlink r:id="rId10" w:history="1">
        <w:r w:rsidR="009B69FA" w:rsidRPr="009B69FA">
          <w:rPr>
            <w:rStyle w:val="Hyperlink"/>
            <w:bCs/>
          </w:rPr>
          <w:t>initially focus</w:t>
        </w:r>
      </w:hyperlink>
      <w:r w:rsidR="009B69FA">
        <w:rPr>
          <w:bCs/>
        </w:rPr>
        <w:t xml:space="preserve"> on the consideration of access and authorization controls for Paths C, D, and E.  He indicated that the </w:t>
      </w:r>
      <w:r w:rsidR="00523768">
        <w:rPr>
          <w:bCs/>
        </w:rPr>
        <w:t xml:space="preserve">participants had discussed creating use cases around these communication pathways </w:t>
      </w:r>
      <w:r w:rsidR="00F17D63">
        <w:rPr>
          <w:bCs/>
        </w:rPr>
        <w:t xml:space="preserve">and suggested that it may be helpful to begin by reviewing the </w:t>
      </w:r>
      <w:hyperlink r:id="rId11" w:history="1">
        <w:r w:rsidR="00F17D63" w:rsidRPr="00F17D63">
          <w:rPr>
            <w:rStyle w:val="Hyperlink"/>
            <w:bCs/>
          </w:rPr>
          <w:t>NIST Cybersecurity Framework Spreadsheet</w:t>
        </w:r>
      </w:hyperlink>
      <w:r w:rsidR="00F17D63">
        <w:rPr>
          <w:bCs/>
        </w:rPr>
        <w:t>.  Ms. Lee stated that NIST is in the process of making major revisions to the framework, noting that a draft was released in August for comments.</w:t>
      </w:r>
      <w:r w:rsidR="00BF5DC0">
        <w:rPr>
          <w:bCs/>
        </w:rPr>
        <w:t xml:space="preserve">  She explained that the draft NIST Cybersecurity Framework 2.0 makes significant changes and suggested that the participants may want to wait until this document is available in early 2024.</w:t>
      </w:r>
    </w:p>
    <w:p w14:paraId="2FD16C71" w14:textId="0C325229" w:rsidR="005246B6" w:rsidRDefault="00BF5DC0" w:rsidP="002E4F17">
      <w:pPr>
        <w:tabs>
          <w:tab w:val="num" w:pos="1620"/>
        </w:tabs>
        <w:spacing w:before="120"/>
        <w:jc w:val="both"/>
        <w:rPr>
          <w:bCs/>
        </w:rPr>
      </w:pPr>
      <w:r>
        <w:rPr>
          <w:bCs/>
        </w:rPr>
        <w:t>Mr. Galloway asked if there is documentation available regarding any existing communication and cybersecurity protocols</w:t>
      </w:r>
      <w:r w:rsidR="00F17D63">
        <w:rPr>
          <w:bCs/>
        </w:rPr>
        <w:t xml:space="preserve"> </w:t>
      </w:r>
      <w:r>
        <w:rPr>
          <w:bCs/>
        </w:rPr>
        <w:t xml:space="preserve">that may be applicable to securing DER related communication pathways.  </w:t>
      </w:r>
      <w:r w:rsidR="00D81F86">
        <w:rPr>
          <w:bCs/>
        </w:rPr>
        <w:t xml:space="preserve">Ms. Trum stated that the </w:t>
      </w:r>
      <w:hyperlink r:id="rId12" w:history="1">
        <w:r w:rsidR="00D81F86" w:rsidRPr="00D81F86">
          <w:rPr>
            <w:rStyle w:val="Hyperlink"/>
            <w:bCs/>
          </w:rPr>
          <w:t>NIST Framework-Roadmap for Smart Grid Interoperability Standards Release 4.0</w:t>
        </w:r>
      </w:hyperlink>
      <w:r w:rsidR="00D81F86">
        <w:rPr>
          <w:bCs/>
        </w:rPr>
        <w:t xml:space="preserve"> </w:t>
      </w:r>
      <w:r w:rsidR="00A813A2">
        <w:rPr>
          <w:bCs/>
        </w:rPr>
        <w:t xml:space="preserve">(NIST Smart Grid Framework) </w:t>
      </w:r>
      <w:r w:rsidR="00D81F86">
        <w:rPr>
          <w:bCs/>
        </w:rPr>
        <w:t xml:space="preserve">contains references to existing standards and that </w:t>
      </w:r>
      <w:r>
        <w:rPr>
          <w:bCs/>
        </w:rPr>
        <w:t>there is a U.S. DoE initiative, in conjunction with several national laboratories, to compile and document available guidance and standards development in this area.  She noted that there was interest from the U.S. DoE project liaison in the NAESB effort.</w:t>
      </w:r>
      <w:r w:rsidR="00D81F86">
        <w:rPr>
          <w:bCs/>
        </w:rPr>
        <w:t xml:space="preserve">  </w:t>
      </w:r>
      <w:r w:rsidR="000801D7">
        <w:rPr>
          <w:bCs/>
        </w:rPr>
        <w:t xml:space="preserve">Ms. Lee suggested that it may be beneficial to have U.S. DoE participation in a future meeting.  </w:t>
      </w:r>
      <w:r w:rsidR="00D81F86">
        <w:rPr>
          <w:bCs/>
        </w:rPr>
        <w:t xml:space="preserve">Mr. Watson stated that Duke Energy, in conjunction with several car manufacturers, is conducting an electric vehicle charging pilot program </w:t>
      </w:r>
      <w:r w:rsidR="00DF3467">
        <w:rPr>
          <w:bCs/>
        </w:rPr>
        <w:t xml:space="preserve">that uses an </w:t>
      </w:r>
      <w:proofErr w:type="spellStart"/>
      <w:r w:rsidR="00DF3467">
        <w:rPr>
          <w:bCs/>
        </w:rPr>
        <w:t>OpenADR</w:t>
      </w:r>
      <w:proofErr w:type="spellEnd"/>
      <w:r w:rsidR="00DF3467">
        <w:rPr>
          <w:bCs/>
        </w:rPr>
        <w:t xml:space="preserve"> based platform to communicate with the devices and ensure device security.  Mr. Brooks suggested that it could be helpful if </w:t>
      </w:r>
      <w:r w:rsidR="00F400BF">
        <w:rPr>
          <w:bCs/>
        </w:rPr>
        <w:t>subcommittee participants provided use case examples that are based on existing projects</w:t>
      </w:r>
      <w:r w:rsidR="000801D7">
        <w:rPr>
          <w:bCs/>
        </w:rPr>
        <w:t>, especially from a DER aggregator perspective.</w:t>
      </w:r>
    </w:p>
    <w:p w14:paraId="37FBF2D4" w14:textId="1FA12110" w:rsidR="00F400BF" w:rsidRDefault="00F400BF" w:rsidP="002E4F17">
      <w:pPr>
        <w:tabs>
          <w:tab w:val="num" w:pos="1620"/>
        </w:tabs>
        <w:spacing w:before="120"/>
        <w:jc w:val="both"/>
        <w:rPr>
          <w:bCs/>
        </w:rPr>
      </w:pPr>
      <w:r>
        <w:rPr>
          <w:bCs/>
        </w:rPr>
        <w:lastRenderedPageBreak/>
        <w:t xml:space="preserve">Mr. Brooks asked what party would be responsible for establishing rules or requirements related to communication protocols and cybersecurity for DER aggregators.  Mr. Galloway responded that from an ISO/RTO perspective, the DER aggregator is required to register as a market participant and would be subject to ISO’s/RTO’s market rules and procedures.  He noted that the market rules likely do not stipulate how a market participant communicates with field assets.  Mr. </w:t>
      </w:r>
      <w:r w:rsidR="00E23CDD">
        <w:rPr>
          <w:bCs/>
        </w:rPr>
        <w:t xml:space="preserve">Pence agreed, stating that communications between a DER aggregator and field resources is likely happening at the distribution system level.  Ms. Lee stated that at the distribution level, a DER aggregator could be subject to several different requirements as state policies and regulations vary.  Mr. Brooks noted that this could mean that a DER aggregator is responsible for managing several different communication and security protocols, depending on which type of market participant with which its interacting. </w:t>
      </w:r>
    </w:p>
    <w:p w14:paraId="3471185F" w14:textId="77777777" w:rsidR="00A813A2" w:rsidRDefault="002917DC" w:rsidP="002E4F17">
      <w:pPr>
        <w:tabs>
          <w:tab w:val="num" w:pos="1620"/>
        </w:tabs>
        <w:spacing w:before="120"/>
        <w:jc w:val="both"/>
        <w:rPr>
          <w:bCs/>
        </w:rPr>
      </w:pPr>
      <w:r>
        <w:rPr>
          <w:bCs/>
        </w:rPr>
        <w:t xml:space="preserve">Mr. Brooks stated that one of the key questions is determining which market participant interactions would benefit from the development of standards.  Mr. Galloway suggested that it may be helpful to consider the system layer that the communication is taking place as well as the market function of the communication.  He noted that the structure of the business interaction will influence the threat model to be used and the type of security protections that will be beneficial.  </w:t>
      </w:r>
    </w:p>
    <w:p w14:paraId="199F6A3C" w14:textId="27762039" w:rsidR="00E23CDD" w:rsidRDefault="00A813A2" w:rsidP="002E4F17">
      <w:pPr>
        <w:tabs>
          <w:tab w:val="num" w:pos="1620"/>
        </w:tabs>
        <w:spacing w:before="120"/>
        <w:jc w:val="both"/>
        <w:rPr>
          <w:bCs/>
        </w:rPr>
      </w:pPr>
      <w:r>
        <w:rPr>
          <w:bCs/>
        </w:rPr>
        <w:t xml:space="preserve">The participants reviewed the Legacy Communication Pathways Scenario and the High-DER Communication Pathway Scenario diagrams included in the NIST Smart Grid Framework.  Mr. Phillips </w:t>
      </w:r>
      <w:r w:rsidR="00061C9B">
        <w:rPr>
          <w:bCs/>
        </w:rPr>
        <w:t>noted</w:t>
      </w:r>
      <w:r>
        <w:rPr>
          <w:bCs/>
        </w:rPr>
        <w:t xml:space="preserve"> that one area of focus for NAESB standards could be the commercial communication transactions between third-party service providers and customers and third-party service providers and </w:t>
      </w:r>
      <w:r w:rsidR="00061C9B">
        <w:rPr>
          <w:bCs/>
        </w:rPr>
        <w:t xml:space="preserve">energy service interfaces.  He suggested that a starting point may be to identify the broad protections that would be applicable, such as ensuring the communications by the </w:t>
      </w:r>
      <w:r w:rsidR="005C417D">
        <w:rPr>
          <w:bCs/>
        </w:rPr>
        <w:t>third-party</w:t>
      </w:r>
      <w:r w:rsidR="00061C9B">
        <w:rPr>
          <w:bCs/>
        </w:rPr>
        <w:t xml:space="preserve"> service provider are secured with a TLS protocol and PKI digital certificate, and then determining </w:t>
      </w:r>
      <w:r w:rsidR="000801D7">
        <w:rPr>
          <w:bCs/>
        </w:rPr>
        <w:t xml:space="preserve">if there is a need to move to a deeper level of specificity. </w:t>
      </w:r>
    </w:p>
    <w:p w14:paraId="53CA196C" w14:textId="30067DEE" w:rsidR="00996F77" w:rsidRDefault="00D7354D" w:rsidP="0079197D">
      <w:pPr>
        <w:widowControl w:val="0"/>
        <w:numPr>
          <w:ilvl w:val="0"/>
          <w:numId w:val="11"/>
        </w:numPr>
        <w:tabs>
          <w:tab w:val="left" w:pos="1440"/>
        </w:tabs>
        <w:spacing w:before="120"/>
        <w:ind w:left="0" w:firstLine="0"/>
        <w:jc w:val="both"/>
        <w:rPr>
          <w:b/>
          <w:bCs/>
        </w:rPr>
      </w:pPr>
      <w:r>
        <w:rPr>
          <w:b/>
          <w:bCs/>
        </w:rPr>
        <w:t>Other Business</w:t>
      </w:r>
    </w:p>
    <w:p w14:paraId="68CDC96E" w14:textId="5E7E8483" w:rsidR="000801D7" w:rsidRDefault="00545E19" w:rsidP="0079197D">
      <w:pPr>
        <w:spacing w:before="120"/>
        <w:jc w:val="both"/>
      </w:pPr>
      <w:r>
        <w:t xml:space="preserve">Mr. Phillips </w:t>
      </w:r>
      <w:r w:rsidR="000801D7">
        <w:t xml:space="preserve">stated that subcommittee leadership is working with NAESB staff on the meeting schedule for next year.  He indicated that all three subcommittees have multiple annual plan assignments for 2024, several of which related to DERs.  Ms. Trum </w:t>
      </w:r>
      <w:r w:rsidR="001263A3">
        <w:t>stated</w:t>
      </w:r>
      <w:r w:rsidR="000801D7">
        <w:t xml:space="preserve"> that as discussed in the most recent Executive Committee meetings, the U.S. DoE has approached NAESB regarding the potential development of a model contract for the acquisition of distribution services.</w:t>
      </w:r>
    </w:p>
    <w:p w14:paraId="3691BDEB" w14:textId="71C0E59A" w:rsidR="00171CE0" w:rsidRDefault="00C44C62" w:rsidP="0079197D">
      <w:pPr>
        <w:widowControl w:val="0"/>
        <w:numPr>
          <w:ilvl w:val="0"/>
          <w:numId w:val="11"/>
        </w:numPr>
        <w:tabs>
          <w:tab w:val="left" w:pos="1440"/>
        </w:tabs>
        <w:spacing w:before="120"/>
        <w:ind w:left="0" w:firstLine="0"/>
        <w:jc w:val="both"/>
        <w:rPr>
          <w:b/>
          <w:bCs/>
        </w:rPr>
      </w:pPr>
      <w:r w:rsidRPr="00A651AC">
        <w:rPr>
          <w:b/>
          <w:bCs/>
        </w:rPr>
        <w:t>Adjourn</w:t>
      </w:r>
    </w:p>
    <w:p w14:paraId="3FE6566B" w14:textId="355A325F" w:rsidR="0079197D" w:rsidRDefault="000D609A" w:rsidP="00445021">
      <w:pPr>
        <w:widowControl w:val="0"/>
        <w:tabs>
          <w:tab w:val="left" w:pos="1440"/>
        </w:tabs>
        <w:spacing w:before="120"/>
        <w:jc w:val="both"/>
        <w:rPr>
          <w:bCs/>
        </w:rPr>
      </w:pPr>
      <w:r>
        <w:rPr>
          <w:bCs/>
        </w:rPr>
        <w:t>The meet</w:t>
      </w:r>
      <w:r w:rsidR="00D876BE">
        <w:rPr>
          <w:bCs/>
        </w:rPr>
        <w:t xml:space="preserve">ing adjourned </w:t>
      </w:r>
      <w:r w:rsidR="001D36F7">
        <w:rPr>
          <w:bCs/>
        </w:rPr>
        <w:t>at</w:t>
      </w:r>
      <w:r w:rsidR="00922889">
        <w:rPr>
          <w:bCs/>
        </w:rPr>
        <w:t xml:space="preserve"> </w:t>
      </w:r>
      <w:r w:rsidR="00E23CDD">
        <w:rPr>
          <w:bCs/>
        </w:rPr>
        <w:t>4:21 Central.</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79197D">
            <w:pPr>
              <w:widowControl w:val="0"/>
              <w:spacing w:before="120"/>
              <w:rPr>
                <w:rFonts w:ascii="Calibri" w:eastAsiaTheme="minorHAnsi" w:hAnsi="Calibri" w:cs="Calibri"/>
                <w:sz w:val="22"/>
                <w:szCs w:val="22"/>
              </w:rPr>
            </w:pPr>
            <w:bookmarkStart w:id="1"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79197D">
            <w:pPr>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263A3" w:rsidRPr="00922889" w14:paraId="5CA323AD" w14:textId="77777777" w:rsidTr="001262CB">
        <w:tc>
          <w:tcPr>
            <w:tcW w:w="1998" w:type="dxa"/>
            <w:tcMar>
              <w:top w:w="0" w:type="dxa"/>
              <w:left w:w="108" w:type="dxa"/>
              <w:bottom w:w="0" w:type="dxa"/>
              <w:right w:w="108" w:type="dxa"/>
            </w:tcMar>
          </w:tcPr>
          <w:p w14:paraId="036AFFAA" w14:textId="3F7367BF" w:rsidR="001263A3" w:rsidRPr="001263A3" w:rsidRDefault="001263A3" w:rsidP="0079197D">
            <w:pPr>
              <w:widowControl w:val="0"/>
              <w:spacing w:before="120"/>
              <w:rPr>
                <w:bCs/>
              </w:rPr>
            </w:pPr>
            <w:r>
              <w:rPr>
                <w:bCs/>
              </w:rPr>
              <w:t>Tanner</w:t>
            </w:r>
          </w:p>
        </w:tc>
        <w:tc>
          <w:tcPr>
            <w:tcW w:w="3240" w:type="dxa"/>
            <w:tcMar>
              <w:top w:w="0" w:type="dxa"/>
              <w:left w:w="108" w:type="dxa"/>
              <w:bottom w:w="0" w:type="dxa"/>
              <w:right w:w="108" w:type="dxa"/>
            </w:tcMar>
          </w:tcPr>
          <w:p w14:paraId="3ADEBEA0" w14:textId="0D5E89F1" w:rsidR="001263A3" w:rsidRPr="001263A3" w:rsidRDefault="001263A3" w:rsidP="0079197D">
            <w:pPr>
              <w:widowControl w:val="0"/>
              <w:spacing w:before="120"/>
              <w:rPr>
                <w:bCs/>
              </w:rPr>
            </w:pPr>
            <w:r>
              <w:rPr>
                <w:bCs/>
              </w:rPr>
              <w:t>Brier</w:t>
            </w:r>
          </w:p>
        </w:tc>
        <w:tc>
          <w:tcPr>
            <w:tcW w:w="3870" w:type="dxa"/>
            <w:tcMar>
              <w:top w:w="0" w:type="dxa"/>
              <w:left w:w="108" w:type="dxa"/>
              <w:bottom w:w="0" w:type="dxa"/>
              <w:right w:w="108" w:type="dxa"/>
            </w:tcMar>
          </w:tcPr>
          <w:p w14:paraId="0E43DDDD" w14:textId="6B6D3695" w:rsidR="001263A3" w:rsidRPr="001263A3" w:rsidRDefault="001263A3" w:rsidP="00A55C8D">
            <w:pPr>
              <w:keepNext/>
              <w:keepLines/>
              <w:widowControl w:val="0"/>
              <w:spacing w:before="120"/>
              <w:rPr>
                <w:bCs/>
              </w:rPr>
            </w:pPr>
            <w:r>
              <w:rPr>
                <w:bCs/>
              </w:rPr>
              <w:t>BPA</w:t>
            </w:r>
          </w:p>
        </w:tc>
      </w:tr>
      <w:tr w:rsidR="00F401CD" w:rsidRPr="00922889" w14:paraId="69E38AD8" w14:textId="77777777" w:rsidTr="001262CB">
        <w:tc>
          <w:tcPr>
            <w:tcW w:w="1998" w:type="dxa"/>
            <w:tcMar>
              <w:top w:w="0" w:type="dxa"/>
              <w:left w:w="108" w:type="dxa"/>
              <w:bottom w:w="0" w:type="dxa"/>
              <w:right w:w="108" w:type="dxa"/>
            </w:tcMar>
          </w:tcPr>
          <w:p w14:paraId="08E7FFAD" w14:textId="2F292B00" w:rsidR="00F401CD" w:rsidRPr="001263A3" w:rsidRDefault="00F401CD" w:rsidP="0079197D">
            <w:pPr>
              <w:widowControl w:val="0"/>
              <w:spacing w:before="120"/>
              <w:rPr>
                <w:bCs/>
              </w:rPr>
            </w:pPr>
            <w:r w:rsidRPr="001263A3">
              <w:rPr>
                <w:bCs/>
              </w:rPr>
              <w:t>Dick</w:t>
            </w:r>
          </w:p>
        </w:tc>
        <w:tc>
          <w:tcPr>
            <w:tcW w:w="3240" w:type="dxa"/>
            <w:tcMar>
              <w:top w:w="0" w:type="dxa"/>
              <w:left w:w="108" w:type="dxa"/>
              <w:bottom w:w="0" w:type="dxa"/>
              <w:right w:w="108" w:type="dxa"/>
            </w:tcMar>
          </w:tcPr>
          <w:p w14:paraId="47483670" w14:textId="5EEB78F0" w:rsidR="00F401CD" w:rsidRPr="001263A3" w:rsidRDefault="00F401CD" w:rsidP="0079197D">
            <w:pPr>
              <w:widowControl w:val="0"/>
              <w:spacing w:before="120"/>
              <w:rPr>
                <w:bCs/>
              </w:rPr>
            </w:pPr>
            <w:r w:rsidRPr="001263A3">
              <w:rPr>
                <w:bCs/>
              </w:rPr>
              <w:t>Brooks</w:t>
            </w:r>
          </w:p>
        </w:tc>
        <w:tc>
          <w:tcPr>
            <w:tcW w:w="3870" w:type="dxa"/>
            <w:tcMar>
              <w:top w:w="0" w:type="dxa"/>
              <w:left w:w="108" w:type="dxa"/>
              <w:bottom w:w="0" w:type="dxa"/>
              <w:right w:w="108" w:type="dxa"/>
            </w:tcMar>
          </w:tcPr>
          <w:p w14:paraId="385D2F12" w14:textId="4B4D8467" w:rsidR="00F401CD" w:rsidRPr="001263A3" w:rsidRDefault="00F401CD" w:rsidP="00A55C8D">
            <w:pPr>
              <w:keepNext/>
              <w:keepLines/>
              <w:widowControl w:val="0"/>
              <w:spacing w:before="120"/>
              <w:rPr>
                <w:bCs/>
              </w:rPr>
            </w:pPr>
            <w:r w:rsidRPr="001263A3">
              <w:rPr>
                <w:bCs/>
              </w:rPr>
              <w:t>Reliable Energy Analytics</w:t>
            </w:r>
          </w:p>
        </w:tc>
      </w:tr>
      <w:tr w:rsidR="007577F1" w:rsidRPr="00922889" w14:paraId="4C5DF025" w14:textId="77777777" w:rsidTr="001262CB">
        <w:tc>
          <w:tcPr>
            <w:tcW w:w="1998" w:type="dxa"/>
            <w:tcMar>
              <w:top w:w="0" w:type="dxa"/>
              <w:left w:w="108" w:type="dxa"/>
              <w:bottom w:w="0" w:type="dxa"/>
              <w:right w:w="108" w:type="dxa"/>
            </w:tcMar>
          </w:tcPr>
          <w:p w14:paraId="51B846DA" w14:textId="66BD36BA" w:rsidR="007577F1" w:rsidRPr="001263A3" w:rsidRDefault="007577F1" w:rsidP="0079197D">
            <w:pPr>
              <w:widowControl w:val="0"/>
              <w:spacing w:before="120"/>
              <w:rPr>
                <w:bCs/>
              </w:rPr>
            </w:pPr>
            <w:r w:rsidRPr="001263A3">
              <w:rPr>
                <w:bCs/>
              </w:rPr>
              <w:t>Michelle</w:t>
            </w:r>
          </w:p>
        </w:tc>
        <w:tc>
          <w:tcPr>
            <w:tcW w:w="3240" w:type="dxa"/>
            <w:tcMar>
              <w:top w:w="0" w:type="dxa"/>
              <w:left w:w="108" w:type="dxa"/>
              <w:bottom w:w="0" w:type="dxa"/>
              <w:right w:w="108" w:type="dxa"/>
            </w:tcMar>
          </w:tcPr>
          <w:p w14:paraId="2582F702" w14:textId="7055867F" w:rsidR="007577F1" w:rsidRPr="001263A3" w:rsidRDefault="007577F1" w:rsidP="0079197D">
            <w:pPr>
              <w:widowControl w:val="0"/>
              <w:spacing w:before="120"/>
              <w:rPr>
                <w:bCs/>
              </w:rPr>
            </w:pPr>
            <w:r w:rsidRPr="001263A3">
              <w:rPr>
                <w:bCs/>
              </w:rPr>
              <w:t>Coon</w:t>
            </w:r>
          </w:p>
        </w:tc>
        <w:tc>
          <w:tcPr>
            <w:tcW w:w="3870" w:type="dxa"/>
            <w:tcMar>
              <w:top w:w="0" w:type="dxa"/>
              <w:left w:w="108" w:type="dxa"/>
              <w:bottom w:w="0" w:type="dxa"/>
              <w:right w:w="108" w:type="dxa"/>
            </w:tcMar>
          </w:tcPr>
          <w:p w14:paraId="2C4ACB17" w14:textId="66FF713E" w:rsidR="007577F1" w:rsidRPr="001263A3" w:rsidRDefault="007577F1" w:rsidP="00A55C8D">
            <w:pPr>
              <w:keepNext/>
              <w:keepLines/>
              <w:widowControl w:val="0"/>
              <w:spacing w:before="120"/>
              <w:rPr>
                <w:bCs/>
              </w:rPr>
            </w:pPr>
            <w:r w:rsidRPr="001263A3">
              <w:rPr>
                <w:bCs/>
              </w:rPr>
              <w:t>OATI</w:t>
            </w:r>
          </w:p>
        </w:tc>
      </w:tr>
      <w:tr w:rsidR="007577F1" w:rsidRPr="00922889" w14:paraId="47C6445A" w14:textId="77777777" w:rsidTr="001262CB">
        <w:tc>
          <w:tcPr>
            <w:tcW w:w="1998" w:type="dxa"/>
            <w:tcMar>
              <w:top w:w="0" w:type="dxa"/>
              <w:left w:w="108" w:type="dxa"/>
              <w:bottom w:w="0" w:type="dxa"/>
              <w:right w:w="108" w:type="dxa"/>
            </w:tcMar>
          </w:tcPr>
          <w:p w14:paraId="6F09A691" w14:textId="7C1257BF" w:rsidR="007577F1" w:rsidRPr="001263A3" w:rsidRDefault="007577F1" w:rsidP="0079197D">
            <w:pPr>
              <w:widowControl w:val="0"/>
              <w:spacing w:before="120"/>
              <w:rPr>
                <w:bCs/>
              </w:rPr>
            </w:pPr>
            <w:r w:rsidRPr="001263A3">
              <w:rPr>
                <w:bCs/>
              </w:rPr>
              <w:t>Keith</w:t>
            </w:r>
          </w:p>
        </w:tc>
        <w:tc>
          <w:tcPr>
            <w:tcW w:w="3240" w:type="dxa"/>
            <w:tcMar>
              <w:top w:w="0" w:type="dxa"/>
              <w:left w:w="108" w:type="dxa"/>
              <w:bottom w:w="0" w:type="dxa"/>
              <w:right w:w="108" w:type="dxa"/>
            </w:tcMar>
          </w:tcPr>
          <w:p w14:paraId="6047F313" w14:textId="7088ED92" w:rsidR="007577F1" w:rsidRPr="001263A3" w:rsidRDefault="007577F1" w:rsidP="0079197D">
            <w:pPr>
              <w:widowControl w:val="0"/>
              <w:spacing w:before="120"/>
              <w:rPr>
                <w:bCs/>
              </w:rPr>
            </w:pPr>
            <w:r w:rsidRPr="001263A3">
              <w:rPr>
                <w:bCs/>
              </w:rPr>
              <w:t>Dalia</w:t>
            </w:r>
          </w:p>
        </w:tc>
        <w:tc>
          <w:tcPr>
            <w:tcW w:w="3870" w:type="dxa"/>
            <w:tcMar>
              <w:top w:w="0" w:type="dxa"/>
              <w:left w:w="108" w:type="dxa"/>
              <w:bottom w:w="0" w:type="dxa"/>
              <w:right w:w="108" w:type="dxa"/>
            </w:tcMar>
          </w:tcPr>
          <w:p w14:paraId="4344F70B" w14:textId="500EF2AC" w:rsidR="007577F1" w:rsidRPr="001263A3" w:rsidRDefault="007577F1" w:rsidP="00A55C8D">
            <w:pPr>
              <w:keepNext/>
              <w:keepLines/>
              <w:widowControl w:val="0"/>
              <w:spacing w:before="120"/>
              <w:rPr>
                <w:bCs/>
              </w:rPr>
            </w:pPr>
            <w:r w:rsidRPr="001263A3">
              <w:rPr>
                <w:bCs/>
              </w:rPr>
              <w:t>Bonneville Power Administration</w:t>
            </w:r>
          </w:p>
        </w:tc>
      </w:tr>
      <w:tr w:rsidR="001263A3" w:rsidRPr="00922889" w14:paraId="2792B02C" w14:textId="77777777" w:rsidTr="001262CB">
        <w:tc>
          <w:tcPr>
            <w:tcW w:w="1998" w:type="dxa"/>
            <w:tcMar>
              <w:top w:w="0" w:type="dxa"/>
              <w:left w:w="108" w:type="dxa"/>
              <w:bottom w:w="0" w:type="dxa"/>
              <w:right w:w="108" w:type="dxa"/>
            </w:tcMar>
          </w:tcPr>
          <w:p w14:paraId="147576CC" w14:textId="15BEF1FD" w:rsidR="001263A3" w:rsidRPr="001263A3" w:rsidRDefault="001263A3" w:rsidP="0079197D">
            <w:pPr>
              <w:widowControl w:val="0"/>
              <w:spacing w:before="120"/>
              <w:rPr>
                <w:bCs/>
              </w:rPr>
            </w:pPr>
            <w:r>
              <w:rPr>
                <w:bCs/>
              </w:rPr>
              <w:t>David</w:t>
            </w:r>
          </w:p>
        </w:tc>
        <w:tc>
          <w:tcPr>
            <w:tcW w:w="3240" w:type="dxa"/>
            <w:tcMar>
              <w:top w:w="0" w:type="dxa"/>
              <w:left w:w="108" w:type="dxa"/>
              <w:bottom w:w="0" w:type="dxa"/>
              <w:right w:w="108" w:type="dxa"/>
            </w:tcMar>
          </w:tcPr>
          <w:p w14:paraId="795B2096" w14:textId="02F23278" w:rsidR="001263A3" w:rsidRPr="001263A3" w:rsidRDefault="001263A3" w:rsidP="0079197D">
            <w:pPr>
              <w:widowControl w:val="0"/>
              <w:spacing w:before="120"/>
              <w:rPr>
                <w:bCs/>
              </w:rPr>
            </w:pPr>
            <w:r>
              <w:rPr>
                <w:bCs/>
              </w:rPr>
              <w:t>Darnell</w:t>
            </w:r>
          </w:p>
        </w:tc>
        <w:tc>
          <w:tcPr>
            <w:tcW w:w="3870" w:type="dxa"/>
            <w:tcMar>
              <w:top w:w="0" w:type="dxa"/>
              <w:left w:w="108" w:type="dxa"/>
              <w:bottom w:w="0" w:type="dxa"/>
              <w:right w:w="108" w:type="dxa"/>
            </w:tcMar>
          </w:tcPr>
          <w:p w14:paraId="37FE0857" w14:textId="5D9A0CB6" w:rsidR="001263A3" w:rsidRPr="001263A3" w:rsidRDefault="001263A3" w:rsidP="00A55C8D">
            <w:pPr>
              <w:keepNext/>
              <w:keepLines/>
              <w:widowControl w:val="0"/>
              <w:spacing w:before="120"/>
              <w:rPr>
                <w:bCs/>
              </w:rPr>
            </w:pPr>
            <w:proofErr w:type="spellStart"/>
            <w:r>
              <w:rPr>
                <w:bCs/>
              </w:rPr>
              <w:t>Systrends</w:t>
            </w:r>
            <w:proofErr w:type="spellEnd"/>
          </w:p>
        </w:tc>
      </w:tr>
      <w:tr w:rsidR="007577F1" w:rsidRPr="00922889" w14:paraId="6FF9E252" w14:textId="77777777" w:rsidTr="001262CB">
        <w:tc>
          <w:tcPr>
            <w:tcW w:w="1998" w:type="dxa"/>
            <w:tcMar>
              <w:top w:w="0" w:type="dxa"/>
              <w:left w:w="108" w:type="dxa"/>
              <w:bottom w:w="0" w:type="dxa"/>
              <w:right w:w="108" w:type="dxa"/>
            </w:tcMar>
          </w:tcPr>
          <w:p w14:paraId="5D3EF008" w14:textId="1D024B60" w:rsidR="007577F1" w:rsidRPr="001263A3" w:rsidRDefault="007577F1" w:rsidP="0079197D">
            <w:pPr>
              <w:widowControl w:val="0"/>
              <w:spacing w:before="120"/>
              <w:rPr>
                <w:bCs/>
              </w:rPr>
            </w:pPr>
            <w:r w:rsidRPr="001263A3">
              <w:rPr>
                <w:bCs/>
              </w:rPr>
              <w:t>Kate</w:t>
            </w:r>
          </w:p>
        </w:tc>
        <w:tc>
          <w:tcPr>
            <w:tcW w:w="3240" w:type="dxa"/>
            <w:tcMar>
              <w:top w:w="0" w:type="dxa"/>
              <w:left w:w="108" w:type="dxa"/>
              <w:bottom w:w="0" w:type="dxa"/>
              <w:right w:w="108" w:type="dxa"/>
            </w:tcMar>
          </w:tcPr>
          <w:p w14:paraId="528B5A91" w14:textId="063BB93D" w:rsidR="007577F1" w:rsidRPr="001263A3" w:rsidRDefault="007577F1" w:rsidP="0079197D">
            <w:pPr>
              <w:widowControl w:val="0"/>
              <w:spacing w:before="120"/>
              <w:rPr>
                <w:bCs/>
              </w:rPr>
            </w:pPr>
            <w:r w:rsidRPr="001263A3">
              <w:rPr>
                <w:bCs/>
              </w:rPr>
              <w:t>Davis</w:t>
            </w:r>
          </w:p>
        </w:tc>
        <w:tc>
          <w:tcPr>
            <w:tcW w:w="3870" w:type="dxa"/>
            <w:tcMar>
              <w:top w:w="0" w:type="dxa"/>
              <w:left w:w="108" w:type="dxa"/>
              <w:bottom w:w="0" w:type="dxa"/>
              <w:right w:w="108" w:type="dxa"/>
            </w:tcMar>
          </w:tcPr>
          <w:p w14:paraId="471E4996" w14:textId="1C30CB01" w:rsidR="007577F1" w:rsidRPr="001263A3" w:rsidRDefault="00545E19" w:rsidP="00A55C8D">
            <w:pPr>
              <w:keepNext/>
              <w:keepLines/>
              <w:widowControl w:val="0"/>
              <w:spacing w:before="120"/>
              <w:rPr>
                <w:bCs/>
              </w:rPr>
            </w:pPr>
            <w:r w:rsidRPr="001263A3">
              <w:rPr>
                <w:bCs/>
              </w:rPr>
              <w:t>B</w:t>
            </w:r>
            <w:r w:rsidR="001263A3">
              <w:rPr>
                <w:bCs/>
              </w:rPr>
              <w:t xml:space="preserve">onneville Power Administration </w:t>
            </w:r>
          </w:p>
        </w:tc>
      </w:tr>
      <w:tr w:rsidR="001263A3" w:rsidRPr="00922889" w14:paraId="1ABD95E2" w14:textId="77777777" w:rsidTr="001262CB">
        <w:tc>
          <w:tcPr>
            <w:tcW w:w="1998" w:type="dxa"/>
            <w:tcMar>
              <w:top w:w="0" w:type="dxa"/>
              <w:left w:w="108" w:type="dxa"/>
              <w:bottom w:w="0" w:type="dxa"/>
              <w:right w:w="108" w:type="dxa"/>
            </w:tcMar>
          </w:tcPr>
          <w:p w14:paraId="41EEFA75" w14:textId="13C8395E" w:rsidR="001263A3" w:rsidRPr="001263A3" w:rsidRDefault="001263A3" w:rsidP="0079197D">
            <w:pPr>
              <w:widowControl w:val="0"/>
              <w:spacing w:before="120"/>
              <w:rPr>
                <w:bCs/>
              </w:rPr>
            </w:pPr>
            <w:r>
              <w:rPr>
                <w:bCs/>
              </w:rPr>
              <w:t>Zeenath</w:t>
            </w:r>
          </w:p>
        </w:tc>
        <w:tc>
          <w:tcPr>
            <w:tcW w:w="3240" w:type="dxa"/>
            <w:tcMar>
              <w:top w:w="0" w:type="dxa"/>
              <w:left w:w="108" w:type="dxa"/>
              <w:bottom w:w="0" w:type="dxa"/>
              <w:right w:w="108" w:type="dxa"/>
            </w:tcMar>
          </w:tcPr>
          <w:p w14:paraId="080B2297" w14:textId="5C405A6B" w:rsidR="001263A3" w:rsidRPr="001263A3" w:rsidRDefault="001263A3" w:rsidP="0079197D">
            <w:pPr>
              <w:widowControl w:val="0"/>
              <w:spacing w:before="120"/>
              <w:rPr>
                <w:bCs/>
              </w:rPr>
            </w:pPr>
            <w:r>
              <w:rPr>
                <w:bCs/>
              </w:rPr>
              <w:t>Fernandes</w:t>
            </w:r>
          </w:p>
        </w:tc>
        <w:tc>
          <w:tcPr>
            <w:tcW w:w="3870" w:type="dxa"/>
            <w:tcMar>
              <w:top w:w="0" w:type="dxa"/>
              <w:left w:w="108" w:type="dxa"/>
              <w:bottom w:w="0" w:type="dxa"/>
              <w:right w:w="108" w:type="dxa"/>
            </w:tcMar>
          </w:tcPr>
          <w:p w14:paraId="2E3AA44B" w14:textId="48D783E5" w:rsidR="001263A3" w:rsidRPr="001263A3" w:rsidRDefault="001263A3" w:rsidP="00A55C8D">
            <w:pPr>
              <w:keepNext/>
              <w:keepLines/>
              <w:widowControl w:val="0"/>
              <w:spacing w:before="120"/>
              <w:rPr>
                <w:bCs/>
              </w:rPr>
            </w:pPr>
            <w:r>
              <w:rPr>
                <w:bCs/>
              </w:rPr>
              <w:t>PJM</w:t>
            </w:r>
          </w:p>
        </w:tc>
      </w:tr>
      <w:tr w:rsidR="00545E19" w:rsidRPr="00922889" w14:paraId="3766A215" w14:textId="77777777" w:rsidTr="001262CB">
        <w:tc>
          <w:tcPr>
            <w:tcW w:w="1998" w:type="dxa"/>
            <w:tcMar>
              <w:top w:w="0" w:type="dxa"/>
              <w:left w:w="108" w:type="dxa"/>
              <w:bottom w:w="0" w:type="dxa"/>
              <w:right w:w="108" w:type="dxa"/>
            </w:tcMar>
          </w:tcPr>
          <w:p w14:paraId="53E58E1C" w14:textId="53ECC420" w:rsidR="00545E19" w:rsidRPr="001263A3" w:rsidRDefault="00545E19" w:rsidP="0079197D">
            <w:pPr>
              <w:widowControl w:val="0"/>
              <w:spacing w:before="120"/>
              <w:rPr>
                <w:bCs/>
              </w:rPr>
            </w:pPr>
            <w:r w:rsidRPr="001263A3">
              <w:rPr>
                <w:bCs/>
              </w:rPr>
              <w:t>John</w:t>
            </w:r>
          </w:p>
        </w:tc>
        <w:tc>
          <w:tcPr>
            <w:tcW w:w="3240" w:type="dxa"/>
            <w:tcMar>
              <w:top w:w="0" w:type="dxa"/>
              <w:left w:w="108" w:type="dxa"/>
              <w:bottom w:w="0" w:type="dxa"/>
              <w:right w:w="108" w:type="dxa"/>
            </w:tcMar>
          </w:tcPr>
          <w:p w14:paraId="2889AE73" w14:textId="2475EEFB" w:rsidR="00545E19" w:rsidRPr="001263A3" w:rsidRDefault="00545E19" w:rsidP="0079197D">
            <w:pPr>
              <w:widowControl w:val="0"/>
              <w:spacing w:before="120"/>
              <w:rPr>
                <w:bCs/>
              </w:rPr>
            </w:pPr>
            <w:r w:rsidRPr="001263A3">
              <w:rPr>
                <w:bCs/>
              </w:rPr>
              <w:t>Galloway</w:t>
            </w:r>
          </w:p>
        </w:tc>
        <w:tc>
          <w:tcPr>
            <w:tcW w:w="3870" w:type="dxa"/>
            <w:tcMar>
              <w:top w:w="0" w:type="dxa"/>
              <w:left w:w="108" w:type="dxa"/>
              <w:bottom w:w="0" w:type="dxa"/>
              <w:right w:w="108" w:type="dxa"/>
            </w:tcMar>
          </w:tcPr>
          <w:p w14:paraId="44F6494B" w14:textId="22BC1CBD" w:rsidR="00545E19" w:rsidRPr="001263A3" w:rsidRDefault="00545E19" w:rsidP="00A55C8D">
            <w:pPr>
              <w:keepNext/>
              <w:keepLines/>
              <w:widowControl w:val="0"/>
              <w:spacing w:before="120"/>
              <w:rPr>
                <w:bCs/>
              </w:rPr>
            </w:pPr>
            <w:r w:rsidRPr="001263A3">
              <w:rPr>
                <w:bCs/>
              </w:rPr>
              <w:t>ISO-New England</w:t>
            </w:r>
          </w:p>
        </w:tc>
      </w:tr>
      <w:tr w:rsidR="001263A3" w:rsidRPr="00922889" w14:paraId="685B8691" w14:textId="77777777" w:rsidTr="001262CB">
        <w:tc>
          <w:tcPr>
            <w:tcW w:w="1998" w:type="dxa"/>
            <w:tcMar>
              <w:top w:w="0" w:type="dxa"/>
              <w:left w:w="108" w:type="dxa"/>
              <w:bottom w:w="0" w:type="dxa"/>
              <w:right w:w="108" w:type="dxa"/>
            </w:tcMar>
          </w:tcPr>
          <w:p w14:paraId="79DABCF6" w14:textId="28137BFF" w:rsidR="001263A3" w:rsidRPr="001263A3" w:rsidRDefault="001263A3" w:rsidP="0079197D">
            <w:pPr>
              <w:widowControl w:val="0"/>
              <w:spacing w:before="120"/>
              <w:rPr>
                <w:bCs/>
              </w:rPr>
            </w:pPr>
            <w:r>
              <w:rPr>
                <w:bCs/>
              </w:rPr>
              <w:t>Annabelle</w:t>
            </w:r>
          </w:p>
        </w:tc>
        <w:tc>
          <w:tcPr>
            <w:tcW w:w="3240" w:type="dxa"/>
            <w:tcMar>
              <w:top w:w="0" w:type="dxa"/>
              <w:left w:w="108" w:type="dxa"/>
              <w:bottom w:w="0" w:type="dxa"/>
              <w:right w:w="108" w:type="dxa"/>
            </w:tcMar>
          </w:tcPr>
          <w:p w14:paraId="579031A9" w14:textId="70ED4BCF" w:rsidR="001263A3" w:rsidRPr="001263A3" w:rsidRDefault="001263A3" w:rsidP="0079197D">
            <w:pPr>
              <w:widowControl w:val="0"/>
              <w:spacing w:before="120"/>
              <w:rPr>
                <w:bCs/>
              </w:rPr>
            </w:pPr>
            <w:r>
              <w:rPr>
                <w:bCs/>
              </w:rPr>
              <w:t>Lee</w:t>
            </w:r>
          </w:p>
        </w:tc>
        <w:tc>
          <w:tcPr>
            <w:tcW w:w="3870" w:type="dxa"/>
            <w:tcMar>
              <w:top w:w="0" w:type="dxa"/>
              <w:left w:w="108" w:type="dxa"/>
              <w:bottom w:w="0" w:type="dxa"/>
              <w:right w:w="108" w:type="dxa"/>
            </w:tcMar>
          </w:tcPr>
          <w:p w14:paraId="51CE09D1" w14:textId="7D1E6227" w:rsidR="001263A3" w:rsidRPr="001263A3" w:rsidRDefault="001263A3" w:rsidP="00A55C8D">
            <w:pPr>
              <w:keepNext/>
              <w:keepLines/>
              <w:widowControl w:val="0"/>
              <w:spacing w:before="120"/>
              <w:rPr>
                <w:bCs/>
              </w:rPr>
            </w:pPr>
            <w:r>
              <w:rPr>
                <w:bCs/>
              </w:rPr>
              <w:t>Nevermore Security</w:t>
            </w:r>
          </w:p>
        </w:tc>
      </w:tr>
      <w:tr w:rsidR="007577F1" w:rsidRPr="00922889" w14:paraId="4D31FE15" w14:textId="77777777" w:rsidTr="001262CB">
        <w:tc>
          <w:tcPr>
            <w:tcW w:w="1998" w:type="dxa"/>
            <w:tcMar>
              <w:top w:w="0" w:type="dxa"/>
              <w:left w:w="108" w:type="dxa"/>
              <w:bottom w:w="0" w:type="dxa"/>
              <w:right w:w="108" w:type="dxa"/>
            </w:tcMar>
          </w:tcPr>
          <w:p w14:paraId="404A3D09" w14:textId="4939CB45" w:rsidR="007577F1" w:rsidRPr="001263A3" w:rsidRDefault="007577F1" w:rsidP="0079197D">
            <w:pPr>
              <w:widowControl w:val="0"/>
              <w:spacing w:before="120"/>
              <w:rPr>
                <w:bCs/>
              </w:rPr>
            </w:pPr>
            <w:r w:rsidRPr="001263A3">
              <w:rPr>
                <w:bCs/>
              </w:rPr>
              <w:t>Elizabeth</w:t>
            </w:r>
          </w:p>
        </w:tc>
        <w:tc>
          <w:tcPr>
            <w:tcW w:w="3240" w:type="dxa"/>
            <w:tcMar>
              <w:top w:w="0" w:type="dxa"/>
              <w:left w:w="108" w:type="dxa"/>
              <w:bottom w:w="0" w:type="dxa"/>
              <w:right w:w="108" w:type="dxa"/>
            </w:tcMar>
          </w:tcPr>
          <w:p w14:paraId="7B146BC4" w14:textId="3455859C" w:rsidR="007577F1" w:rsidRPr="001263A3" w:rsidRDefault="007577F1" w:rsidP="0079197D">
            <w:pPr>
              <w:widowControl w:val="0"/>
              <w:spacing w:before="120"/>
              <w:rPr>
                <w:bCs/>
              </w:rPr>
            </w:pPr>
            <w:r w:rsidRPr="001263A3">
              <w:rPr>
                <w:bCs/>
              </w:rPr>
              <w:t>Mallett</w:t>
            </w:r>
          </w:p>
        </w:tc>
        <w:tc>
          <w:tcPr>
            <w:tcW w:w="3870" w:type="dxa"/>
            <w:tcMar>
              <w:top w:w="0" w:type="dxa"/>
              <w:left w:w="108" w:type="dxa"/>
              <w:bottom w:w="0" w:type="dxa"/>
              <w:right w:w="108" w:type="dxa"/>
            </w:tcMar>
          </w:tcPr>
          <w:p w14:paraId="597734D0" w14:textId="741A477F" w:rsidR="007577F1" w:rsidRPr="001263A3" w:rsidRDefault="007577F1" w:rsidP="00A55C8D">
            <w:pPr>
              <w:keepNext/>
              <w:keepLines/>
              <w:widowControl w:val="0"/>
              <w:spacing w:before="120"/>
              <w:rPr>
                <w:bCs/>
              </w:rPr>
            </w:pPr>
            <w:r w:rsidRPr="001263A3">
              <w:rPr>
                <w:bCs/>
              </w:rPr>
              <w:t>North American Energy Standards Board</w:t>
            </w:r>
          </w:p>
        </w:tc>
      </w:tr>
      <w:tr w:rsidR="001263A3" w:rsidRPr="00922889" w14:paraId="23B75582" w14:textId="77777777" w:rsidTr="001262CB">
        <w:tc>
          <w:tcPr>
            <w:tcW w:w="1998" w:type="dxa"/>
            <w:tcMar>
              <w:top w:w="0" w:type="dxa"/>
              <w:left w:w="108" w:type="dxa"/>
              <w:bottom w:w="0" w:type="dxa"/>
              <w:right w:w="108" w:type="dxa"/>
            </w:tcMar>
          </w:tcPr>
          <w:p w14:paraId="59A12DA7" w14:textId="400EEE7C" w:rsidR="001263A3" w:rsidRPr="001263A3" w:rsidRDefault="001263A3" w:rsidP="0079197D">
            <w:pPr>
              <w:widowControl w:val="0"/>
              <w:spacing w:before="120"/>
              <w:rPr>
                <w:bCs/>
              </w:rPr>
            </w:pPr>
            <w:r>
              <w:rPr>
                <w:bCs/>
              </w:rPr>
              <w:lastRenderedPageBreak/>
              <w:t>Cynthia</w:t>
            </w:r>
          </w:p>
        </w:tc>
        <w:tc>
          <w:tcPr>
            <w:tcW w:w="3240" w:type="dxa"/>
            <w:tcMar>
              <w:top w:w="0" w:type="dxa"/>
              <w:left w:w="108" w:type="dxa"/>
              <w:bottom w:w="0" w:type="dxa"/>
              <w:right w:w="108" w:type="dxa"/>
            </w:tcMar>
          </w:tcPr>
          <w:p w14:paraId="176139CF" w14:textId="75055B68" w:rsidR="001263A3" w:rsidRPr="001263A3" w:rsidRDefault="001263A3" w:rsidP="0079197D">
            <w:pPr>
              <w:widowControl w:val="0"/>
              <w:spacing w:before="120"/>
              <w:rPr>
                <w:bCs/>
              </w:rPr>
            </w:pPr>
            <w:r>
              <w:rPr>
                <w:bCs/>
              </w:rPr>
              <w:t>Oder</w:t>
            </w:r>
          </w:p>
        </w:tc>
        <w:tc>
          <w:tcPr>
            <w:tcW w:w="3870" w:type="dxa"/>
            <w:tcMar>
              <w:top w:w="0" w:type="dxa"/>
              <w:left w:w="108" w:type="dxa"/>
              <w:bottom w:w="0" w:type="dxa"/>
              <w:right w:w="108" w:type="dxa"/>
            </w:tcMar>
          </w:tcPr>
          <w:p w14:paraId="07F38163" w14:textId="2350BA0C" w:rsidR="001263A3" w:rsidRPr="001263A3" w:rsidRDefault="001263A3" w:rsidP="00A55C8D">
            <w:pPr>
              <w:keepNext/>
              <w:keepLines/>
              <w:widowControl w:val="0"/>
              <w:spacing w:before="120"/>
              <w:rPr>
                <w:bCs/>
              </w:rPr>
            </w:pPr>
            <w:r>
              <w:rPr>
                <w:bCs/>
              </w:rPr>
              <w:t>Salt River Project</w:t>
            </w:r>
          </w:p>
        </w:tc>
      </w:tr>
      <w:tr w:rsidR="001263A3" w:rsidRPr="00922889" w14:paraId="18135F63" w14:textId="77777777" w:rsidTr="001262CB">
        <w:tc>
          <w:tcPr>
            <w:tcW w:w="1998" w:type="dxa"/>
            <w:tcMar>
              <w:top w:w="0" w:type="dxa"/>
              <w:left w:w="108" w:type="dxa"/>
              <w:bottom w:w="0" w:type="dxa"/>
              <w:right w:w="108" w:type="dxa"/>
            </w:tcMar>
          </w:tcPr>
          <w:p w14:paraId="06BFD250" w14:textId="15342DA0" w:rsidR="001263A3" w:rsidRPr="001263A3" w:rsidRDefault="001263A3" w:rsidP="0079197D">
            <w:pPr>
              <w:widowControl w:val="0"/>
              <w:spacing w:before="120"/>
              <w:rPr>
                <w:bCs/>
              </w:rPr>
            </w:pPr>
            <w:r>
              <w:rPr>
                <w:bCs/>
              </w:rPr>
              <w:t>Todd</w:t>
            </w:r>
          </w:p>
        </w:tc>
        <w:tc>
          <w:tcPr>
            <w:tcW w:w="3240" w:type="dxa"/>
            <w:tcMar>
              <w:top w:w="0" w:type="dxa"/>
              <w:left w:w="108" w:type="dxa"/>
              <w:bottom w:w="0" w:type="dxa"/>
              <w:right w:w="108" w:type="dxa"/>
            </w:tcMar>
          </w:tcPr>
          <w:p w14:paraId="07F40149" w14:textId="5786BDED" w:rsidR="001263A3" w:rsidRPr="001263A3" w:rsidRDefault="001263A3" w:rsidP="0079197D">
            <w:pPr>
              <w:widowControl w:val="0"/>
              <w:spacing w:before="120"/>
              <w:rPr>
                <w:bCs/>
              </w:rPr>
            </w:pPr>
            <w:r>
              <w:rPr>
                <w:bCs/>
              </w:rPr>
              <w:t>Pence</w:t>
            </w:r>
          </w:p>
        </w:tc>
        <w:tc>
          <w:tcPr>
            <w:tcW w:w="3870" w:type="dxa"/>
            <w:tcMar>
              <w:top w:w="0" w:type="dxa"/>
              <w:left w:w="108" w:type="dxa"/>
              <w:bottom w:w="0" w:type="dxa"/>
              <w:right w:w="108" w:type="dxa"/>
            </w:tcMar>
          </w:tcPr>
          <w:p w14:paraId="36E2062B" w14:textId="43B8CD70" w:rsidR="001263A3" w:rsidRPr="001263A3" w:rsidRDefault="001263A3" w:rsidP="00A55C8D">
            <w:pPr>
              <w:keepNext/>
              <w:keepLines/>
              <w:widowControl w:val="0"/>
              <w:spacing w:before="120"/>
              <w:rPr>
                <w:bCs/>
              </w:rPr>
            </w:pPr>
            <w:r>
              <w:rPr>
                <w:bCs/>
              </w:rPr>
              <w:t>Southwest Power Pool</w:t>
            </w:r>
          </w:p>
        </w:tc>
      </w:tr>
      <w:tr w:rsidR="00EA28F0" w:rsidRPr="00922889" w14:paraId="23E1C061" w14:textId="77777777" w:rsidTr="001262CB">
        <w:tc>
          <w:tcPr>
            <w:tcW w:w="1998" w:type="dxa"/>
            <w:tcMar>
              <w:top w:w="0" w:type="dxa"/>
              <w:left w:w="108" w:type="dxa"/>
              <w:bottom w:w="0" w:type="dxa"/>
              <w:right w:w="108" w:type="dxa"/>
            </w:tcMar>
          </w:tcPr>
          <w:p w14:paraId="3C5E8765" w14:textId="75A22DA8" w:rsidR="00EA28F0" w:rsidRPr="001263A3" w:rsidRDefault="00EA28F0" w:rsidP="0079197D">
            <w:pPr>
              <w:widowControl w:val="0"/>
              <w:spacing w:before="120"/>
              <w:rPr>
                <w:bCs/>
              </w:rPr>
            </w:pPr>
            <w:r w:rsidRPr="001263A3">
              <w:rPr>
                <w:bCs/>
              </w:rPr>
              <w:t>Joshua</w:t>
            </w:r>
          </w:p>
        </w:tc>
        <w:tc>
          <w:tcPr>
            <w:tcW w:w="3240" w:type="dxa"/>
            <w:tcMar>
              <w:top w:w="0" w:type="dxa"/>
              <w:left w:w="108" w:type="dxa"/>
              <w:bottom w:w="0" w:type="dxa"/>
              <w:right w:w="108" w:type="dxa"/>
            </w:tcMar>
          </w:tcPr>
          <w:p w14:paraId="117D0E94" w14:textId="5D650685" w:rsidR="00EA28F0" w:rsidRPr="001263A3" w:rsidRDefault="00EA28F0" w:rsidP="0079197D">
            <w:pPr>
              <w:widowControl w:val="0"/>
              <w:spacing w:before="120"/>
              <w:rPr>
                <w:bCs/>
              </w:rPr>
            </w:pPr>
            <w:r w:rsidRPr="001263A3">
              <w:rPr>
                <w:bCs/>
              </w:rPr>
              <w:t>Phillips</w:t>
            </w:r>
          </w:p>
        </w:tc>
        <w:tc>
          <w:tcPr>
            <w:tcW w:w="3870" w:type="dxa"/>
            <w:tcMar>
              <w:top w:w="0" w:type="dxa"/>
              <w:left w:w="108" w:type="dxa"/>
              <w:bottom w:w="0" w:type="dxa"/>
              <w:right w:w="108" w:type="dxa"/>
            </w:tcMar>
          </w:tcPr>
          <w:p w14:paraId="05A4F1ED" w14:textId="77DDEBE2" w:rsidR="00EA28F0" w:rsidRPr="001263A3" w:rsidRDefault="00EA28F0" w:rsidP="00A55C8D">
            <w:pPr>
              <w:keepNext/>
              <w:keepLines/>
              <w:widowControl w:val="0"/>
              <w:spacing w:before="120"/>
              <w:rPr>
                <w:bCs/>
              </w:rPr>
            </w:pPr>
            <w:r w:rsidRPr="001263A3">
              <w:rPr>
                <w:bCs/>
              </w:rPr>
              <w:t>S</w:t>
            </w:r>
            <w:r w:rsidR="00184FD1" w:rsidRPr="001263A3">
              <w:rPr>
                <w:bCs/>
              </w:rPr>
              <w:t xml:space="preserve">outhwest </w:t>
            </w:r>
            <w:r w:rsidRPr="001263A3">
              <w:rPr>
                <w:bCs/>
              </w:rPr>
              <w:t>P</w:t>
            </w:r>
            <w:r w:rsidR="00184FD1" w:rsidRPr="001263A3">
              <w:rPr>
                <w:bCs/>
              </w:rPr>
              <w:t xml:space="preserve">ower </w:t>
            </w:r>
            <w:r w:rsidRPr="001263A3">
              <w:rPr>
                <w:bCs/>
              </w:rPr>
              <w:t>P</w:t>
            </w:r>
            <w:r w:rsidR="00184FD1" w:rsidRPr="001263A3">
              <w:rPr>
                <w:bCs/>
              </w:rPr>
              <w:t>ool</w:t>
            </w:r>
          </w:p>
        </w:tc>
      </w:tr>
      <w:tr w:rsidR="001263A3" w:rsidRPr="00922889" w14:paraId="61E546EB" w14:textId="77777777" w:rsidTr="001262CB">
        <w:tc>
          <w:tcPr>
            <w:tcW w:w="1998" w:type="dxa"/>
            <w:tcMar>
              <w:top w:w="0" w:type="dxa"/>
              <w:left w:w="108" w:type="dxa"/>
              <w:bottom w:w="0" w:type="dxa"/>
              <w:right w:w="108" w:type="dxa"/>
            </w:tcMar>
          </w:tcPr>
          <w:p w14:paraId="1AEA655F" w14:textId="6C47B2BC" w:rsidR="001263A3" w:rsidRPr="001263A3" w:rsidRDefault="001263A3" w:rsidP="0079197D">
            <w:pPr>
              <w:widowControl w:val="0"/>
              <w:spacing w:before="120"/>
              <w:rPr>
                <w:bCs/>
              </w:rPr>
            </w:pPr>
            <w:r>
              <w:rPr>
                <w:bCs/>
              </w:rPr>
              <w:t>Keith</w:t>
            </w:r>
          </w:p>
        </w:tc>
        <w:tc>
          <w:tcPr>
            <w:tcW w:w="3240" w:type="dxa"/>
            <w:tcMar>
              <w:top w:w="0" w:type="dxa"/>
              <w:left w:w="108" w:type="dxa"/>
              <w:bottom w:w="0" w:type="dxa"/>
              <w:right w:w="108" w:type="dxa"/>
            </w:tcMar>
          </w:tcPr>
          <w:p w14:paraId="2D3FB6A5" w14:textId="28AED3ED" w:rsidR="001263A3" w:rsidRPr="001263A3" w:rsidRDefault="001263A3" w:rsidP="0079197D">
            <w:pPr>
              <w:widowControl w:val="0"/>
              <w:spacing w:before="120"/>
              <w:rPr>
                <w:bCs/>
              </w:rPr>
            </w:pPr>
            <w:r>
              <w:rPr>
                <w:bCs/>
              </w:rPr>
              <w:t>Sappenfield</w:t>
            </w:r>
          </w:p>
        </w:tc>
        <w:tc>
          <w:tcPr>
            <w:tcW w:w="3870" w:type="dxa"/>
            <w:tcMar>
              <w:top w:w="0" w:type="dxa"/>
              <w:left w:w="108" w:type="dxa"/>
              <w:bottom w:w="0" w:type="dxa"/>
              <w:right w:w="108" w:type="dxa"/>
            </w:tcMar>
          </w:tcPr>
          <w:p w14:paraId="004E9636" w14:textId="786A99C4" w:rsidR="001263A3" w:rsidRPr="001263A3" w:rsidRDefault="005C417D" w:rsidP="00A55C8D">
            <w:pPr>
              <w:keepNext/>
              <w:keepLines/>
              <w:widowControl w:val="0"/>
              <w:spacing w:before="120"/>
              <w:rPr>
                <w:bCs/>
              </w:rPr>
            </w:pPr>
            <w:r>
              <w:rPr>
                <w:bCs/>
              </w:rPr>
              <w:t xml:space="preserve">Corpus Christi Liquefaction </w:t>
            </w:r>
          </w:p>
        </w:tc>
      </w:tr>
      <w:tr w:rsidR="001263A3" w:rsidRPr="00286562" w14:paraId="29292CF0" w14:textId="77777777" w:rsidTr="001262CB">
        <w:tc>
          <w:tcPr>
            <w:tcW w:w="1998" w:type="dxa"/>
            <w:tcMar>
              <w:top w:w="0" w:type="dxa"/>
              <w:left w:w="108" w:type="dxa"/>
              <w:bottom w:w="0" w:type="dxa"/>
              <w:right w:w="108" w:type="dxa"/>
            </w:tcMar>
          </w:tcPr>
          <w:p w14:paraId="104BA8AB" w14:textId="548CA9CF" w:rsidR="001263A3" w:rsidRPr="001263A3" w:rsidRDefault="001263A3" w:rsidP="0079197D">
            <w:pPr>
              <w:widowControl w:val="0"/>
              <w:spacing w:before="120"/>
              <w:rPr>
                <w:bCs/>
              </w:rPr>
            </w:pPr>
            <w:r>
              <w:rPr>
                <w:bCs/>
              </w:rPr>
              <w:t>Karen</w:t>
            </w:r>
          </w:p>
        </w:tc>
        <w:tc>
          <w:tcPr>
            <w:tcW w:w="3240" w:type="dxa"/>
            <w:tcMar>
              <w:top w:w="0" w:type="dxa"/>
              <w:left w:w="108" w:type="dxa"/>
              <w:bottom w:w="0" w:type="dxa"/>
              <w:right w:w="108" w:type="dxa"/>
            </w:tcMar>
          </w:tcPr>
          <w:p w14:paraId="41927034" w14:textId="2DDF28D9" w:rsidR="001263A3" w:rsidRPr="001263A3" w:rsidRDefault="001263A3" w:rsidP="0079197D">
            <w:pPr>
              <w:widowControl w:val="0"/>
              <w:spacing w:before="120"/>
              <w:rPr>
                <w:bCs/>
              </w:rPr>
            </w:pPr>
            <w:r>
              <w:rPr>
                <w:bCs/>
              </w:rPr>
              <w:t>Stampfli</w:t>
            </w:r>
          </w:p>
        </w:tc>
        <w:tc>
          <w:tcPr>
            <w:tcW w:w="3870" w:type="dxa"/>
            <w:tcMar>
              <w:top w:w="0" w:type="dxa"/>
              <w:left w:w="108" w:type="dxa"/>
              <w:bottom w:w="0" w:type="dxa"/>
              <w:right w:w="108" w:type="dxa"/>
            </w:tcMar>
          </w:tcPr>
          <w:p w14:paraId="29E74AB1" w14:textId="3D19B516" w:rsidR="001263A3" w:rsidRPr="001263A3" w:rsidRDefault="001263A3" w:rsidP="00A55C8D">
            <w:pPr>
              <w:keepNext/>
              <w:keepLines/>
              <w:widowControl w:val="0"/>
              <w:spacing w:before="120"/>
              <w:rPr>
                <w:bCs/>
              </w:rPr>
            </w:pPr>
            <w:r>
              <w:rPr>
                <w:bCs/>
              </w:rPr>
              <w:t>TVA</w:t>
            </w:r>
          </w:p>
        </w:tc>
      </w:tr>
      <w:tr w:rsidR="007577F1" w:rsidRPr="00286562" w14:paraId="24ED8ABC" w14:textId="77777777" w:rsidTr="001262CB">
        <w:tc>
          <w:tcPr>
            <w:tcW w:w="1998" w:type="dxa"/>
            <w:tcMar>
              <w:top w:w="0" w:type="dxa"/>
              <w:left w:w="108" w:type="dxa"/>
              <w:bottom w:w="0" w:type="dxa"/>
              <w:right w:w="108" w:type="dxa"/>
            </w:tcMar>
          </w:tcPr>
          <w:p w14:paraId="118A017B" w14:textId="4C0094C7" w:rsidR="007577F1" w:rsidRPr="001263A3" w:rsidRDefault="007577F1" w:rsidP="0079197D">
            <w:pPr>
              <w:widowControl w:val="0"/>
              <w:spacing w:before="120"/>
              <w:rPr>
                <w:bCs/>
              </w:rPr>
            </w:pPr>
            <w:r w:rsidRPr="001263A3">
              <w:rPr>
                <w:bCs/>
              </w:rPr>
              <w:t>Scott</w:t>
            </w:r>
          </w:p>
        </w:tc>
        <w:tc>
          <w:tcPr>
            <w:tcW w:w="3240" w:type="dxa"/>
            <w:tcMar>
              <w:top w:w="0" w:type="dxa"/>
              <w:left w:w="108" w:type="dxa"/>
              <w:bottom w:w="0" w:type="dxa"/>
              <w:right w:w="108" w:type="dxa"/>
            </w:tcMar>
          </w:tcPr>
          <w:p w14:paraId="766796AF" w14:textId="7B49522D" w:rsidR="007577F1" w:rsidRPr="001263A3" w:rsidRDefault="007577F1" w:rsidP="0079197D">
            <w:pPr>
              <w:widowControl w:val="0"/>
              <w:spacing w:before="120"/>
              <w:rPr>
                <w:bCs/>
              </w:rPr>
            </w:pPr>
            <w:r w:rsidRPr="001263A3">
              <w:rPr>
                <w:bCs/>
              </w:rPr>
              <w:t>Stewart</w:t>
            </w:r>
          </w:p>
        </w:tc>
        <w:tc>
          <w:tcPr>
            <w:tcW w:w="3870" w:type="dxa"/>
            <w:tcMar>
              <w:top w:w="0" w:type="dxa"/>
              <w:left w:w="108" w:type="dxa"/>
              <w:bottom w:w="0" w:type="dxa"/>
              <w:right w:w="108" w:type="dxa"/>
            </w:tcMar>
          </w:tcPr>
          <w:p w14:paraId="7F0CB0F4" w14:textId="5DC38B11" w:rsidR="007577F1" w:rsidRPr="001263A3" w:rsidRDefault="007577F1" w:rsidP="00A55C8D">
            <w:pPr>
              <w:keepNext/>
              <w:keepLines/>
              <w:widowControl w:val="0"/>
              <w:spacing w:before="120"/>
              <w:rPr>
                <w:bCs/>
              </w:rPr>
            </w:pPr>
            <w:r w:rsidRPr="001263A3">
              <w:rPr>
                <w:bCs/>
              </w:rPr>
              <w:t>Bonneville Power Administration</w:t>
            </w:r>
          </w:p>
        </w:tc>
      </w:tr>
      <w:tr w:rsidR="00BE24C3" w:rsidRPr="00286562" w14:paraId="5F9BFAF0" w14:textId="77777777" w:rsidTr="001262CB">
        <w:tc>
          <w:tcPr>
            <w:tcW w:w="1998" w:type="dxa"/>
            <w:tcMar>
              <w:top w:w="0" w:type="dxa"/>
              <w:left w:w="108" w:type="dxa"/>
              <w:bottom w:w="0" w:type="dxa"/>
              <w:right w:w="108" w:type="dxa"/>
            </w:tcMar>
            <w:hideMark/>
          </w:tcPr>
          <w:p w14:paraId="572E9716" w14:textId="43A27F75" w:rsidR="00BE24C3" w:rsidRPr="001263A3" w:rsidRDefault="007577F1" w:rsidP="0079197D">
            <w:pPr>
              <w:widowControl w:val="0"/>
              <w:spacing w:before="120"/>
              <w:rPr>
                <w:bCs/>
              </w:rPr>
            </w:pPr>
            <w:r w:rsidRPr="001263A3">
              <w:rPr>
                <w:bCs/>
              </w:rPr>
              <w:t>Caroline</w:t>
            </w:r>
          </w:p>
        </w:tc>
        <w:tc>
          <w:tcPr>
            <w:tcW w:w="3240" w:type="dxa"/>
            <w:tcMar>
              <w:top w:w="0" w:type="dxa"/>
              <w:left w:w="108" w:type="dxa"/>
              <w:bottom w:w="0" w:type="dxa"/>
              <w:right w:w="108" w:type="dxa"/>
            </w:tcMar>
            <w:hideMark/>
          </w:tcPr>
          <w:p w14:paraId="3166FE36" w14:textId="77777777" w:rsidR="00BE24C3" w:rsidRPr="001263A3" w:rsidRDefault="00BE24C3" w:rsidP="0079197D">
            <w:pPr>
              <w:widowControl w:val="0"/>
              <w:spacing w:before="120"/>
              <w:rPr>
                <w:bCs/>
              </w:rPr>
            </w:pPr>
            <w:r w:rsidRPr="001263A3">
              <w:rPr>
                <w:bCs/>
              </w:rPr>
              <w:t>Trum</w:t>
            </w:r>
          </w:p>
        </w:tc>
        <w:tc>
          <w:tcPr>
            <w:tcW w:w="3870" w:type="dxa"/>
            <w:tcMar>
              <w:top w:w="0" w:type="dxa"/>
              <w:left w:w="108" w:type="dxa"/>
              <w:bottom w:w="0" w:type="dxa"/>
              <w:right w:w="108" w:type="dxa"/>
            </w:tcMar>
            <w:hideMark/>
          </w:tcPr>
          <w:p w14:paraId="57332193" w14:textId="0D4561F1" w:rsidR="00BE24C3" w:rsidRPr="001263A3" w:rsidRDefault="00BE24C3" w:rsidP="00A55C8D">
            <w:pPr>
              <w:keepNext/>
              <w:keepLines/>
              <w:widowControl w:val="0"/>
              <w:spacing w:before="120"/>
              <w:rPr>
                <w:bCs/>
              </w:rPr>
            </w:pPr>
            <w:r w:rsidRPr="001263A3">
              <w:rPr>
                <w:bCs/>
              </w:rPr>
              <w:t>N</w:t>
            </w:r>
            <w:r w:rsidR="007577F1" w:rsidRPr="001263A3">
              <w:rPr>
                <w:bCs/>
              </w:rPr>
              <w:t>orth American Energy Standards Board</w:t>
            </w:r>
          </w:p>
        </w:tc>
      </w:tr>
      <w:tr w:rsidR="007577F1" w:rsidRPr="00286562" w14:paraId="44265368" w14:textId="77777777" w:rsidTr="001262CB">
        <w:tc>
          <w:tcPr>
            <w:tcW w:w="1998" w:type="dxa"/>
            <w:tcMar>
              <w:top w:w="0" w:type="dxa"/>
              <w:left w:w="108" w:type="dxa"/>
              <w:bottom w:w="0" w:type="dxa"/>
              <w:right w:w="108" w:type="dxa"/>
            </w:tcMar>
          </w:tcPr>
          <w:p w14:paraId="2544E291" w14:textId="72806B55" w:rsidR="007577F1" w:rsidRPr="001263A3" w:rsidRDefault="007577F1" w:rsidP="0079197D">
            <w:pPr>
              <w:widowControl w:val="0"/>
              <w:spacing w:before="120"/>
              <w:rPr>
                <w:bCs/>
              </w:rPr>
            </w:pPr>
            <w:r w:rsidRPr="001263A3">
              <w:rPr>
                <w:bCs/>
              </w:rPr>
              <w:t xml:space="preserve">Sam </w:t>
            </w:r>
          </w:p>
        </w:tc>
        <w:tc>
          <w:tcPr>
            <w:tcW w:w="3240" w:type="dxa"/>
            <w:tcMar>
              <w:top w:w="0" w:type="dxa"/>
              <w:left w:w="108" w:type="dxa"/>
              <w:bottom w:w="0" w:type="dxa"/>
              <w:right w:w="108" w:type="dxa"/>
            </w:tcMar>
          </w:tcPr>
          <w:p w14:paraId="5EB4927D" w14:textId="648527EF" w:rsidR="007577F1" w:rsidRPr="001263A3" w:rsidRDefault="007577F1" w:rsidP="0079197D">
            <w:pPr>
              <w:widowControl w:val="0"/>
              <w:spacing w:before="120"/>
              <w:rPr>
                <w:bCs/>
              </w:rPr>
            </w:pPr>
            <w:r w:rsidRPr="001263A3">
              <w:rPr>
                <w:bCs/>
              </w:rPr>
              <w:t>Watson</w:t>
            </w:r>
          </w:p>
        </w:tc>
        <w:tc>
          <w:tcPr>
            <w:tcW w:w="3870" w:type="dxa"/>
            <w:tcMar>
              <w:top w:w="0" w:type="dxa"/>
              <w:left w:w="108" w:type="dxa"/>
              <w:bottom w:w="0" w:type="dxa"/>
              <w:right w:w="108" w:type="dxa"/>
            </w:tcMar>
          </w:tcPr>
          <w:p w14:paraId="5064BFFE" w14:textId="09B45B1B" w:rsidR="007577F1" w:rsidRPr="001263A3" w:rsidRDefault="007577F1" w:rsidP="00A55C8D">
            <w:pPr>
              <w:keepNext/>
              <w:keepLines/>
              <w:widowControl w:val="0"/>
              <w:spacing w:before="120"/>
              <w:rPr>
                <w:bCs/>
              </w:rPr>
            </w:pPr>
            <w:r w:rsidRPr="001263A3">
              <w:rPr>
                <w:bCs/>
              </w:rPr>
              <w:t>North Carolina Utilities Commission</w:t>
            </w:r>
          </w:p>
        </w:tc>
      </w:tr>
      <w:tr w:rsidR="001263A3" w:rsidRPr="00286562" w14:paraId="6EAE0E4A" w14:textId="77777777" w:rsidTr="001262CB">
        <w:tc>
          <w:tcPr>
            <w:tcW w:w="1998" w:type="dxa"/>
            <w:tcMar>
              <w:top w:w="0" w:type="dxa"/>
              <w:left w:w="108" w:type="dxa"/>
              <w:bottom w:w="0" w:type="dxa"/>
              <w:right w:w="108" w:type="dxa"/>
            </w:tcMar>
          </w:tcPr>
          <w:p w14:paraId="6246EB6B" w14:textId="551C86D8" w:rsidR="001263A3" w:rsidRPr="001263A3" w:rsidRDefault="001263A3" w:rsidP="0079197D">
            <w:pPr>
              <w:widowControl w:val="0"/>
              <w:spacing w:before="120"/>
              <w:rPr>
                <w:bCs/>
              </w:rPr>
            </w:pPr>
            <w:r>
              <w:rPr>
                <w:bCs/>
              </w:rPr>
              <w:t>Thomas</w:t>
            </w:r>
          </w:p>
        </w:tc>
        <w:tc>
          <w:tcPr>
            <w:tcW w:w="3240" w:type="dxa"/>
            <w:tcMar>
              <w:top w:w="0" w:type="dxa"/>
              <w:left w:w="108" w:type="dxa"/>
              <w:bottom w:w="0" w:type="dxa"/>
              <w:right w:w="108" w:type="dxa"/>
            </w:tcMar>
          </w:tcPr>
          <w:p w14:paraId="55C265AD" w14:textId="776FE5C1" w:rsidR="001263A3" w:rsidRPr="001263A3" w:rsidRDefault="001263A3" w:rsidP="0079197D">
            <w:pPr>
              <w:widowControl w:val="0"/>
              <w:spacing w:before="120"/>
              <w:rPr>
                <w:bCs/>
              </w:rPr>
            </w:pPr>
            <w:r>
              <w:rPr>
                <w:bCs/>
              </w:rPr>
              <w:t>Zermeno</w:t>
            </w:r>
          </w:p>
        </w:tc>
        <w:tc>
          <w:tcPr>
            <w:tcW w:w="3870" w:type="dxa"/>
            <w:tcMar>
              <w:top w:w="0" w:type="dxa"/>
              <w:left w:w="108" w:type="dxa"/>
              <w:bottom w:w="0" w:type="dxa"/>
              <w:right w:w="108" w:type="dxa"/>
            </w:tcMar>
          </w:tcPr>
          <w:p w14:paraId="1DC376B7" w14:textId="697F04FA" w:rsidR="001263A3" w:rsidRPr="001263A3" w:rsidRDefault="001263A3" w:rsidP="00A55C8D">
            <w:pPr>
              <w:keepNext/>
              <w:keepLines/>
              <w:widowControl w:val="0"/>
              <w:spacing w:before="120"/>
              <w:rPr>
                <w:bCs/>
              </w:rPr>
            </w:pPr>
            <w:r>
              <w:rPr>
                <w:bCs/>
              </w:rPr>
              <w:t>SSL.com</w:t>
            </w:r>
          </w:p>
        </w:tc>
      </w:tr>
      <w:bookmarkEnd w:id="1"/>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3"/>
      <w:footerReference w:type="default" r:id="rId14"/>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836B" w14:textId="77777777" w:rsidR="00CC2284" w:rsidRDefault="00CC2284">
      <w:r>
        <w:separator/>
      </w:r>
    </w:p>
  </w:endnote>
  <w:endnote w:type="continuationSeparator" w:id="0">
    <w:p w14:paraId="3E9BD3C6" w14:textId="77777777" w:rsidR="00CC2284" w:rsidRDefault="00CC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FA7" w14:textId="59361DC5" w:rsidR="00F7176E" w:rsidRPr="00176FB9" w:rsidRDefault="00F7176E" w:rsidP="005E6421">
    <w:pPr>
      <w:pStyle w:val="Footer"/>
      <w:pBdr>
        <w:top w:val="single" w:sz="12" w:space="1" w:color="auto"/>
      </w:pBdr>
      <w:jc w:val="right"/>
      <w:rPr>
        <w:sz w:val="18"/>
        <w:szCs w:val="18"/>
      </w:rPr>
    </w:pPr>
    <w:r>
      <w:rPr>
        <w:sz w:val="18"/>
        <w:szCs w:val="18"/>
      </w:rPr>
      <w:t>WEQ BPS</w:t>
    </w:r>
    <w:r w:rsidR="00941592">
      <w:rPr>
        <w:sz w:val="18"/>
        <w:szCs w:val="18"/>
      </w:rPr>
      <w:t xml:space="preserve">, RMQ BPS, and WEQ CSS </w:t>
    </w:r>
    <w:r>
      <w:rPr>
        <w:sz w:val="18"/>
        <w:szCs w:val="18"/>
      </w:rPr>
      <w:t xml:space="preserve">Draft Meeting Minutes </w:t>
    </w:r>
    <w:r w:rsidRPr="00176FB9">
      <w:rPr>
        <w:sz w:val="18"/>
        <w:szCs w:val="18"/>
      </w:rPr>
      <w:t>–</w:t>
    </w:r>
    <w:r w:rsidR="0038023A">
      <w:rPr>
        <w:sz w:val="18"/>
        <w:szCs w:val="18"/>
      </w:rPr>
      <w:t xml:space="preserve"> </w:t>
    </w:r>
    <w:r w:rsidR="000801D7">
      <w:rPr>
        <w:sz w:val="18"/>
        <w:szCs w:val="18"/>
      </w:rPr>
      <w:t>December 5</w:t>
    </w:r>
    <w:r w:rsidR="00941592">
      <w:rPr>
        <w:sz w:val="18"/>
        <w:szCs w:val="18"/>
      </w:rPr>
      <w:t>, 2023</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05F2" w14:textId="77777777" w:rsidR="00CC2284" w:rsidRDefault="00CC2284">
      <w:r>
        <w:separator/>
      </w:r>
    </w:p>
  </w:footnote>
  <w:footnote w:type="continuationSeparator" w:id="0">
    <w:p w14:paraId="761DFCF3" w14:textId="77777777" w:rsidR="00CC2284" w:rsidRDefault="00CC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  (713)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B3D51E3"/>
    <w:multiLevelType w:val="hybridMultilevel"/>
    <w:tmpl w:val="1584C38A"/>
    <w:lvl w:ilvl="0" w:tplc="FFDE8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321622A9"/>
    <w:multiLevelType w:val="hybridMultilevel"/>
    <w:tmpl w:val="0CCA02BE"/>
    <w:lvl w:ilvl="0" w:tplc="8FD6A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22"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6"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8"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40"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3"/>
  </w:num>
  <w:num w:numId="2" w16cid:durableId="213082767">
    <w:abstractNumId w:val="17"/>
  </w:num>
  <w:num w:numId="3" w16cid:durableId="228997703">
    <w:abstractNumId w:val="34"/>
  </w:num>
  <w:num w:numId="4" w16cid:durableId="1936547836">
    <w:abstractNumId w:val="41"/>
  </w:num>
  <w:num w:numId="5" w16cid:durableId="918439651">
    <w:abstractNumId w:val="10"/>
  </w:num>
  <w:num w:numId="6" w16cid:durableId="1601640830">
    <w:abstractNumId w:val="36"/>
  </w:num>
  <w:num w:numId="7" w16cid:durableId="38825310">
    <w:abstractNumId w:val="9"/>
  </w:num>
  <w:num w:numId="8" w16cid:durableId="1860660652">
    <w:abstractNumId w:val="12"/>
  </w:num>
  <w:num w:numId="9" w16cid:durableId="1096249235">
    <w:abstractNumId w:val="13"/>
  </w:num>
  <w:num w:numId="10" w16cid:durableId="1044909686">
    <w:abstractNumId w:val="4"/>
  </w:num>
  <w:num w:numId="11" w16cid:durableId="1653287285">
    <w:abstractNumId w:val="25"/>
  </w:num>
  <w:num w:numId="12" w16cid:durableId="693113558">
    <w:abstractNumId w:val="6"/>
  </w:num>
  <w:num w:numId="13" w16cid:durableId="1279530205">
    <w:abstractNumId w:val="15"/>
  </w:num>
  <w:num w:numId="14" w16cid:durableId="1358391778">
    <w:abstractNumId w:val="19"/>
  </w:num>
  <w:num w:numId="15" w16cid:durableId="797454161">
    <w:abstractNumId w:val="11"/>
  </w:num>
  <w:num w:numId="16" w16cid:durableId="641740180">
    <w:abstractNumId w:val="2"/>
  </w:num>
  <w:num w:numId="17" w16cid:durableId="154493278">
    <w:abstractNumId w:val="44"/>
  </w:num>
  <w:num w:numId="18" w16cid:durableId="919752428">
    <w:abstractNumId w:val="23"/>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6"/>
  </w:num>
  <w:num w:numId="21" w16cid:durableId="1327245217">
    <w:abstractNumId w:val="42"/>
  </w:num>
  <w:num w:numId="22" w16cid:durableId="1432434037">
    <w:abstractNumId w:val="27"/>
  </w:num>
  <w:num w:numId="23" w16cid:durableId="479855235">
    <w:abstractNumId w:val="38"/>
  </w:num>
  <w:num w:numId="24" w16cid:durableId="154879141">
    <w:abstractNumId w:val="39"/>
  </w:num>
  <w:num w:numId="25" w16cid:durableId="318770904">
    <w:abstractNumId w:val="21"/>
  </w:num>
  <w:num w:numId="26" w16cid:durableId="244800911">
    <w:abstractNumId w:val="37"/>
  </w:num>
  <w:num w:numId="27" w16cid:durableId="4988435">
    <w:abstractNumId w:val="22"/>
  </w:num>
  <w:num w:numId="28" w16cid:durableId="1289050080">
    <w:abstractNumId w:val="5"/>
  </w:num>
  <w:num w:numId="29" w16cid:durableId="185486468">
    <w:abstractNumId w:val="30"/>
  </w:num>
  <w:num w:numId="30" w16cid:durableId="1722486156">
    <w:abstractNumId w:val="35"/>
  </w:num>
  <w:num w:numId="31" w16cid:durableId="1437480256">
    <w:abstractNumId w:val="40"/>
  </w:num>
  <w:num w:numId="32" w16cid:durableId="18432699">
    <w:abstractNumId w:val="29"/>
  </w:num>
  <w:num w:numId="33" w16cid:durableId="585383483">
    <w:abstractNumId w:val="28"/>
  </w:num>
  <w:num w:numId="34" w16cid:durableId="501631256">
    <w:abstractNumId w:val="26"/>
  </w:num>
  <w:num w:numId="35" w16cid:durableId="1536885961">
    <w:abstractNumId w:val="31"/>
  </w:num>
  <w:num w:numId="36" w16cid:durableId="1118331430">
    <w:abstractNumId w:val="14"/>
  </w:num>
  <w:num w:numId="37" w16cid:durableId="951210971">
    <w:abstractNumId w:val="32"/>
  </w:num>
  <w:num w:numId="38" w16cid:durableId="479880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4"/>
  </w:num>
  <w:num w:numId="40" w16cid:durableId="1517188946">
    <w:abstractNumId w:val="8"/>
  </w:num>
  <w:num w:numId="41" w16cid:durableId="1042635673">
    <w:abstractNumId w:val="3"/>
  </w:num>
  <w:num w:numId="42" w16cid:durableId="1268544486">
    <w:abstractNumId w:val="1"/>
  </w:num>
  <w:num w:numId="43" w16cid:durableId="976567778">
    <w:abstractNumId w:val="0"/>
  </w:num>
  <w:num w:numId="44" w16cid:durableId="8043922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4880853">
    <w:abstractNumId w:val="20"/>
  </w:num>
  <w:num w:numId="46" w16cid:durableId="67865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1C9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71"/>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1D7"/>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42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8E3"/>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3C1"/>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5A"/>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2A5"/>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3A3"/>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3FBD"/>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5B9"/>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C24"/>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64"/>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5D1"/>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4D35"/>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17DC"/>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A7E9E"/>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DA5"/>
    <w:rsid w:val="002E3E1B"/>
    <w:rsid w:val="002E42F2"/>
    <w:rsid w:val="002E4312"/>
    <w:rsid w:val="002E439E"/>
    <w:rsid w:val="002E4403"/>
    <w:rsid w:val="002E4535"/>
    <w:rsid w:val="002E4A70"/>
    <w:rsid w:val="002E4D77"/>
    <w:rsid w:val="002E4F1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A76"/>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1FA"/>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297E"/>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5D"/>
    <w:rsid w:val="004257D7"/>
    <w:rsid w:val="004258BE"/>
    <w:rsid w:val="00425A0A"/>
    <w:rsid w:val="0042648A"/>
    <w:rsid w:val="0042675B"/>
    <w:rsid w:val="00426905"/>
    <w:rsid w:val="00426950"/>
    <w:rsid w:val="00426E32"/>
    <w:rsid w:val="00427228"/>
    <w:rsid w:val="004273A6"/>
    <w:rsid w:val="00427724"/>
    <w:rsid w:val="00427BF2"/>
    <w:rsid w:val="00430400"/>
    <w:rsid w:val="00430544"/>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021"/>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0D2"/>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8F0"/>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ED2"/>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768"/>
    <w:rsid w:val="00523B77"/>
    <w:rsid w:val="00523C23"/>
    <w:rsid w:val="00523F8B"/>
    <w:rsid w:val="005246B6"/>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E19"/>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B5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74F"/>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277"/>
    <w:rsid w:val="0057771A"/>
    <w:rsid w:val="00577877"/>
    <w:rsid w:val="00577A0D"/>
    <w:rsid w:val="00577A96"/>
    <w:rsid w:val="00577ABD"/>
    <w:rsid w:val="00577B43"/>
    <w:rsid w:val="00577C91"/>
    <w:rsid w:val="00577DC4"/>
    <w:rsid w:val="00577F5F"/>
    <w:rsid w:val="005801FF"/>
    <w:rsid w:val="00580944"/>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927"/>
    <w:rsid w:val="00585978"/>
    <w:rsid w:val="00585CCE"/>
    <w:rsid w:val="005860BF"/>
    <w:rsid w:val="0058669C"/>
    <w:rsid w:val="005869B0"/>
    <w:rsid w:val="00586A71"/>
    <w:rsid w:val="005905DC"/>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318"/>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0DC"/>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3C85"/>
    <w:rsid w:val="005C4114"/>
    <w:rsid w:val="005C417D"/>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4E0"/>
    <w:rsid w:val="005E056D"/>
    <w:rsid w:val="005E06C4"/>
    <w:rsid w:val="005E08D1"/>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B68"/>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44A"/>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DBB"/>
    <w:rsid w:val="00716E47"/>
    <w:rsid w:val="00717A07"/>
    <w:rsid w:val="00717B5A"/>
    <w:rsid w:val="007200EA"/>
    <w:rsid w:val="00720361"/>
    <w:rsid w:val="007205CF"/>
    <w:rsid w:val="00720868"/>
    <w:rsid w:val="00720DF9"/>
    <w:rsid w:val="00721A70"/>
    <w:rsid w:val="007220DD"/>
    <w:rsid w:val="007222F2"/>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09AC"/>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2AB"/>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577F1"/>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2FA6"/>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97D"/>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64"/>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2AA4"/>
    <w:rsid w:val="007C390A"/>
    <w:rsid w:val="007C3958"/>
    <w:rsid w:val="007C3BD7"/>
    <w:rsid w:val="007C3C9B"/>
    <w:rsid w:val="007C3F26"/>
    <w:rsid w:val="007C4A4A"/>
    <w:rsid w:val="007C4F8B"/>
    <w:rsid w:val="007C533B"/>
    <w:rsid w:val="007C54E3"/>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AEA"/>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8C2"/>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3CD6"/>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1592"/>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64D"/>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56D"/>
    <w:rsid w:val="00984B20"/>
    <w:rsid w:val="00984B2A"/>
    <w:rsid w:val="00984BC6"/>
    <w:rsid w:val="00984EA9"/>
    <w:rsid w:val="00985141"/>
    <w:rsid w:val="009856B1"/>
    <w:rsid w:val="00985727"/>
    <w:rsid w:val="00985A49"/>
    <w:rsid w:val="00985B90"/>
    <w:rsid w:val="00986448"/>
    <w:rsid w:val="0098645E"/>
    <w:rsid w:val="0098677A"/>
    <w:rsid w:val="00986940"/>
    <w:rsid w:val="009872F7"/>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9FA"/>
    <w:rsid w:val="009B6B15"/>
    <w:rsid w:val="009B6C98"/>
    <w:rsid w:val="009B6D1C"/>
    <w:rsid w:val="009B7046"/>
    <w:rsid w:val="009B717E"/>
    <w:rsid w:val="009B74DA"/>
    <w:rsid w:val="009B7995"/>
    <w:rsid w:val="009B7F4E"/>
    <w:rsid w:val="009C000B"/>
    <w:rsid w:val="009C020C"/>
    <w:rsid w:val="009C069A"/>
    <w:rsid w:val="009C0D70"/>
    <w:rsid w:val="009C0E8B"/>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3A2"/>
    <w:rsid w:val="00A81790"/>
    <w:rsid w:val="00A81C9A"/>
    <w:rsid w:val="00A81D22"/>
    <w:rsid w:val="00A826B4"/>
    <w:rsid w:val="00A833E4"/>
    <w:rsid w:val="00A8383A"/>
    <w:rsid w:val="00A83B2F"/>
    <w:rsid w:val="00A843F7"/>
    <w:rsid w:val="00A84836"/>
    <w:rsid w:val="00A848E7"/>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0FAE"/>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2C"/>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AA"/>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5DC0"/>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082"/>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6D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032"/>
    <w:rsid w:val="00CC1724"/>
    <w:rsid w:val="00CC182C"/>
    <w:rsid w:val="00CC1A0E"/>
    <w:rsid w:val="00CC1B2A"/>
    <w:rsid w:val="00CC1DF6"/>
    <w:rsid w:val="00CC2284"/>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641"/>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CF794A"/>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D50"/>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4D"/>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1AE"/>
    <w:rsid w:val="00D81386"/>
    <w:rsid w:val="00D81411"/>
    <w:rsid w:val="00D817EC"/>
    <w:rsid w:val="00D81971"/>
    <w:rsid w:val="00D81ACD"/>
    <w:rsid w:val="00D81CD9"/>
    <w:rsid w:val="00D81F86"/>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987"/>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6E96"/>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467"/>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3B8A"/>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CDD"/>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47B73"/>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DE3"/>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D63"/>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0BF"/>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992"/>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 w:type="character" w:customStyle="1" w:styleId="A7">
    <w:name w:val="A7"/>
    <w:basedOn w:val="DefaultParagraphFont"/>
    <w:uiPriority w:val="99"/>
    <w:rsid w:val="000C515A"/>
    <w:rPr>
      <w:rFonts w:ascii="Gotham Book" w:hAnsi="Gotham Book" w:hint="default"/>
      <w:color w:val="000000"/>
    </w:rPr>
  </w:style>
  <w:style w:type="paragraph" w:styleId="Revision">
    <w:name w:val="Revision"/>
    <w:hidden/>
    <w:uiPriority w:val="99"/>
    <w:semiHidden/>
    <w:rsid w:val="0059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423887990">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260943184">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769305583">
      <w:bodyDiv w:val="1"/>
      <w:marLeft w:val="0"/>
      <w:marRight w:val="0"/>
      <w:marTop w:val="0"/>
      <w:marBottom w:val="0"/>
      <w:divBdr>
        <w:top w:val="none" w:sz="0" w:space="0" w:color="auto"/>
        <w:left w:val="none" w:sz="0" w:space="0" w:color="auto"/>
        <w:bottom w:val="none" w:sz="0" w:space="0" w:color="auto"/>
        <w:right w:val="none" w:sz="0" w:space="0" w:color="auto"/>
      </w:divBdr>
    </w:div>
    <w:div w:id="1796866985">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weq_bps_css_rmqbps111523fm.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_css_rmqbps111523w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css_rmqbps111523w3.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esb.org/pdf4/weq_bps_css_rmqbps120523w2.docx" TargetMode="External"/><Relationship Id="rId4" Type="http://schemas.openxmlformats.org/officeDocument/2006/relationships/settings" Target="settings.xml"/><Relationship Id="rId9" Type="http://schemas.openxmlformats.org/officeDocument/2006/relationships/hyperlink" Target="https://naesb.org/pdf4/weq_bps_css_rmqbps120523w1.ppt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7258</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3</cp:revision>
  <cp:lastPrinted>2012-04-04T10:38:00Z</cp:lastPrinted>
  <dcterms:created xsi:type="dcterms:W3CDTF">2023-12-07T19:36:00Z</dcterms:created>
  <dcterms:modified xsi:type="dcterms:W3CDTF">2023-12-11T18:45:00Z</dcterms:modified>
</cp:coreProperties>
</file>