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19A7" w14:textId="77777777" w:rsidR="00B84749" w:rsidRDefault="00B84749" w:rsidP="00B84749">
      <w:pPr>
        <w:rPr>
          <w:rFonts w:ascii="Times New Roman" w:hAnsi="Times New Roman" w:cs="Times New Roman"/>
          <w:sz w:val="20"/>
          <w:szCs w:val="20"/>
        </w:rPr>
      </w:pPr>
      <w:bookmarkStart w:id="0" w:name="_MailOriginal"/>
    </w:p>
    <w:p w14:paraId="45287465" w14:textId="159B044B" w:rsidR="00B84749" w:rsidRDefault="00B84749" w:rsidP="00B84749">
      <w:pPr>
        <w:outlineLvl w:val="0"/>
        <w:rPr>
          <w:sz w:val="22"/>
          <w:szCs w:val="22"/>
          <w14:ligatures w14:val="none"/>
        </w:rPr>
      </w:pPr>
      <w:r>
        <w:rPr>
          <w:b/>
          <w:bCs/>
          <w:sz w:val="22"/>
          <w:szCs w:val="22"/>
          <w14:ligatures w14:val="none"/>
        </w:rPr>
        <w:t>From:</w:t>
      </w:r>
      <w:r>
        <w:rPr>
          <w:sz w:val="22"/>
          <w:szCs w:val="22"/>
          <w14:ligatures w14:val="none"/>
        </w:rPr>
        <w:t xml:space="preserve"> Dick Brooks</w:t>
      </w:r>
      <w:r>
        <w:rPr>
          <w:sz w:val="22"/>
          <w:szCs w:val="22"/>
          <w14:ligatures w14:val="none"/>
        </w:rPr>
        <w:t>, Business Cyber Guardian</w:t>
      </w:r>
      <w:r>
        <w:rPr>
          <w:sz w:val="22"/>
          <w:szCs w:val="22"/>
          <w14:ligatures w14:val="none"/>
        </w:rPr>
        <w:t xml:space="preserve"> </w:t>
      </w:r>
      <w:r>
        <w:rPr>
          <w:sz w:val="22"/>
          <w:szCs w:val="22"/>
          <w14:ligatures w14:val="none"/>
        </w:rPr>
        <w:br/>
      </w:r>
      <w:r>
        <w:rPr>
          <w:b/>
          <w:bCs/>
          <w:sz w:val="22"/>
          <w:szCs w:val="22"/>
          <w14:ligatures w14:val="none"/>
        </w:rPr>
        <w:t>Sent:</w:t>
      </w:r>
      <w:r>
        <w:rPr>
          <w:sz w:val="22"/>
          <w:szCs w:val="22"/>
          <w14:ligatures w14:val="none"/>
        </w:rPr>
        <w:t xml:space="preserve"> Friday, July 17, 2026 9:22 AM</w:t>
      </w:r>
      <w:r>
        <w:rPr>
          <w:sz w:val="22"/>
          <w:szCs w:val="22"/>
          <w14:ligatures w14:val="none"/>
        </w:rPr>
        <w:br/>
      </w:r>
      <w:r>
        <w:rPr>
          <w:b/>
          <w:bCs/>
          <w:sz w:val="22"/>
          <w:szCs w:val="22"/>
          <w14:ligatures w14:val="none"/>
        </w:rPr>
        <w:t>Subject:</w:t>
      </w:r>
      <w:r>
        <w:rPr>
          <w:sz w:val="22"/>
          <w:szCs w:val="22"/>
          <w14:ligatures w14:val="none"/>
        </w:rPr>
        <w:t xml:space="preserve"> FW: NAESB 1b language supporting NERC CIP R1 1.6</w:t>
      </w:r>
    </w:p>
    <w:p w14:paraId="3C061C43" w14:textId="77777777" w:rsidR="00B84749" w:rsidRDefault="00B84749" w:rsidP="00B84749"/>
    <w:p w14:paraId="339BA1B3" w14:textId="77777777" w:rsidR="00B84749" w:rsidRDefault="00B84749" w:rsidP="00B84749">
      <w:pPr>
        <w:rPr>
          <w:sz w:val="22"/>
          <w:szCs w:val="22"/>
        </w:rPr>
      </w:pPr>
    </w:p>
    <w:p w14:paraId="74970D3E" w14:textId="77777777" w:rsidR="00B84749" w:rsidRDefault="00B84749" w:rsidP="00B84749">
      <w:pPr>
        <w:rPr>
          <w:sz w:val="22"/>
          <w:szCs w:val="22"/>
        </w:rPr>
      </w:pPr>
      <w:r>
        <w:rPr>
          <w:sz w:val="22"/>
          <w:szCs w:val="22"/>
        </w:rPr>
        <w:t>NET CIP-010-4 R1 Part 1.6:</w:t>
      </w:r>
    </w:p>
    <w:p w14:paraId="61E3ECB9" w14:textId="77777777" w:rsidR="00B84749" w:rsidRDefault="00B84749" w:rsidP="00B84749">
      <w:pPr>
        <w:rPr>
          <w:sz w:val="22"/>
          <w:szCs w:val="22"/>
        </w:rPr>
      </w:pPr>
    </w:p>
    <w:p w14:paraId="7FFD4FF1" w14:textId="77777777" w:rsidR="00B84749" w:rsidRDefault="00B84749" w:rsidP="00B84749">
      <w:pPr>
        <w:pStyle w:val="Default"/>
        <w:rPr>
          <w:sz w:val="22"/>
          <w:szCs w:val="22"/>
        </w:rPr>
      </w:pPr>
      <w:r>
        <w:rPr>
          <w:sz w:val="22"/>
          <w:szCs w:val="22"/>
        </w:rPr>
        <w:t xml:space="preserve">“Prior to a change that deviates from the existing baseline configuration associated with baseline items in Parts 1.1.1, 1.1.2, and 1.1.5, and when the method to do so is available to the Responsible Entity from the software source: </w:t>
      </w:r>
    </w:p>
    <w:p w14:paraId="33F0CF7B" w14:textId="77777777" w:rsidR="00B84749" w:rsidRDefault="00B84749" w:rsidP="00B84749">
      <w:pPr>
        <w:pStyle w:val="Default"/>
        <w:rPr>
          <w:sz w:val="22"/>
          <w:szCs w:val="22"/>
        </w:rPr>
      </w:pPr>
      <w:r>
        <w:rPr>
          <w:sz w:val="22"/>
          <w:szCs w:val="22"/>
        </w:rPr>
        <w:t xml:space="preserve">1.6.1. Verify the identity of the software source; and </w:t>
      </w:r>
    </w:p>
    <w:p w14:paraId="38547022" w14:textId="77777777" w:rsidR="00B84749" w:rsidRDefault="00B84749" w:rsidP="00B84749">
      <w:pPr>
        <w:rPr>
          <w:sz w:val="22"/>
          <w:szCs w:val="22"/>
        </w:rPr>
      </w:pPr>
      <w:r>
        <w:rPr>
          <w:sz w:val="22"/>
          <w:szCs w:val="22"/>
        </w:rPr>
        <w:t>1.6.2. Verify the integrity of the software obtained from the software source. “</w:t>
      </w:r>
    </w:p>
    <w:p w14:paraId="1A5EA903" w14:textId="77777777" w:rsidR="00B84749" w:rsidRDefault="00B84749" w:rsidP="00B84749">
      <w:pPr>
        <w:rPr>
          <w:sz w:val="22"/>
          <w:szCs w:val="22"/>
        </w:rPr>
      </w:pPr>
    </w:p>
    <w:p w14:paraId="3C8697B4" w14:textId="77777777" w:rsidR="00B84749" w:rsidRDefault="00B84749" w:rsidP="00B84749">
      <w:pPr>
        <w:rPr>
          <w:sz w:val="22"/>
          <w:szCs w:val="22"/>
        </w:rPr>
      </w:pPr>
      <w:r>
        <w:rPr>
          <w:sz w:val="22"/>
          <w:szCs w:val="22"/>
        </w:rPr>
        <w:t>PROPOSED ADDITION TO CONTRACT LANGUAGE:</w:t>
      </w:r>
    </w:p>
    <w:p w14:paraId="1276B666" w14:textId="77777777" w:rsidR="00B84749" w:rsidRDefault="00B84749" w:rsidP="00B84749">
      <w:pPr>
        <w:rPr>
          <w:sz w:val="22"/>
          <w:szCs w:val="22"/>
        </w:rPr>
      </w:pPr>
    </w:p>
    <w:p w14:paraId="6F403102" w14:textId="77777777" w:rsidR="00B84749" w:rsidRDefault="00B84749" w:rsidP="00B84749">
      <w:pPr>
        <w:rPr>
          <w:sz w:val="22"/>
          <w:szCs w:val="22"/>
        </w:rPr>
      </w:pPr>
      <w:r>
        <w:rPr>
          <w:sz w:val="22"/>
          <w:szCs w:val="22"/>
        </w:rPr>
        <w:t xml:space="preserve">Product Supplier MUST provide a method to verify the trustworthiness (integrity and authenticity) of a product, including patches, using publicly available, trustworthy methods supported by the product supplier. Product User MUST verify the trustworthiness of a product before implementation in production, following NERC CIP-010-4 R1 Part 1.6 </w:t>
      </w:r>
      <w:proofErr w:type="gramStart"/>
      <w:r>
        <w:rPr>
          <w:sz w:val="22"/>
          <w:szCs w:val="22"/>
        </w:rPr>
        <w:t>requirements..</w:t>
      </w:r>
      <w:proofErr w:type="gramEnd"/>
    </w:p>
    <w:p w14:paraId="0CA4FE49" w14:textId="77777777" w:rsidR="00B84749" w:rsidRDefault="00B84749" w:rsidP="00B84749">
      <w:pPr>
        <w:rPr>
          <w:sz w:val="22"/>
          <w:szCs w:val="22"/>
        </w:rPr>
      </w:pPr>
    </w:p>
    <w:p w14:paraId="32B3BCD4" w14:textId="77777777" w:rsidR="00B84749" w:rsidRDefault="00B84749" w:rsidP="00B84749">
      <w:pPr>
        <w:rPr>
          <w:sz w:val="22"/>
          <w:szCs w:val="22"/>
        </w:rPr>
      </w:pPr>
    </w:p>
    <w:p w14:paraId="345FE636" w14:textId="77777777" w:rsidR="00B84749" w:rsidRDefault="00B84749" w:rsidP="00B84749">
      <w:pPr>
        <w:rPr>
          <w:sz w:val="22"/>
          <w:szCs w:val="22"/>
        </w:rPr>
      </w:pPr>
    </w:p>
    <w:p w14:paraId="5E0F6D3F" w14:textId="77777777" w:rsidR="00B84749" w:rsidRDefault="00B84749" w:rsidP="00B84749">
      <w:pPr>
        <w:rPr>
          <w:sz w:val="22"/>
          <w:szCs w:val="22"/>
          <w14:ligatures w14:val="none"/>
        </w:rPr>
      </w:pPr>
      <w:r>
        <w:t>Thanks,</w:t>
      </w:r>
    </w:p>
    <w:p w14:paraId="10DEFC9B" w14:textId="77777777" w:rsidR="00B84749" w:rsidRDefault="00B84749" w:rsidP="00B84749"/>
    <w:p w14:paraId="558D7D4E" w14:textId="77777777" w:rsidR="00B84749" w:rsidRDefault="00B84749" w:rsidP="00B84749">
      <w:r>
        <w:t>Dick Brooks</w:t>
      </w:r>
    </w:p>
    <w:p w14:paraId="300CFF9D" w14:textId="624F01E5" w:rsidR="00B84749" w:rsidRDefault="00B84749" w:rsidP="00B84749">
      <w:pPr>
        <w:rPr>
          <w:sz w:val="20"/>
          <w:szCs w:val="20"/>
          <w14:ligatures w14:val="none"/>
        </w:rPr>
      </w:pPr>
      <w:r>
        <w:rPr>
          <w:noProof/>
          <w:sz w:val="20"/>
          <w:szCs w:val="20"/>
          <w14:ligatures w14:val="none"/>
        </w:rPr>
        <w:drawing>
          <wp:inline distT="0" distB="0" distL="0" distR="0" wp14:anchorId="66A8DCC8" wp14:editId="5D1AA594">
            <wp:extent cx="1546860" cy="762000"/>
            <wp:effectExtent l="0" t="0" r="0" b="0"/>
            <wp:docPr id="2099556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6860" cy="762000"/>
                    </a:xfrm>
                    <a:prstGeom prst="rect">
                      <a:avLst/>
                    </a:prstGeom>
                    <a:noFill/>
                    <a:ln>
                      <a:noFill/>
                    </a:ln>
                  </pic:spPr>
                </pic:pic>
              </a:graphicData>
            </a:graphic>
          </wp:inline>
        </w:drawing>
      </w:r>
      <w:r>
        <w:rPr>
          <w:sz w:val="20"/>
          <w:szCs w:val="20"/>
          <w14:ligatures w14:val="none"/>
        </w:rPr>
        <w:t> </w:t>
      </w:r>
      <w:r>
        <w:rPr>
          <w:noProof/>
          <w:sz w:val="20"/>
          <w:szCs w:val="20"/>
          <w14:ligatures w14:val="none"/>
        </w:rPr>
        <w:drawing>
          <wp:inline distT="0" distB="0" distL="0" distR="0" wp14:anchorId="772AC263" wp14:editId="7C400CAD">
            <wp:extent cx="784860" cy="822960"/>
            <wp:effectExtent l="0" t="0" r="0" b="0"/>
            <wp:docPr id="888411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4860" cy="822960"/>
                    </a:xfrm>
                    <a:prstGeom prst="rect">
                      <a:avLst/>
                    </a:prstGeom>
                    <a:noFill/>
                    <a:ln>
                      <a:noFill/>
                    </a:ln>
                  </pic:spPr>
                </pic:pic>
              </a:graphicData>
            </a:graphic>
          </wp:inline>
        </w:drawing>
      </w:r>
      <w:r>
        <w:rPr>
          <w:sz w:val="22"/>
          <w:szCs w:val="22"/>
          <w14:ligatures w14:val="none"/>
        </w:rPr>
        <w:t> </w:t>
      </w:r>
      <w:r>
        <w:rPr>
          <w:noProof/>
          <w:sz w:val="20"/>
          <w:szCs w:val="20"/>
          <w14:ligatures w14:val="none"/>
        </w:rPr>
        <w:drawing>
          <wp:inline distT="0" distB="0" distL="0" distR="0" wp14:anchorId="3E705916" wp14:editId="2C49A850">
            <wp:extent cx="952500" cy="952500"/>
            <wp:effectExtent l="0" t="0" r="0" b="0"/>
            <wp:docPr id="152576968" name="Picture 1" descr="Richard (Dick) Br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23" descr="Richard (Dick) Broo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DB7018C" w14:textId="77777777" w:rsidR="00B84749" w:rsidRDefault="00B84749" w:rsidP="00B84749">
      <w:pPr>
        <w:rPr>
          <w:sz w:val="22"/>
          <w:szCs w:val="22"/>
          <w14:ligatures w14:val="none"/>
        </w:rPr>
      </w:pPr>
      <w:r>
        <w:rPr>
          <w:i/>
          <w:iCs/>
          <w:sz w:val="22"/>
          <w:szCs w:val="22"/>
          <w14:ligatures w14:val="none"/>
        </w:rPr>
        <w:t xml:space="preserve">Active Member of the CISA Critical Manufacturing Sector, </w:t>
      </w:r>
    </w:p>
    <w:p w14:paraId="70C35E0E" w14:textId="77777777" w:rsidR="00B84749" w:rsidRDefault="00B84749" w:rsidP="00B84749">
      <w:pPr>
        <w:rPr>
          <w:sz w:val="22"/>
          <w:szCs w:val="22"/>
          <w14:ligatures w14:val="none"/>
        </w:rPr>
      </w:pPr>
      <w:r>
        <w:rPr>
          <w:i/>
          <w:iCs/>
          <w:sz w:val="22"/>
          <w:szCs w:val="22"/>
          <w14:ligatures w14:val="none"/>
        </w:rPr>
        <w:t>Sector Coordinating Council – A Public-Private Partnership</w:t>
      </w:r>
    </w:p>
    <w:p w14:paraId="11FC2537" w14:textId="77777777" w:rsidR="00B84749" w:rsidRDefault="00B84749" w:rsidP="00B84749">
      <w:r>
        <w:rPr>
          <w:sz w:val="22"/>
          <w:szCs w:val="22"/>
        </w:rPr>
        <w:t>Lifetime IEEE Member, #SBOM SIG member</w:t>
      </w:r>
      <w:r>
        <w:t xml:space="preserve"> </w:t>
      </w:r>
    </w:p>
    <w:p w14:paraId="112C78A3" w14:textId="77777777" w:rsidR="00B84749" w:rsidRDefault="00B84749" w:rsidP="00B84749">
      <w:hyperlink r:id="rId7" w:history="1">
        <w:r>
          <w:rPr>
            <w:rStyle w:val="Hyperlink"/>
            <w:color w:val="0000FF"/>
          </w:rPr>
          <w:t>https://businesscyberguardian.com/</w:t>
        </w:r>
      </w:hyperlink>
      <w:r>
        <w:t xml:space="preserve"> </w:t>
      </w:r>
      <w:bookmarkEnd w:id="0"/>
    </w:p>
    <w:p w14:paraId="0B745991" w14:textId="77777777" w:rsidR="000A68CE" w:rsidRDefault="000A68CE"/>
    <w:sectPr w:rsidR="000A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49"/>
    <w:rsid w:val="000A68CE"/>
    <w:rsid w:val="00550F83"/>
    <w:rsid w:val="009B76C0"/>
    <w:rsid w:val="00B84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663C"/>
  <w15:chartTrackingRefBased/>
  <w15:docId w15:val="{84D0CEC1-736F-4618-ABAD-FEB28CCC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749"/>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B8474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B8474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B8474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B84749"/>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B84749"/>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B84749"/>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B84749"/>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B84749"/>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B84749"/>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7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7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7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7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7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749"/>
    <w:rPr>
      <w:rFonts w:eastAsiaTheme="majorEastAsia" w:cstheme="majorBidi"/>
      <w:color w:val="272727" w:themeColor="text1" w:themeTint="D8"/>
    </w:rPr>
  </w:style>
  <w:style w:type="paragraph" w:styleId="Title">
    <w:name w:val="Title"/>
    <w:basedOn w:val="Normal"/>
    <w:next w:val="Normal"/>
    <w:link w:val="TitleChar"/>
    <w:uiPriority w:val="10"/>
    <w:qFormat/>
    <w:rsid w:val="00B847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7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B84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749"/>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B84749"/>
    <w:rPr>
      <w:i/>
      <w:iCs/>
      <w:color w:val="404040" w:themeColor="text1" w:themeTint="BF"/>
    </w:rPr>
  </w:style>
  <w:style w:type="paragraph" w:styleId="ListParagraph">
    <w:name w:val="List Paragraph"/>
    <w:basedOn w:val="Normal"/>
    <w:uiPriority w:val="34"/>
    <w:qFormat/>
    <w:rsid w:val="00B84749"/>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B84749"/>
    <w:rPr>
      <w:i/>
      <w:iCs/>
      <w:color w:val="2F5496" w:themeColor="accent1" w:themeShade="BF"/>
    </w:rPr>
  </w:style>
  <w:style w:type="paragraph" w:styleId="IntenseQuote">
    <w:name w:val="Intense Quote"/>
    <w:basedOn w:val="Normal"/>
    <w:next w:val="Normal"/>
    <w:link w:val="IntenseQuoteChar"/>
    <w:uiPriority w:val="30"/>
    <w:qFormat/>
    <w:rsid w:val="00B8474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B84749"/>
    <w:rPr>
      <w:i/>
      <w:iCs/>
      <w:color w:val="2F5496" w:themeColor="accent1" w:themeShade="BF"/>
    </w:rPr>
  </w:style>
  <w:style w:type="character" w:styleId="IntenseReference">
    <w:name w:val="Intense Reference"/>
    <w:basedOn w:val="DefaultParagraphFont"/>
    <w:uiPriority w:val="32"/>
    <w:qFormat/>
    <w:rsid w:val="00B84749"/>
    <w:rPr>
      <w:b/>
      <w:bCs/>
      <w:smallCaps/>
      <w:color w:val="2F5496" w:themeColor="accent1" w:themeShade="BF"/>
      <w:spacing w:val="5"/>
    </w:rPr>
  </w:style>
  <w:style w:type="character" w:styleId="Hyperlink">
    <w:name w:val="Hyperlink"/>
    <w:basedOn w:val="DefaultParagraphFont"/>
    <w:uiPriority w:val="99"/>
    <w:semiHidden/>
    <w:unhideWhenUsed/>
    <w:rsid w:val="00B84749"/>
    <w:rPr>
      <w:color w:val="0563C1"/>
      <w:u w:val="single"/>
    </w:rPr>
  </w:style>
  <w:style w:type="paragraph" w:customStyle="1" w:styleId="Default">
    <w:name w:val="Default"/>
    <w:basedOn w:val="Normal"/>
    <w:rsid w:val="00B84749"/>
    <w:pPr>
      <w:autoSpaceDE w:val="0"/>
      <w:autoSpaceDN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usinesscyberguardi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2026-07-20T18:32:00Z</dcterms:created>
  <dcterms:modified xsi:type="dcterms:W3CDTF">2026-07-20T18:35:00Z</dcterms:modified>
</cp:coreProperties>
</file>