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4365EF7B" w:rsidR="00C44C62" w:rsidRPr="000E5855" w:rsidRDefault="00C44C62" w:rsidP="00D62DE0">
      <w:pPr>
        <w:ind w:left="1440" w:hanging="1440"/>
      </w:pPr>
      <w:r w:rsidRPr="000E5855">
        <w:rPr>
          <w:b/>
          <w:bCs/>
        </w:rPr>
        <w:t>RE:</w:t>
      </w:r>
      <w:r w:rsidRPr="000E5855">
        <w:rPr>
          <w:b/>
          <w:bCs/>
        </w:rPr>
        <w:tab/>
      </w:r>
      <w:r w:rsidR="00684A6D">
        <w:t>Draft</w:t>
      </w:r>
      <w:r w:rsidR="009B21BD">
        <w:t xml:space="preserve"> </w:t>
      </w:r>
      <w:r w:rsidR="00230ECA">
        <w:t xml:space="preserve">Minutes from </w:t>
      </w:r>
      <w:r w:rsidR="00684A6D">
        <w:t>February 24</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5738057A"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6E704E">
        <w:t xml:space="preserve">February </w:t>
      </w:r>
      <w:r w:rsidR="00684A6D">
        <w:t>24</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037FD5F0" w:rsidR="00C44C62" w:rsidRDefault="00684A6D" w:rsidP="0063021A">
      <w:pPr>
        <w:widowControl w:val="0"/>
        <w:jc w:val="center"/>
        <w:outlineLvl w:val="2"/>
        <w:rPr>
          <w:b/>
          <w:bCs/>
        </w:rPr>
      </w:pPr>
      <w:r>
        <w:rPr>
          <w:b/>
          <w:bCs/>
        </w:rPr>
        <w:t>February 24</w:t>
      </w:r>
      <w:r w:rsidR="006E704E">
        <w:rPr>
          <w:b/>
          <w:bCs/>
        </w:rPr>
        <w:t>, 2026</w:t>
      </w:r>
      <w:r w:rsidR="00B70957">
        <w:rPr>
          <w:b/>
          <w:bCs/>
        </w:rPr>
        <w:t xml:space="preserve"> – </w:t>
      </w:r>
      <w:r>
        <w:rPr>
          <w:b/>
          <w:bCs/>
        </w:rPr>
        <w:t>1</w:t>
      </w:r>
      <w:r w:rsidR="006E704E">
        <w:rPr>
          <w:b/>
          <w:bCs/>
        </w:rPr>
        <w:t>:00</w:t>
      </w:r>
      <w:r w:rsidR="00B70957">
        <w:rPr>
          <w:b/>
          <w:bCs/>
        </w:rPr>
        <w:t xml:space="preserve"> to</w:t>
      </w:r>
      <w:r w:rsidR="004B685E">
        <w:rPr>
          <w:b/>
          <w:bCs/>
        </w:rPr>
        <w:t xml:space="preserve"> </w:t>
      </w:r>
      <w:r>
        <w:rPr>
          <w:b/>
          <w:bCs/>
        </w:rPr>
        <w:t>3</w:t>
      </w:r>
      <w:r w:rsidR="006E704E">
        <w:rPr>
          <w:b/>
          <w:bCs/>
        </w:rPr>
        <w:t>:00</w:t>
      </w:r>
      <w:r w:rsidR="004B685E">
        <w:rPr>
          <w:b/>
          <w:bCs/>
        </w:rPr>
        <w:t xml:space="preserve"> </w:t>
      </w:r>
      <w:r>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45C3A54C" w:rsidR="00C44C62" w:rsidRPr="00EE257D" w:rsidRDefault="009B21BD" w:rsidP="00EA2474">
      <w:pPr>
        <w:widowControl w:val="0"/>
        <w:spacing w:after="120"/>
        <w:jc w:val="center"/>
      </w:pPr>
      <w:r>
        <w:rPr>
          <w:b/>
          <w:bCs/>
          <w:u w:val="single"/>
        </w:rPr>
        <w:t>FINAL</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7DA123DF"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684A6D">
        <w:t>Mr. Galloway</w:t>
      </w:r>
      <w:r w:rsidR="004B685E">
        <w:t xml:space="preserve">, seconded by </w:t>
      </w:r>
      <w:r w:rsidR="00684A6D">
        <w:t>Mr. Ashbaker.</w:t>
      </w:r>
    </w:p>
    <w:p w14:paraId="5374211D" w14:textId="4373CD47" w:rsidR="004B685E" w:rsidRDefault="004B685E" w:rsidP="008F22D4">
      <w:pPr>
        <w:spacing w:after="120"/>
        <w:jc w:val="both"/>
      </w:pPr>
      <w:r>
        <w:t xml:space="preserve">The participants reviewed the draft minutes from the </w:t>
      </w:r>
      <w:r w:rsidR="00684A6D">
        <w:t>January 30, 2026</w:t>
      </w:r>
      <w:r>
        <w:t xml:space="preserve"> meeting.  No modifications were offered.  Mr. </w:t>
      </w:r>
      <w:r w:rsidR="00684A6D">
        <w:t>Ashbaker</w:t>
      </w:r>
      <w:r w:rsidR="006E704E">
        <w:t xml:space="preserve"> </w:t>
      </w:r>
      <w:r>
        <w:t xml:space="preserve">moved, seconded by Mr. </w:t>
      </w:r>
      <w:r w:rsidR="00684A6D">
        <w:t>Galloway</w:t>
      </w:r>
      <w:r>
        <w:t xml:space="preserve">, to adopt the draft minutes as final.  The final minutes for the meeting are available through the following hyperlink: </w:t>
      </w:r>
      <w:hyperlink r:id="rId8" w:history="1">
        <w:r w:rsidR="00880C46" w:rsidRPr="00375E52">
          <w:rPr>
            <w:rStyle w:val="Hyperlink"/>
          </w:rPr>
          <w:t>https://naesb.org/pdf4/weq_bps_css013026fm.docx</w:t>
        </w:r>
      </w:hyperlink>
      <w:r w:rsidR="00880C46">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3CEF6EA9" w14:textId="140686F1" w:rsidR="00684A6D" w:rsidRDefault="006E704E" w:rsidP="007F1058">
      <w:pPr>
        <w:spacing w:before="120" w:after="120"/>
        <w:jc w:val="both"/>
      </w:pPr>
      <w:r>
        <w:t xml:space="preserve">Mr. Brooks stated that during the last meeting, the participants </w:t>
      </w:r>
      <w:r w:rsidR="00684A6D">
        <w:t>discussed</w:t>
      </w:r>
      <w:r w:rsidR="00684A6D">
        <w:t xml:space="preserve"> </w:t>
      </w:r>
      <w:r w:rsidR="00684A6D">
        <w:t xml:space="preserve">the potential for </w:t>
      </w:r>
      <w:r w:rsidR="00684A6D">
        <w:t xml:space="preserve">standardized contract language </w:t>
      </w:r>
      <w:r w:rsidR="00684A6D">
        <w:t xml:space="preserve">as a mechanism to support timely notification from vendors </w:t>
      </w:r>
      <w:r w:rsidR="00684A6D" w:rsidRPr="00094DA1">
        <w:t>regarding vulnerability identifications and mitigation instructions</w:t>
      </w:r>
      <w:r w:rsidR="00684A6D">
        <w:t xml:space="preserve">.  He explained that he had taken an action item to identify additional guidance that could help further discussions and that posted as work papers for the meeting are the February 2026 </w:t>
      </w:r>
      <w:hyperlink r:id="rId9" w:history="1">
        <w:r w:rsidR="00684A6D" w:rsidRPr="00135357">
          <w:rPr>
            <w:rStyle w:val="Hyperlink"/>
          </w:rPr>
          <w:t>Federal Acqu</w:t>
        </w:r>
        <w:r w:rsidR="00684A6D" w:rsidRPr="00135357">
          <w:rPr>
            <w:rStyle w:val="Hyperlink"/>
          </w:rPr>
          <w:t>i</w:t>
        </w:r>
        <w:r w:rsidR="00684A6D" w:rsidRPr="00135357">
          <w:rPr>
            <w:rStyle w:val="Hyperlink"/>
          </w:rPr>
          <w:t>sition Regulation Memo</w:t>
        </w:r>
      </w:hyperlink>
      <w:r w:rsidR="00684A6D">
        <w:t xml:space="preserve"> from the U.S. Department of Defense </w:t>
      </w:r>
      <w:r w:rsidR="008F5826">
        <w:t xml:space="preserve">(DoD) </w:t>
      </w:r>
      <w:r w:rsidR="00684A6D">
        <w:t xml:space="preserve">and the </w:t>
      </w:r>
      <w:hyperlink r:id="rId10" w:history="1">
        <w:r w:rsidR="00684A6D" w:rsidRPr="00135357">
          <w:rPr>
            <w:rStyle w:val="Hyperlink"/>
          </w:rPr>
          <w:t>NERC Security Guideline – Supply Chain Procurement Language</w:t>
        </w:r>
      </w:hyperlink>
      <w:r w:rsidR="00684A6D">
        <w:t>.</w:t>
      </w:r>
    </w:p>
    <w:p w14:paraId="6693F98C" w14:textId="77777777" w:rsidR="008F5826" w:rsidRDefault="00135357" w:rsidP="007F1058">
      <w:pPr>
        <w:spacing w:before="120" w:after="120"/>
        <w:jc w:val="both"/>
      </w:pPr>
      <w:r>
        <w:t xml:space="preserve">Mr. Brooks suggested the participants begin discussions by reviewing the European Union Agency for Cybersecurity </w:t>
      </w:r>
      <w:hyperlink r:id="rId11" w:history="1">
        <w:r w:rsidRPr="00135357">
          <w:rPr>
            <w:rStyle w:val="Hyperlink"/>
          </w:rPr>
          <w:t>guidance</w:t>
        </w:r>
      </w:hyperlink>
      <w:r>
        <w:t xml:space="preserve"> on the Cyber Resilience Act requirements for a single reporting platform.  He noted that the agency established a tiered notification approach whereby vendors are mandated to provide an early warning within 24-hours of becoming aware of a vulnerability or incident, a vulnerability or incident notification within 72-hours of becoming aware, and a final report no later than 14 days after a corrective measure is available for vulnerabilities and within one month after the initial notification for severe incidents.</w:t>
      </w:r>
    </w:p>
    <w:p w14:paraId="79442299" w14:textId="6D6DD37F" w:rsidR="00D84C7E" w:rsidRDefault="008F5826" w:rsidP="007F1058">
      <w:pPr>
        <w:spacing w:before="120" w:after="120"/>
        <w:jc w:val="both"/>
      </w:pPr>
      <w:r>
        <w:t xml:space="preserve">Mr. Brooks noted that the U.S. DoD regulations </w:t>
      </w:r>
      <w:r w:rsidR="00D84C7E">
        <w:t xml:space="preserve">also attempt to resolve the blind-spot period between when a vulnerability is discovered by the vendor and when notice is provided to users or owners of the software products.  He stated that </w:t>
      </w:r>
      <w:r>
        <w:t xml:space="preserve">use the </w:t>
      </w:r>
      <w:r w:rsidR="00D84C7E">
        <w:t xml:space="preserve">U.S. DoD uses the </w:t>
      </w:r>
      <w:r>
        <w:t xml:space="preserve">terminology “rapidly report” and </w:t>
      </w:r>
      <w:r w:rsidR="00D84C7E">
        <w:t xml:space="preserve">specifies that </w:t>
      </w:r>
      <w:r>
        <w:t>any cyber incident be reported within 72</w:t>
      </w:r>
      <w:r w:rsidR="00D84C7E">
        <w:t xml:space="preserve">-hours of discovery.  Mr. Galloway stated that in any standard development efforts, participants need to be careful as to not conflate terminology.  He noted that cyber incident typically refers to security breaches </w:t>
      </w:r>
      <w:r w:rsidR="00A90D62">
        <w:t xml:space="preserve">as opposed to discovery of software vulnerabilities.  </w:t>
      </w:r>
    </w:p>
    <w:p w14:paraId="1E97EDD4" w14:textId="2A4EFAEA" w:rsidR="00991D9E" w:rsidRDefault="00A90D62" w:rsidP="007F1058">
      <w:pPr>
        <w:spacing w:before="120" w:after="120"/>
        <w:jc w:val="both"/>
      </w:pPr>
      <w:r>
        <w:t xml:space="preserve">Mr. Galloway stated that a number of the systems and software used by the energy industry have wider applications and are used in other sectors as well.  He suggested that it may be helpful to consider if there is broader guidance that could be generally applicable and evaluate how NAESB standards could be supportive.  He </w:t>
      </w:r>
      <w:r>
        <w:lastRenderedPageBreak/>
        <w:t>noted that the NERC CIP-013 Cyber Security – Supply Chain Risk Management include</w:t>
      </w:r>
      <w:r w:rsidR="005666CB">
        <w:t>s</w:t>
      </w:r>
      <w:r>
        <w:t xml:space="preserve"> requirements </w:t>
      </w:r>
      <w:r w:rsidR="005666CB">
        <w:t>related to supply chain cyber security risk management plans that help guide procurement processes.  Mr. Brooks stated that this may be an area that could be coordinated with NERC and reviewed the NERC Security Guideline – Supply Chain Procurement Language with the participants.</w:t>
      </w:r>
      <w:r w:rsidR="00991D9E">
        <w:t xml:space="preserve">  Mr. Ashbaker stated that </w:t>
      </w:r>
      <w:proofErr w:type="spellStart"/>
      <w:r w:rsidR="00991D9E">
        <w:t>WECC</w:t>
      </w:r>
      <w:proofErr w:type="spellEnd"/>
      <w:r w:rsidR="00991D9E">
        <w:t xml:space="preserve"> has a cybersecurity working group and offered to help coordinate as needed.</w:t>
      </w:r>
    </w:p>
    <w:p w14:paraId="5EA3D2E4" w14:textId="3E19C4CF" w:rsidR="00790CEE" w:rsidRDefault="005666CB" w:rsidP="007F1058">
      <w:pPr>
        <w:spacing w:before="120" w:after="120"/>
        <w:jc w:val="both"/>
      </w:pPr>
      <w:r>
        <w:t xml:space="preserve">Mr. Galloway stated that any development of potential language </w:t>
      </w:r>
      <w:r w:rsidR="00704974">
        <w:t xml:space="preserve">related to the timeline for notification </w:t>
      </w:r>
      <w:r>
        <w:t xml:space="preserve">will require consideration of the appropriate balance between legal and financial </w:t>
      </w:r>
      <w:r w:rsidR="00704974">
        <w:t>implications for a vendor and risk to the software customer.  He noted that the tiered approach outlined in the European Union’s guidance could be a realistic approach to evaluate.  Ms. Coon suggested that the participants may also want to consider guidance on vulnerability disclosures and procurement practices from NIST and the Cybersecurity and Infrastructure Security Agency (CISA) regarding the Cyber Incident Reporting for Critical Infrastructure Act (</w:t>
      </w:r>
      <w:proofErr w:type="spellStart"/>
      <w:r w:rsidR="00704974">
        <w:t>CIRCIA</w:t>
      </w:r>
      <w:proofErr w:type="spellEnd"/>
      <w:r w:rsidR="00704974">
        <w:t xml:space="preserve">).  Mr. Galloway noted that new guidance from CISA on </w:t>
      </w:r>
      <w:proofErr w:type="spellStart"/>
      <w:r w:rsidR="00704974">
        <w:t>CIRCIA</w:t>
      </w:r>
      <w:proofErr w:type="spellEnd"/>
      <w:r w:rsidR="00704974">
        <w:t xml:space="preserve"> is expected to become effective in May 2026.  He suggested that participants may want to </w:t>
      </w:r>
      <w:r w:rsidR="00790CEE">
        <w:t xml:space="preserve">evaluate the available broader industry guidance, including that from the North American Transmission Forum and Edison Electric Institute </w:t>
      </w:r>
      <w:r w:rsidR="00790CEE">
        <w:t>to determine the best approach for the electric industry</w:t>
      </w:r>
      <w:r w:rsidR="00790CEE">
        <w:t xml:space="preserve">.  </w:t>
      </w:r>
      <w:r w:rsidR="00880C46">
        <w:t>Mr. Brooks noted that it may also be helpful to identify notification practices by vendors that provide energy-industry specific software.</w:t>
      </w:r>
    </w:p>
    <w:p w14:paraId="27F45DA1" w14:textId="270F377D" w:rsidR="00790CEE" w:rsidRDefault="00790CEE" w:rsidP="007F1058">
      <w:pPr>
        <w:spacing w:before="120" w:after="120"/>
        <w:jc w:val="both"/>
      </w:pPr>
      <w:r>
        <w:t xml:space="preserve">Mr. Coffin suggested that the participants may also want to review the Internet Engineering Task Force guidance on the file format to aid in security vulnerability disclosure.  Mr. Galloway noted that there are some commonly recognized </w:t>
      </w:r>
      <w:r w:rsidR="0001729F">
        <w:t xml:space="preserve">best </w:t>
      </w:r>
      <w:r>
        <w:t xml:space="preserve">practices, such as those included in the Open Worldwide Application Security Project’s vulnerability disclosure cheat sheet, </w:t>
      </w:r>
      <w:r w:rsidR="0001729F">
        <w:t xml:space="preserve">that are generally accepted as industry standards.  He suggested that aligning any developed standards or contract language with these best practices could support broader applicability and wider acceptance.  </w:t>
      </w:r>
    </w:p>
    <w:p w14:paraId="4DB259F3" w14:textId="7F53FC37" w:rsidR="00790CEE" w:rsidRDefault="0001729F" w:rsidP="007F1058">
      <w:pPr>
        <w:spacing w:before="120" w:after="120"/>
        <w:jc w:val="both"/>
      </w:pPr>
      <w:r>
        <w:t xml:space="preserve">Mr. Brooks noted that there appears to be general support for continuing to explore this as an area of potential standards development.  Mr. Galloway stated that developing a work paper to describe the considerations and purpose of </w:t>
      </w:r>
      <w:r w:rsidR="00AF737C">
        <w:t>the potential standards development could help to frame future discussions.  He suggested describing the effort as considerations to support active risk management programs, specifically aspects related to the identification of risk and addressing identified risks in a prioritized manner.</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3E24A4B3" w14:textId="1007C704" w:rsidR="004D2550" w:rsidRDefault="00DB3C14" w:rsidP="009D77D8">
      <w:pPr>
        <w:widowControl w:val="0"/>
        <w:tabs>
          <w:tab w:val="left" w:pos="1440"/>
        </w:tabs>
        <w:spacing w:before="120" w:after="120"/>
        <w:jc w:val="both"/>
      </w:pPr>
      <w:r>
        <w:t xml:space="preserve">Mr. </w:t>
      </w:r>
      <w:r w:rsidR="000836FA">
        <w:t xml:space="preserve">Brooks </w:t>
      </w:r>
      <w:r w:rsidR="004D2550">
        <w:t>stated that he could provide a work paper for the next meeting that identifies relevant guidance related to vulnerability disclosures and reporting and the applicable requirements that may be relevant for consideration.  He suggested that this may help provide a basis for a high-level description work paper.</w:t>
      </w:r>
      <w:r w:rsidR="00991D9E">
        <w:t xml:space="preserve">  There was general agreement in proceeding in this manner.</w:t>
      </w:r>
    </w:p>
    <w:p w14:paraId="341CE51A" w14:textId="7CB73AB9" w:rsidR="00991D9E" w:rsidRDefault="00991D9E" w:rsidP="009D77D8">
      <w:pPr>
        <w:widowControl w:val="0"/>
        <w:tabs>
          <w:tab w:val="left" w:pos="1440"/>
        </w:tabs>
        <w:spacing w:before="120" w:after="120"/>
        <w:jc w:val="both"/>
      </w:pPr>
      <w:r>
        <w:t>Mr. Brooks stated that he would work with the NAESB office to schedule the next meeting for mid-March.</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4E6A1AE3"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2:29</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020D1E">
        <w:rPr>
          <w:bCs/>
        </w:rPr>
        <w:t xml:space="preserve">Mr. </w:t>
      </w:r>
      <w:r w:rsidR="000F6465">
        <w:rPr>
          <w:bCs/>
        </w:rPr>
        <w:t>Coffin.</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906B7E" w:rsidRPr="00286562" w14:paraId="78E2FF49" w14:textId="77777777" w:rsidTr="001262CB">
        <w:tc>
          <w:tcPr>
            <w:tcW w:w="1998" w:type="dxa"/>
            <w:tcMar>
              <w:top w:w="0" w:type="dxa"/>
              <w:left w:w="108" w:type="dxa"/>
              <w:bottom w:w="0" w:type="dxa"/>
              <w:right w:w="108" w:type="dxa"/>
            </w:tcMar>
          </w:tcPr>
          <w:p w14:paraId="5AB7185B" w14:textId="5ECA6335" w:rsidR="00906B7E" w:rsidRPr="00906B7E" w:rsidRDefault="00906B7E" w:rsidP="004C02E7">
            <w:pPr>
              <w:keepNext/>
              <w:keepLines/>
              <w:widowControl w:val="0"/>
              <w:spacing w:before="120"/>
              <w:rPr>
                <w:bCs/>
              </w:rPr>
            </w:pPr>
            <w:r w:rsidRPr="00906B7E">
              <w:rPr>
                <w:bCs/>
              </w:rPr>
              <w:t>Steve</w:t>
            </w:r>
          </w:p>
        </w:tc>
        <w:tc>
          <w:tcPr>
            <w:tcW w:w="3240" w:type="dxa"/>
            <w:tcMar>
              <w:top w:w="0" w:type="dxa"/>
              <w:left w:w="108" w:type="dxa"/>
              <w:bottom w:w="0" w:type="dxa"/>
              <w:right w:w="108" w:type="dxa"/>
            </w:tcMar>
          </w:tcPr>
          <w:p w14:paraId="3D2E532B" w14:textId="48A9226D" w:rsidR="00906B7E" w:rsidRPr="00906B7E" w:rsidRDefault="00906B7E" w:rsidP="004C02E7">
            <w:pPr>
              <w:keepNext/>
              <w:keepLines/>
              <w:widowControl w:val="0"/>
              <w:spacing w:before="120"/>
              <w:rPr>
                <w:bCs/>
              </w:rPr>
            </w:pPr>
            <w:r w:rsidRPr="00906B7E">
              <w:rPr>
                <w:bCs/>
              </w:rPr>
              <w:t>Ashbaker</w:t>
            </w:r>
          </w:p>
        </w:tc>
        <w:tc>
          <w:tcPr>
            <w:tcW w:w="3870" w:type="dxa"/>
            <w:tcMar>
              <w:top w:w="0" w:type="dxa"/>
              <w:left w:w="108" w:type="dxa"/>
              <w:bottom w:w="0" w:type="dxa"/>
              <w:right w:w="108" w:type="dxa"/>
            </w:tcMar>
          </w:tcPr>
          <w:p w14:paraId="353978FB" w14:textId="392C2BA3" w:rsidR="00906B7E" w:rsidRPr="00906B7E" w:rsidRDefault="00906B7E" w:rsidP="004C02E7">
            <w:pPr>
              <w:keepNext/>
              <w:keepLines/>
              <w:widowControl w:val="0"/>
              <w:spacing w:before="120"/>
              <w:rPr>
                <w:bCs/>
              </w:rPr>
            </w:pPr>
            <w:proofErr w:type="spellStart"/>
            <w:r w:rsidRPr="00906B7E">
              <w:rPr>
                <w:bCs/>
              </w:rPr>
              <w:t>WECC</w:t>
            </w:r>
            <w:proofErr w:type="spellEnd"/>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906B7E" w:rsidRDefault="00361E46" w:rsidP="004C02E7">
            <w:pPr>
              <w:keepNext/>
              <w:keepLines/>
              <w:widowControl w:val="0"/>
              <w:spacing w:before="120"/>
              <w:rPr>
                <w:bCs/>
              </w:rPr>
            </w:pPr>
            <w:r w:rsidRPr="00906B7E">
              <w:rPr>
                <w:bCs/>
              </w:rPr>
              <w:t>Dick</w:t>
            </w:r>
          </w:p>
        </w:tc>
        <w:tc>
          <w:tcPr>
            <w:tcW w:w="3240" w:type="dxa"/>
            <w:tcMar>
              <w:top w:w="0" w:type="dxa"/>
              <w:left w:w="108" w:type="dxa"/>
              <w:bottom w:w="0" w:type="dxa"/>
              <w:right w:w="108" w:type="dxa"/>
            </w:tcMar>
          </w:tcPr>
          <w:p w14:paraId="270DA73B" w14:textId="65D00A11" w:rsidR="00361E46" w:rsidRPr="00906B7E" w:rsidRDefault="00361E46" w:rsidP="004C02E7">
            <w:pPr>
              <w:keepNext/>
              <w:keepLines/>
              <w:widowControl w:val="0"/>
              <w:spacing w:before="120"/>
              <w:rPr>
                <w:bCs/>
              </w:rPr>
            </w:pPr>
            <w:r w:rsidRPr="00906B7E">
              <w:rPr>
                <w:bCs/>
              </w:rPr>
              <w:t>Brooks</w:t>
            </w:r>
          </w:p>
        </w:tc>
        <w:tc>
          <w:tcPr>
            <w:tcW w:w="3870" w:type="dxa"/>
            <w:tcMar>
              <w:top w:w="0" w:type="dxa"/>
              <w:left w:w="108" w:type="dxa"/>
              <w:bottom w:w="0" w:type="dxa"/>
              <w:right w:w="108" w:type="dxa"/>
            </w:tcMar>
          </w:tcPr>
          <w:p w14:paraId="51D53FA6" w14:textId="3AC24B1E" w:rsidR="00361E46" w:rsidRPr="00906B7E" w:rsidRDefault="00C14D8F" w:rsidP="004C02E7">
            <w:pPr>
              <w:keepNext/>
              <w:keepLines/>
              <w:widowControl w:val="0"/>
              <w:spacing w:before="120"/>
              <w:rPr>
                <w:bCs/>
              </w:rPr>
            </w:pPr>
            <w:r w:rsidRPr="00906B7E">
              <w:rPr>
                <w:bCs/>
              </w:rPr>
              <w:t xml:space="preserve">Business Cyber Guardian </w:t>
            </w:r>
          </w:p>
        </w:tc>
      </w:tr>
      <w:tr w:rsidR="00906B7E" w:rsidRPr="00286562" w14:paraId="483BAC4E" w14:textId="77777777" w:rsidTr="001262CB">
        <w:tc>
          <w:tcPr>
            <w:tcW w:w="1998" w:type="dxa"/>
            <w:tcMar>
              <w:top w:w="0" w:type="dxa"/>
              <w:left w:w="108" w:type="dxa"/>
              <w:bottom w:w="0" w:type="dxa"/>
              <w:right w:w="108" w:type="dxa"/>
            </w:tcMar>
          </w:tcPr>
          <w:p w14:paraId="19254C07" w14:textId="3B19211E" w:rsidR="00906B7E" w:rsidRPr="00906B7E" w:rsidRDefault="00906B7E" w:rsidP="004C02E7">
            <w:pPr>
              <w:keepNext/>
              <w:keepLines/>
              <w:widowControl w:val="0"/>
              <w:spacing w:before="120"/>
              <w:rPr>
                <w:bCs/>
              </w:rPr>
            </w:pPr>
            <w:r>
              <w:rPr>
                <w:bCs/>
              </w:rPr>
              <w:t>Christopher</w:t>
            </w:r>
          </w:p>
        </w:tc>
        <w:tc>
          <w:tcPr>
            <w:tcW w:w="3240" w:type="dxa"/>
            <w:tcMar>
              <w:top w:w="0" w:type="dxa"/>
              <w:left w:w="108" w:type="dxa"/>
              <w:bottom w:w="0" w:type="dxa"/>
              <w:right w:w="108" w:type="dxa"/>
            </w:tcMar>
          </w:tcPr>
          <w:p w14:paraId="46E26802" w14:textId="0779E69E" w:rsidR="00906B7E" w:rsidRPr="00906B7E" w:rsidRDefault="00906B7E" w:rsidP="004C02E7">
            <w:pPr>
              <w:keepNext/>
              <w:keepLines/>
              <w:widowControl w:val="0"/>
              <w:spacing w:before="120"/>
              <w:rPr>
                <w:bCs/>
              </w:rPr>
            </w:pPr>
            <w:r>
              <w:rPr>
                <w:bCs/>
              </w:rPr>
              <w:t>Burden</w:t>
            </w:r>
          </w:p>
        </w:tc>
        <w:tc>
          <w:tcPr>
            <w:tcW w:w="3870" w:type="dxa"/>
            <w:tcMar>
              <w:top w:w="0" w:type="dxa"/>
              <w:left w:w="108" w:type="dxa"/>
              <w:bottom w:w="0" w:type="dxa"/>
              <w:right w:w="108" w:type="dxa"/>
            </w:tcMar>
          </w:tcPr>
          <w:p w14:paraId="76BCE8CB" w14:textId="33E1CA73" w:rsidR="00906B7E" w:rsidRPr="00906B7E" w:rsidRDefault="00906B7E" w:rsidP="004C02E7">
            <w:pPr>
              <w:keepNext/>
              <w:keepLines/>
              <w:widowControl w:val="0"/>
              <w:spacing w:before="120"/>
              <w:rPr>
                <w:bCs/>
              </w:rPr>
            </w:pPr>
            <w:r>
              <w:rPr>
                <w:bCs/>
              </w:rPr>
              <w:t>Enbridge</w:t>
            </w:r>
          </w:p>
        </w:tc>
      </w:tr>
      <w:tr w:rsidR="0065051F" w:rsidRPr="00286562" w14:paraId="758B9B09" w14:textId="77777777" w:rsidTr="001262CB">
        <w:tc>
          <w:tcPr>
            <w:tcW w:w="1998" w:type="dxa"/>
            <w:tcMar>
              <w:top w:w="0" w:type="dxa"/>
              <w:left w:w="108" w:type="dxa"/>
              <w:bottom w:w="0" w:type="dxa"/>
              <w:right w:w="108" w:type="dxa"/>
            </w:tcMar>
          </w:tcPr>
          <w:p w14:paraId="4C2CBE0E" w14:textId="165A55D5" w:rsidR="0065051F" w:rsidRPr="00906B7E" w:rsidRDefault="0065051F" w:rsidP="004C02E7">
            <w:pPr>
              <w:keepNext/>
              <w:keepLines/>
              <w:widowControl w:val="0"/>
              <w:spacing w:before="120"/>
              <w:rPr>
                <w:bCs/>
              </w:rPr>
            </w:pPr>
            <w:r w:rsidRPr="00906B7E">
              <w:rPr>
                <w:bCs/>
              </w:rPr>
              <w:t>Scott</w:t>
            </w:r>
          </w:p>
        </w:tc>
        <w:tc>
          <w:tcPr>
            <w:tcW w:w="3240" w:type="dxa"/>
            <w:tcMar>
              <w:top w:w="0" w:type="dxa"/>
              <w:left w:w="108" w:type="dxa"/>
              <w:bottom w:w="0" w:type="dxa"/>
              <w:right w:w="108" w:type="dxa"/>
            </w:tcMar>
          </w:tcPr>
          <w:p w14:paraId="6B83F16E" w14:textId="3B2C9C6E" w:rsidR="0065051F" w:rsidRPr="00906B7E" w:rsidRDefault="0065051F" w:rsidP="004C02E7">
            <w:pPr>
              <w:keepNext/>
              <w:keepLines/>
              <w:widowControl w:val="0"/>
              <w:spacing w:before="120"/>
              <w:rPr>
                <w:bCs/>
              </w:rPr>
            </w:pPr>
            <w:r w:rsidRPr="00906B7E">
              <w:rPr>
                <w:bCs/>
              </w:rPr>
              <w:t>Coe</w:t>
            </w:r>
          </w:p>
        </w:tc>
        <w:tc>
          <w:tcPr>
            <w:tcW w:w="3870" w:type="dxa"/>
            <w:tcMar>
              <w:top w:w="0" w:type="dxa"/>
              <w:left w:w="108" w:type="dxa"/>
              <w:bottom w:w="0" w:type="dxa"/>
              <w:right w:w="108" w:type="dxa"/>
            </w:tcMar>
          </w:tcPr>
          <w:p w14:paraId="3FD1FAB4" w14:textId="79AFBDFC" w:rsidR="0065051F" w:rsidRPr="00906B7E" w:rsidRDefault="0065051F" w:rsidP="004C02E7">
            <w:pPr>
              <w:keepNext/>
              <w:keepLines/>
              <w:widowControl w:val="0"/>
              <w:spacing w:before="120"/>
              <w:rPr>
                <w:bCs/>
              </w:rPr>
            </w:pPr>
            <w:r w:rsidRPr="00906B7E">
              <w:rPr>
                <w:bCs/>
              </w:rPr>
              <w:t xml:space="preserve">Collaborative Utility Solutions </w:t>
            </w:r>
          </w:p>
        </w:tc>
      </w:tr>
      <w:tr w:rsidR="0065051F" w:rsidRPr="00286562" w14:paraId="59486FFD" w14:textId="77777777" w:rsidTr="001262CB">
        <w:tc>
          <w:tcPr>
            <w:tcW w:w="1998" w:type="dxa"/>
            <w:tcMar>
              <w:top w:w="0" w:type="dxa"/>
              <w:left w:w="108" w:type="dxa"/>
              <w:bottom w:w="0" w:type="dxa"/>
              <w:right w:w="108" w:type="dxa"/>
            </w:tcMar>
          </w:tcPr>
          <w:p w14:paraId="2B43B7B3" w14:textId="76FA73A4" w:rsidR="0065051F" w:rsidRPr="00906B7E" w:rsidRDefault="0065051F" w:rsidP="004C02E7">
            <w:pPr>
              <w:keepNext/>
              <w:keepLines/>
              <w:widowControl w:val="0"/>
              <w:spacing w:before="120"/>
              <w:rPr>
                <w:bCs/>
              </w:rPr>
            </w:pPr>
            <w:r w:rsidRPr="00906B7E">
              <w:rPr>
                <w:bCs/>
              </w:rPr>
              <w:t>Donald</w:t>
            </w:r>
          </w:p>
        </w:tc>
        <w:tc>
          <w:tcPr>
            <w:tcW w:w="3240" w:type="dxa"/>
            <w:tcMar>
              <w:top w:w="0" w:type="dxa"/>
              <w:left w:w="108" w:type="dxa"/>
              <w:bottom w:w="0" w:type="dxa"/>
              <w:right w:w="108" w:type="dxa"/>
            </w:tcMar>
          </w:tcPr>
          <w:p w14:paraId="5FEB0878" w14:textId="19BDEAC0" w:rsidR="0065051F" w:rsidRPr="00906B7E" w:rsidRDefault="0065051F" w:rsidP="004C02E7">
            <w:pPr>
              <w:keepNext/>
              <w:keepLines/>
              <w:widowControl w:val="0"/>
              <w:spacing w:before="120"/>
              <w:rPr>
                <w:bCs/>
              </w:rPr>
            </w:pPr>
            <w:r w:rsidRPr="00906B7E">
              <w:rPr>
                <w:bCs/>
              </w:rPr>
              <w:t>Coffin</w:t>
            </w:r>
          </w:p>
        </w:tc>
        <w:tc>
          <w:tcPr>
            <w:tcW w:w="3870" w:type="dxa"/>
            <w:tcMar>
              <w:top w:w="0" w:type="dxa"/>
              <w:left w:w="108" w:type="dxa"/>
              <w:bottom w:w="0" w:type="dxa"/>
              <w:right w:w="108" w:type="dxa"/>
            </w:tcMar>
          </w:tcPr>
          <w:p w14:paraId="56B0D782" w14:textId="09F66001" w:rsidR="0065051F" w:rsidRPr="00906B7E" w:rsidRDefault="0065051F" w:rsidP="004C02E7">
            <w:pPr>
              <w:keepNext/>
              <w:keepLines/>
              <w:widowControl w:val="0"/>
              <w:spacing w:before="120"/>
              <w:rPr>
                <w:bCs/>
              </w:rPr>
            </w:pPr>
            <w:r w:rsidRPr="00906B7E">
              <w:rPr>
                <w:bCs/>
              </w:rPr>
              <w:t>Green Button Alliance</w:t>
            </w:r>
          </w:p>
        </w:tc>
      </w:tr>
      <w:tr w:rsidR="00C14D8F" w:rsidRPr="00286562" w14:paraId="21DE048C" w14:textId="77777777" w:rsidTr="001262CB">
        <w:tc>
          <w:tcPr>
            <w:tcW w:w="1998" w:type="dxa"/>
            <w:tcMar>
              <w:top w:w="0" w:type="dxa"/>
              <w:left w:w="108" w:type="dxa"/>
              <w:bottom w:w="0" w:type="dxa"/>
              <w:right w:w="108" w:type="dxa"/>
            </w:tcMar>
          </w:tcPr>
          <w:p w14:paraId="1FFB918E" w14:textId="697671B2" w:rsidR="00C14D8F" w:rsidRPr="00906B7E" w:rsidRDefault="00C14D8F" w:rsidP="004C02E7">
            <w:pPr>
              <w:keepNext/>
              <w:keepLines/>
              <w:widowControl w:val="0"/>
              <w:spacing w:before="120"/>
              <w:rPr>
                <w:bCs/>
              </w:rPr>
            </w:pPr>
            <w:r w:rsidRPr="00906B7E">
              <w:rPr>
                <w:bCs/>
              </w:rPr>
              <w:t>Michelle</w:t>
            </w:r>
          </w:p>
        </w:tc>
        <w:tc>
          <w:tcPr>
            <w:tcW w:w="3240" w:type="dxa"/>
            <w:tcMar>
              <w:top w:w="0" w:type="dxa"/>
              <w:left w:w="108" w:type="dxa"/>
              <w:bottom w:w="0" w:type="dxa"/>
              <w:right w:w="108" w:type="dxa"/>
            </w:tcMar>
          </w:tcPr>
          <w:p w14:paraId="110BC417" w14:textId="34A74771" w:rsidR="00C14D8F" w:rsidRPr="00906B7E" w:rsidRDefault="00C14D8F" w:rsidP="004C02E7">
            <w:pPr>
              <w:keepNext/>
              <w:keepLines/>
              <w:widowControl w:val="0"/>
              <w:spacing w:before="120"/>
              <w:rPr>
                <w:bCs/>
              </w:rPr>
            </w:pPr>
            <w:r w:rsidRPr="00906B7E">
              <w:rPr>
                <w:bCs/>
              </w:rPr>
              <w:t>Coon</w:t>
            </w:r>
          </w:p>
        </w:tc>
        <w:tc>
          <w:tcPr>
            <w:tcW w:w="3870" w:type="dxa"/>
            <w:tcMar>
              <w:top w:w="0" w:type="dxa"/>
              <w:left w:w="108" w:type="dxa"/>
              <w:bottom w:w="0" w:type="dxa"/>
              <w:right w:w="108" w:type="dxa"/>
            </w:tcMar>
          </w:tcPr>
          <w:p w14:paraId="0B6E4F1F" w14:textId="32FDD0E6" w:rsidR="00C14D8F" w:rsidRPr="00906B7E" w:rsidRDefault="00C14D8F" w:rsidP="004C02E7">
            <w:pPr>
              <w:keepNext/>
              <w:keepLines/>
              <w:widowControl w:val="0"/>
              <w:spacing w:before="120"/>
              <w:rPr>
                <w:bCs/>
              </w:rPr>
            </w:pPr>
            <w:r w:rsidRPr="00906B7E">
              <w:rPr>
                <w:bCs/>
              </w:rPr>
              <w:t>OATI</w:t>
            </w:r>
          </w:p>
        </w:tc>
      </w:tr>
      <w:tr w:rsidR="00906B7E" w:rsidRPr="00286562" w14:paraId="5922F574" w14:textId="77777777" w:rsidTr="001262CB">
        <w:tc>
          <w:tcPr>
            <w:tcW w:w="1998" w:type="dxa"/>
            <w:tcMar>
              <w:top w:w="0" w:type="dxa"/>
              <w:left w:w="108" w:type="dxa"/>
              <w:bottom w:w="0" w:type="dxa"/>
              <w:right w:w="108" w:type="dxa"/>
            </w:tcMar>
          </w:tcPr>
          <w:p w14:paraId="5A916A5A" w14:textId="35103521" w:rsidR="00906B7E" w:rsidRPr="00906B7E" w:rsidRDefault="00906B7E" w:rsidP="004C02E7">
            <w:pPr>
              <w:keepNext/>
              <w:keepLines/>
              <w:widowControl w:val="0"/>
              <w:spacing w:before="120"/>
              <w:rPr>
                <w:bCs/>
              </w:rPr>
            </w:pPr>
            <w:r w:rsidRPr="00906B7E">
              <w:rPr>
                <w:bCs/>
              </w:rPr>
              <w:t>John</w:t>
            </w:r>
          </w:p>
        </w:tc>
        <w:tc>
          <w:tcPr>
            <w:tcW w:w="3240" w:type="dxa"/>
            <w:tcMar>
              <w:top w:w="0" w:type="dxa"/>
              <w:left w:w="108" w:type="dxa"/>
              <w:bottom w:w="0" w:type="dxa"/>
              <w:right w:w="108" w:type="dxa"/>
            </w:tcMar>
          </w:tcPr>
          <w:p w14:paraId="17A9D46B" w14:textId="3C8420A5" w:rsidR="00906B7E" w:rsidRPr="00906B7E" w:rsidRDefault="00906B7E" w:rsidP="004C02E7">
            <w:pPr>
              <w:keepNext/>
              <w:keepLines/>
              <w:widowControl w:val="0"/>
              <w:spacing w:before="120"/>
              <w:rPr>
                <w:bCs/>
              </w:rPr>
            </w:pPr>
            <w:r w:rsidRPr="00906B7E">
              <w:rPr>
                <w:bCs/>
              </w:rPr>
              <w:t>Galloway</w:t>
            </w:r>
          </w:p>
        </w:tc>
        <w:tc>
          <w:tcPr>
            <w:tcW w:w="3870" w:type="dxa"/>
            <w:tcMar>
              <w:top w:w="0" w:type="dxa"/>
              <w:left w:w="108" w:type="dxa"/>
              <w:bottom w:w="0" w:type="dxa"/>
              <w:right w:w="108" w:type="dxa"/>
            </w:tcMar>
          </w:tcPr>
          <w:p w14:paraId="6946B88D" w14:textId="04EE6D9B" w:rsidR="00906B7E" w:rsidRPr="00906B7E" w:rsidRDefault="00906B7E" w:rsidP="004C02E7">
            <w:pPr>
              <w:keepNext/>
              <w:keepLines/>
              <w:widowControl w:val="0"/>
              <w:spacing w:before="120"/>
              <w:rPr>
                <w:bCs/>
              </w:rPr>
            </w:pPr>
            <w:r w:rsidRPr="00906B7E">
              <w:rPr>
                <w:bCs/>
              </w:rPr>
              <w:t>ISO-New England</w:t>
            </w:r>
          </w:p>
        </w:tc>
      </w:tr>
      <w:tr w:rsidR="00C14D8F" w:rsidRPr="00286562" w14:paraId="515112F2" w14:textId="77777777" w:rsidTr="001262CB">
        <w:tc>
          <w:tcPr>
            <w:tcW w:w="1998" w:type="dxa"/>
            <w:tcMar>
              <w:top w:w="0" w:type="dxa"/>
              <w:left w:w="108" w:type="dxa"/>
              <w:bottom w:w="0" w:type="dxa"/>
              <w:right w:w="108" w:type="dxa"/>
            </w:tcMar>
          </w:tcPr>
          <w:p w14:paraId="55730A11" w14:textId="6DDE965B" w:rsidR="00C14D8F" w:rsidRPr="00906B7E" w:rsidRDefault="00C14D8F" w:rsidP="004C02E7">
            <w:pPr>
              <w:keepNext/>
              <w:keepLines/>
              <w:widowControl w:val="0"/>
              <w:spacing w:before="120"/>
              <w:rPr>
                <w:bCs/>
              </w:rPr>
            </w:pPr>
            <w:r w:rsidRPr="00906B7E">
              <w:rPr>
                <w:bCs/>
              </w:rPr>
              <w:t>Regina</w:t>
            </w:r>
          </w:p>
        </w:tc>
        <w:tc>
          <w:tcPr>
            <w:tcW w:w="3240" w:type="dxa"/>
            <w:tcMar>
              <w:top w:w="0" w:type="dxa"/>
              <w:left w:w="108" w:type="dxa"/>
              <w:bottom w:w="0" w:type="dxa"/>
              <w:right w:w="108" w:type="dxa"/>
            </w:tcMar>
          </w:tcPr>
          <w:p w14:paraId="395617D3" w14:textId="32DC761D" w:rsidR="00C14D8F" w:rsidRPr="00906B7E" w:rsidRDefault="00C14D8F" w:rsidP="004C02E7">
            <w:pPr>
              <w:keepNext/>
              <w:keepLines/>
              <w:widowControl w:val="0"/>
              <w:spacing w:before="120"/>
              <w:rPr>
                <w:bCs/>
              </w:rPr>
            </w:pPr>
            <w:r w:rsidRPr="00906B7E">
              <w:rPr>
                <w:bCs/>
              </w:rPr>
              <w:t>Jang</w:t>
            </w:r>
          </w:p>
        </w:tc>
        <w:tc>
          <w:tcPr>
            <w:tcW w:w="3870" w:type="dxa"/>
            <w:tcMar>
              <w:top w:w="0" w:type="dxa"/>
              <w:left w:w="108" w:type="dxa"/>
              <w:bottom w:w="0" w:type="dxa"/>
              <w:right w:w="108" w:type="dxa"/>
            </w:tcMar>
          </w:tcPr>
          <w:p w14:paraId="36DCD7D7" w14:textId="3E923764" w:rsidR="00C14D8F" w:rsidRPr="00906B7E" w:rsidRDefault="00C14D8F" w:rsidP="004C02E7">
            <w:pPr>
              <w:keepNext/>
              <w:keepLines/>
              <w:widowControl w:val="0"/>
              <w:spacing w:before="120"/>
              <w:rPr>
                <w:bCs/>
              </w:rPr>
            </w:pPr>
            <w:r w:rsidRPr="00906B7E">
              <w:rPr>
                <w:bCs/>
              </w:rPr>
              <w:t>NAESB</w:t>
            </w:r>
          </w:p>
        </w:tc>
      </w:tr>
      <w:tr w:rsidR="00906B7E" w:rsidRPr="00286562" w14:paraId="765CFF9C" w14:textId="77777777" w:rsidTr="001262CB">
        <w:tc>
          <w:tcPr>
            <w:tcW w:w="1998" w:type="dxa"/>
            <w:tcMar>
              <w:top w:w="0" w:type="dxa"/>
              <w:left w:w="108" w:type="dxa"/>
              <w:bottom w:w="0" w:type="dxa"/>
              <w:right w:w="108" w:type="dxa"/>
            </w:tcMar>
          </w:tcPr>
          <w:p w14:paraId="17290968" w14:textId="1E51F72D" w:rsidR="00906B7E" w:rsidRPr="00906B7E" w:rsidRDefault="00906B7E" w:rsidP="004C02E7">
            <w:pPr>
              <w:keepNext/>
              <w:keepLines/>
              <w:widowControl w:val="0"/>
              <w:spacing w:before="120"/>
              <w:rPr>
                <w:bCs/>
              </w:rPr>
            </w:pPr>
            <w:r>
              <w:rPr>
                <w:bCs/>
              </w:rPr>
              <w:t>Rebecca</w:t>
            </w:r>
          </w:p>
        </w:tc>
        <w:tc>
          <w:tcPr>
            <w:tcW w:w="3240" w:type="dxa"/>
            <w:tcMar>
              <w:top w:w="0" w:type="dxa"/>
              <w:left w:w="108" w:type="dxa"/>
              <w:bottom w:w="0" w:type="dxa"/>
              <w:right w:w="108" w:type="dxa"/>
            </w:tcMar>
          </w:tcPr>
          <w:p w14:paraId="1C5AA231" w14:textId="7C8F82AB" w:rsidR="00906B7E" w:rsidRPr="00906B7E" w:rsidRDefault="00906B7E" w:rsidP="004C02E7">
            <w:pPr>
              <w:keepNext/>
              <w:keepLines/>
              <w:widowControl w:val="0"/>
              <w:spacing w:before="120"/>
              <w:rPr>
                <w:bCs/>
              </w:rPr>
            </w:pPr>
            <w:r>
              <w:rPr>
                <w:bCs/>
              </w:rPr>
              <w:t>Kelley</w:t>
            </w:r>
          </w:p>
        </w:tc>
        <w:tc>
          <w:tcPr>
            <w:tcW w:w="3870" w:type="dxa"/>
            <w:tcMar>
              <w:top w:w="0" w:type="dxa"/>
              <w:left w:w="108" w:type="dxa"/>
              <w:bottom w:w="0" w:type="dxa"/>
              <w:right w:w="108" w:type="dxa"/>
            </w:tcMar>
          </w:tcPr>
          <w:p w14:paraId="5C0CE93F" w14:textId="72CA8580" w:rsidR="00906B7E" w:rsidRPr="00906B7E" w:rsidRDefault="00906B7E" w:rsidP="004C02E7">
            <w:pPr>
              <w:keepNext/>
              <w:keepLines/>
              <w:widowControl w:val="0"/>
              <w:spacing w:before="120"/>
              <w:rPr>
                <w:bCs/>
              </w:rPr>
            </w:pPr>
            <w:r>
              <w:rPr>
                <w:bCs/>
              </w:rPr>
              <w:t>SSL.com</w:t>
            </w:r>
          </w:p>
        </w:tc>
      </w:tr>
      <w:tr w:rsidR="00906B7E" w:rsidRPr="00286562" w14:paraId="2AC181B8" w14:textId="77777777" w:rsidTr="001262CB">
        <w:tc>
          <w:tcPr>
            <w:tcW w:w="1998" w:type="dxa"/>
            <w:tcMar>
              <w:top w:w="0" w:type="dxa"/>
              <w:left w:w="108" w:type="dxa"/>
              <w:bottom w:w="0" w:type="dxa"/>
              <w:right w:w="108" w:type="dxa"/>
            </w:tcMar>
          </w:tcPr>
          <w:p w14:paraId="1633229C" w14:textId="7AC58A81" w:rsidR="00906B7E" w:rsidRPr="00906B7E" w:rsidRDefault="00906B7E" w:rsidP="004C02E7">
            <w:pPr>
              <w:keepNext/>
              <w:keepLines/>
              <w:widowControl w:val="0"/>
              <w:spacing w:before="120"/>
              <w:rPr>
                <w:bCs/>
              </w:rPr>
            </w:pPr>
            <w:r w:rsidRPr="00906B7E">
              <w:rPr>
                <w:bCs/>
              </w:rPr>
              <w:t>Darren</w:t>
            </w:r>
          </w:p>
        </w:tc>
        <w:tc>
          <w:tcPr>
            <w:tcW w:w="3240" w:type="dxa"/>
            <w:tcMar>
              <w:top w:w="0" w:type="dxa"/>
              <w:left w:w="108" w:type="dxa"/>
              <w:bottom w:w="0" w:type="dxa"/>
              <w:right w:w="108" w:type="dxa"/>
            </w:tcMar>
          </w:tcPr>
          <w:p w14:paraId="42C37C89" w14:textId="4510A0D4" w:rsidR="00906B7E" w:rsidRPr="00906B7E" w:rsidRDefault="00906B7E" w:rsidP="004C02E7">
            <w:pPr>
              <w:keepNext/>
              <w:keepLines/>
              <w:widowControl w:val="0"/>
              <w:spacing w:before="120"/>
              <w:rPr>
                <w:bCs/>
              </w:rPr>
            </w:pPr>
            <w:r w:rsidRPr="00906B7E">
              <w:rPr>
                <w:bCs/>
              </w:rPr>
              <w:t>Lamb</w:t>
            </w:r>
          </w:p>
        </w:tc>
        <w:tc>
          <w:tcPr>
            <w:tcW w:w="3870" w:type="dxa"/>
            <w:tcMar>
              <w:top w:w="0" w:type="dxa"/>
              <w:left w:w="108" w:type="dxa"/>
              <w:bottom w:w="0" w:type="dxa"/>
              <w:right w:w="108" w:type="dxa"/>
            </w:tcMar>
          </w:tcPr>
          <w:p w14:paraId="608D60A5" w14:textId="2BCA9AD0" w:rsidR="00906B7E" w:rsidRPr="00906B7E" w:rsidRDefault="00906B7E" w:rsidP="004C02E7">
            <w:pPr>
              <w:keepNext/>
              <w:keepLines/>
              <w:widowControl w:val="0"/>
              <w:spacing w:before="120"/>
              <w:rPr>
                <w:bCs/>
              </w:rPr>
            </w:pPr>
            <w:r w:rsidRPr="00906B7E">
              <w:rPr>
                <w:bCs/>
              </w:rPr>
              <w:t>CAISO</w:t>
            </w:r>
          </w:p>
        </w:tc>
      </w:tr>
      <w:tr w:rsidR="00906B7E" w:rsidRPr="00286562" w14:paraId="01EA66D2" w14:textId="77777777" w:rsidTr="001262CB">
        <w:tc>
          <w:tcPr>
            <w:tcW w:w="1998" w:type="dxa"/>
            <w:tcMar>
              <w:top w:w="0" w:type="dxa"/>
              <w:left w:w="108" w:type="dxa"/>
              <w:bottom w:w="0" w:type="dxa"/>
              <w:right w:w="108" w:type="dxa"/>
            </w:tcMar>
          </w:tcPr>
          <w:p w14:paraId="6D30485E" w14:textId="53A16098" w:rsidR="00906B7E" w:rsidRPr="00906B7E" w:rsidRDefault="00906B7E" w:rsidP="004C02E7">
            <w:pPr>
              <w:keepNext/>
              <w:keepLines/>
              <w:widowControl w:val="0"/>
              <w:spacing w:before="120"/>
              <w:rPr>
                <w:bCs/>
              </w:rPr>
            </w:pPr>
            <w:r>
              <w:rPr>
                <w:bCs/>
              </w:rPr>
              <w:t>Michael</w:t>
            </w:r>
          </w:p>
        </w:tc>
        <w:tc>
          <w:tcPr>
            <w:tcW w:w="3240" w:type="dxa"/>
            <w:tcMar>
              <w:top w:w="0" w:type="dxa"/>
              <w:left w:w="108" w:type="dxa"/>
              <w:bottom w:w="0" w:type="dxa"/>
              <w:right w:w="108" w:type="dxa"/>
            </w:tcMar>
          </w:tcPr>
          <w:p w14:paraId="70553D86" w14:textId="232BEFD0" w:rsidR="00906B7E" w:rsidRPr="00906B7E" w:rsidRDefault="00906B7E" w:rsidP="004C02E7">
            <w:pPr>
              <w:keepNext/>
              <w:keepLines/>
              <w:widowControl w:val="0"/>
              <w:spacing w:before="120"/>
              <w:rPr>
                <w:bCs/>
              </w:rPr>
            </w:pPr>
            <w:r>
              <w:rPr>
                <w:bCs/>
              </w:rPr>
              <w:t>Scott</w:t>
            </w:r>
          </w:p>
        </w:tc>
        <w:tc>
          <w:tcPr>
            <w:tcW w:w="3870" w:type="dxa"/>
            <w:tcMar>
              <w:top w:w="0" w:type="dxa"/>
              <w:left w:w="108" w:type="dxa"/>
              <w:bottom w:w="0" w:type="dxa"/>
              <w:right w:w="108" w:type="dxa"/>
            </w:tcMar>
          </w:tcPr>
          <w:p w14:paraId="112635CB" w14:textId="1759120F" w:rsidR="00906B7E" w:rsidRPr="00906B7E" w:rsidRDefault="00906B7E" w:rsidP="004C02E7">
            <w:pPr>
              <w:keepNext/>
              <w:keepLines/>
              <w:widowControl w:val="0"/>
              <w:spacing w:before="120"/>
              <w:rPr>
                <w:bCs/>
              </w:rPr>
            </w:pPr>
            <w:r>
              <w:rPr>
                <w:bCs/>
              </w:rPr>
              <w:t>Duke Energy</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906B7E" w:rsidRDefault="00BE24C3" w:rsidP="004C02E7">
            <w:pPr>
              <w:keepNext/>
              <w:keepLines/>
              <w:widowControl w:val="0"/>
              <w:spacing w:before="120"/>
              <w:rPr>
                <w:bCs/>
              </w:rPr>
            </w:pPr>
            <w:r w:rsidRPr="00906B7E">
              <w:rPr>
                <w:bCs/>
              </w:rPr>
              <w:t>Caroline</w:t>
            </w:r>
          </w:p>
        </w:tc>
        <w:tc>
          <w:tcPr>
            <w:tcW w:w="3240" w:type="dxa"/>
            <w:tcMar>
              <w:top w:w="0" w:type="dxa"/>
              <w:left w:w="108" w:type="dxa"/>
              <w:bottom w:w="0" w:type="dxa"/>
              <w:right w:w="108" w:type="dxa"/>
            </w:tcMar>
            <w:hideMark/>
          </w:tcPr>
          <w:p w14:paraId="3166FE36" w14:textId="77777777" w:rsidR="00BE24C3" w:rsidRPr="00906B7E" w:rsidRDefault="00BE24C3" w:rsidP="004C02E7">
            <w:pPr>
              <w:keepNext/>
              <w:keepLines/>
              <w:widowControl w:val="0"/>
              <w:spacing w:before="120"/>
              <w:rPr>
                <w:bCs/>
              </w:rPr>
            </w:pPr>
            <w:r w:rsidRPr="00906B7E">
              <w:rPr>
                <w:bCs/>
              </w:rPr>
              <w:t>Trum</w:t>
            </w:r>
          </w:p>
        </w:tc>
        <w:tc>
          <w:tcPr>
            <w:tcW w:w="3870" w:type="dxa"/>
            <w:tcMar>
              <w:top w:w="0" w:type="dxa"/>
              <w:left w:w="108" w:type="dxa"/>
              <w:bottom w:w="0" w:type="dxa"/>
              <w:right w:w="108" w:type="dxa"/>
            </w:tcMar>
            <w:hideMark/>
          </w:tcPr>
          <w:p w14:paraId="57332193" w14:textId="77777777" w:rsidR="00BE24C3" w:rsidRPr="00906B7E" w:rsidRDefault="00BE24C3" w:rsidP="004C02E7">
            <w:pPr>
              <w:keepNext/>
              <w:keepLines/>
              <w:widowControl w:val="0"/>
              <w:spacing w:before="120"/>
              <w:rPr>
                <w:bCs/>
              </w:rPr>
            </w:pPr>
            <w:r w:rsidRPr="00906B7E">
              <w:rPr>
                <w:bCs/>
              </w:rPr>
              <w:t>NAESB</w:t>
            </w:r>
          </w:p>
        </w:tc>
      </w:tr>
      <w:tr w:rsidR="00906B7E" w:rsidRPr="00286562" w14:paraId="3509007F" w14:textId="77777777" w:rsidTr="001262CB">
        <w:tc>
          <w:tcPr>
            <w:tcW w:w="1998" w:type="dxa"/>
            <w:tcMar>
              <w:top w:w="0" w:type="dxa"/>
              <w:left w:w="108" w:type="dxa"/>
              <w:bottom w:w="0" w:type="dxa"/>
              <w:right w:w="108" w:type="dxa"/>
            </w:tcMar>
          </w:tcPr>
          <w:p w14:paraId="75F27122" w14:textId="552759A6" w:rsidR="00906B7E" w:rsidRPr="00906B7E" w:rsidRDefault="00906B7E" w:rsidP="004C02E7">
            <w:pPr>
              <w:keepNext/>
              <w:keepLines/>
              <w:widowControl w:val="0"/>
              <w:spacing w:before="120"/>
              <w:rPr>
                <w:bCs/>
              </w:rPr>
            </w:pPr>
            <w:proofErr w:type="spellStart"/>
            <w:r>
              <w:rPr>
                <w:bCs/>
              </w:rPr>
              <w:t>Inshi</w:t>
            </w:r>
            <w:proofErr w:type="spellEnd"/>
          </w:p>
        </w:tc>
        <w:tc>
          <w:tcPr>
            <w:tcW w:w="3240" w:type="dxa"/>
            <w:tcMar>
              <w:top w:w="0" w:type="dxa"/>
              <w:left w:w="108" w:type="dxa"/>
              <w:bottom w:w="0" w:type="dxa"/>
              <w:right w:w="108" w:type="dxa"/>
            </w:tcMar>
          </w:tcPr>
          <w:p w14:paraId="70EB1F42" w14:textId="26979FAD" w:rsidR="00906B7E" w:rsidRPr="00906B7E" w:rsidRDefault="00906B7E" w:rsidP="004C02E7">
            <w:pPr>
              <w:keepNext/>
              <w:keepLines/>
              <w:widowControl w:val="0"/>
              <w:spacing w:before="120"/>
              <w:rPr>
                <w:bCs/>
              </w:rPr>
            </w:pPr>
            <w:proofErr w:type="spellStart"/>
            <w:r>
              <w:rPr>
                <w:bCs/>
              </w:rPr>
              <w:t>Widanage</w:t>
            </w:r>
            <w:proofErr w:type="spellEnd"/>
          </w:p>
        </w:tc>
        <w:tc>
          <w:tcPr>
            <w:tcW w:w="3870" w:type="dxa"/>
            <w:tcMar>
              <w:top w:w="0" w:type="dxa"/>
              <w:left w:w="108" w:type="dxa"/>
              <w:bottom w:w="0" w:type="dxa"/>
              <w:right w:w="108" w:type="dxa"/>
            </w:tcMar>
          </w:tcPr>
          <w:p w14:paraId="071B1533" w14:textId="444F7C18" w:rsidR="00906B7E" w:rsidRPr="00906B7E" w:rsidRDefault="00906B7E" w:rsidP="004C02E7">
            <w:pPr>
              <w:keepNext/>
              <w:keepLines/>
              <w:widowControl w:val="0"/>
              <w:spacing w:before="120"/>
              <w:rPr>
                <w:bCs/>
              </w:rPr>
            </w:pPr>
            <w:r>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4A5D" w14:textId="77777777" w:rsidR="007F540F" w:rsidRDefault="007F540F">
      <w:r>
        <w:separator/>
      </w:r>
    </w:p>
  </w:endnote>
  <w:endnote w:type="continuationSeparator" w:id="0">
    <w:p w14:paraId="54F64D41" w14:textId="77777777" w:rsidR="007F540F" w:rsidRDefault="007F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72E1CDA0"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and Cybersecurity Subcommittee Final</w:t>
    </w:r>
    <w:r>
      <w:rPr>
        <w:sz w:val="18"/>
        <w:szCs w:val="18"/>
      </w:rPr>
      <w:t xml:space="preserve"> Meeting Minutes </w:t>
    </w:r>
    <w:r w:rsidRPr="00176FB9">
      <w:rPr>
        <w:sz w:val="18"/>
        <w:szCs w:val="18"/>
      </w:rPr>
      <w:t>–</w:t>
    </w:r>
    <w:r w:rsidR="0038023A">
      <w:rPr>
        <w:sz w:val="18"/>
        <w:szCs w:val="18"/>
      </w:rPr>
      <w:t xml:space="preserve"> </w:t>
    </w:r>
    <w:r w:rsidR="00991D9E">
      <w:rPr>
        <w:sz w:val="18"/>
        <w:szCs w:val="18"/>
      </w:rPr>
      <w:t>February 24</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5A85" w14:textId="77777777" w:rsidR="007F540F" w:rsidRDefault="007F540F">
      <w:r>
        <w:separator/>
      </w:r>
    </w:p>
  </w:footnote>
  <w:footnote w:type="continuationSeparator" w:id="0">
    <w:p w14:paraId="7F7201F5" w14:textId="77777777" w:rsidR="007F540F" w:rsidRDefault="007F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2229"/>
    <w:rsid w:val="0022266C"/>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70CB"/>
    <w:rsid w:val="005970D0"/>
    <w:rsid w:val="0059727A"/>
    <w:rsid w:val="00597673"/>
    <w:rsid w:val="005976DE"/>
    <w:rsid w:val="00597C0B"/>
    <w:rsid w:val="00597D73"/>
    <w:rsid w:val="00597E25"/>
    <w:rsid w:val="005A04E7"/>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04E"/>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13026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isa.europa.eu/topics/product-security-and-certification/single-reporting-platform-sr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bps_css022426w2.pdf" TargetMode="External"/><Relationship Id="rId4" Type="http://schemas.openxmlformats.org/officeDocument/2006/relationships/settings" Target="settings.xml"/><Relationship Id="rId9" Type="http://schemas.openxmlformats.org/officeDocument/2006/relationships/hyperlink" Target="https://naesb.org/pdf4/weq_bps_css022426w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7545</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NAESB</cp:lastModifiedBy>
  <cp:revision>2</cp:revision>
  <cp:lastPrinted>2012-04-04T10:38:00Z</cp:lastPrinted>
  <dcterms:created xsi:type="dcterms:W3CDTF">2026-02-24T22:55:00Z</dcterms:created>
  <dcterms:modified xsi:type="dcterms:W3CDTF">2026-02-24T22:55:00Z</dcterms:modified>
</cp:coreProperties>
</file>