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346393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00724E" w:rsidRDefault="0000724E">
          <w:pPr>
            <w:pStyle w:val="TOCHeading"/>
          </w:pPr>
          <w:r>
            <w:t>Table of Contents</w:t>
          </w:r>
        </w:p>
        <w:p w:rsidR="00255424" w:rsidRDefault="0000724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8404901" w:history="1">
            <w:r w:rsidR="00255424" w:rsidRPr="00BC4FE2">
              <w:rPr>
                <w:rStyle w:val="Hyperlink"/>
                <w:noProof/>
              </w:rPr>
              <w:t>Background</w:t>
            </w:r>
            <w:r w:rsidR="00255424">
              <w:rPr>
                <w:noProof/>
                <w:webHidden/>
              </w:rPr>
              <w:tab/>
            </w:r>
            <w:r w:rsidR="00255424">
              <w:rPr>
                <w:noProof/>
                <w:webHidden/>
              </w:rPr>
              <w:fldChar w:fldCharType="begin"/>
            </w:r>
            <w:r w:rsidR="00255424">
              <w:rPr>
                <w:noProof/>
                <w:webHidden/>
              </w:rPr>
              <w:instrText xml:space="preserve"> PAGEREF _Toc368404901 \h </w:instrText>
            </w:r>
            <w:r w:rsidR="00255424">
              <w:rPr>
                <w:noProof/>
                <w:webHidden/>
              </w:rPr>
            </w:r>
            <w:r w:rsidR="00255424">
              <w:rPr>
                <w:noProof/>
                <w:webHidden/>
              </w:rPr>
              <w:fldChar w:fldCharType="separate"/>
            </w:r>
            <w:r w:rsidR="00255424">
              <w:rPr>
                <w:noProof/>
                <w:webHidden/>
              </w:rPr>
              <w:t>1</w:t>
            </w:r>
            <w:r w:rsidR="00255424">
              <w:rPr>
                <w:noProof/>
                <w:webHidden/>
              </w:rPr>
              <w:fldChar w:fldCharType="end"/>
            </w:r>
          </w:hyperlink>
        </w:p>
        <w:p w:rsidR="00255424" w:rsidRDefault="0025542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8404902" w:history="1">
            <w:r w:rsidRPr="00BC4FE2">
              <w:rPr>
                <w:rStyle w:val="Hyperlink"/>
                <w:noProof/>
              </w:rPr>
              <w:t>Proposal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_Toc368404902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5424" w:rsidRDefault="0025542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8404903" w:history="1">
            <w:r w:rsidRPr="00BC4FE2">
              <w:rPr>
                <w:rStyle w:val="Hyperlink"/>
                <w:noProof/>
              </w:rPr>
              <w:t>Assumptions: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_Toc368404903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5424" w:rsidRDefault="0025542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8404904" w:history="1">
            <w:r w:rsidRPr="00BC4FE2">
              <w:rPr>
                <w:rStyle w:val="Hyperlink"/>
                <w:noProof/>
              </w:rPr>
              <w:t>Overview: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_Toc368404904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5424" w:rsidRDefault="0025542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8404905" w:history="1">
            <w:r w:rsidRPr="00BC4FE2">
              <w:rPr>
                <w:rStyle w:val="Hyperlink"/>
                <w:noProof/>
              </w:rPr>
              <w:t>Requirements: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_Toc368404905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5424" w:rsidRDefault="0025542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8404906" w:history="1">
            <w:r w:rsidRPr="00BC4FE2">
              <w:rPr>
                <w:rStyle w:val="Hyperlink"/>
                <w:noProof/>
              </w:rPr>
              <w:t>How would this work: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_Toc368404906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5424" w:rsidRDefault="0025542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8404907" w:history="1">
            <w:r w:rsidRPr="00BC4FE2">
              <w:rPr>
                <w:rStyle w:val="Hyperlink"/>
                <w:noProof/>
              </w:rPr>
              <w:t>Benefits of this approach: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_Toc368404907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5424" w:rsidRDefault="0025542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8404908" w:history="1">
            <w:r w:rsidRPr="00BC4FE2">
              <w:rPr>
                <w:rStyle w:val="Hyperlink"/>
                <w:noProof/>
              </w:rPr>
              <w:t>Downside of this approach: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_Toc368404908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724E" w:rsidRDefault="0000724E">
          <w:r>
            <w:fldChar w:fldCharType="end"/>
          </w:r>
        </w:p>
      </w:sdtContent>
    </w:sdt>
    <w:p w:rsidR="00215FE2" w:rsidRPr="00215FE2" w:rsidRDefault="00215FE2" w:rsidP="0000724E">
      <w:pPr>
        <w:pStyle w:val="Heading2"/>
      </w:pPr>
      <w:bookmarkStart w:id="0" w:name="_Toc368404901"/>
      <w:r w:rsidRPr="00215FE2">
        <w:t>Background</w:t>
      </w:r>
      <w:bookmarkEnd w:id="0"/>
    </w:p>
    <w:p w:rsidR="006E5FC6" w:rsidRDefault="0051083D">
      <w:r>
        <w:t>NERC, in proposed change</w:t>
      </w:r>
      <w:r w:rsidR="00D4228E">
        <w:t xml:space="preserve"> to </w:t>
      </w:r>
      <w:r w:rsidR="00196C56" w:rsidRPr="00196C56">
        <w:t>Interchange Standard 004-3</w:t>
      </w:r>
      <w:r w:rsidR="00D4228E">
        <w:t xml:space="preserve">, provides new guidance for tagging of </w:t>
      </w:r>
      <w:r w:rsidR="00CC5377">
        <w:t>pseudo-tie</w:t>
      </w:r>
      <w:r w:rsidR="00D4228E">
        <w:t xml:space="preserve">s.  In summary, the </w:t>
      </w:r>
      <w:r w:rsidR="00CC5377">
        <w:t>pseudo-tie</w:t>
      </w:r>
      <w:r w:rsidR="00D4228E">
        <w:t xml:space="preserve">s can be either tagged or included in a congestion management program and it also requires registering each </w:t>
      </w:r>
      <w:r w:rsidR="00CC5377">
        <w:t>pseudo-tie</w:t>
      </w:r>
      <w:r w:rsidR="00D4228E">
        <w:t xml:space="preserve"> in the EIR.   </w:t>
      </w:r>
    </w:p>
    <w:p w:rsidR="00D4228E" w:rsidRDefault="00D4228E">
      <w:r>
        <w:t xml:space="preserve">The WEQ </w:t>
      </w:r>
      <w:proofErr w:type="gramStart"/>
      <w:r>
        <w:t>BPS,</w:t>
      </w:r>
      <w:proofErr w:type="gramEnd"/>
      <w:r>
        <w:t xml:space="preserve"> establishes submission of </w:t>
      </w:r>
      <w:r w:rsidR="00CC5377">
        <w:t>pseudo-tie</w:t>
      </w:r>
      <w:r>
        <w:t xml:space="preserve">s to the SDX as a mechanism for including </w:t>
      </w:r>
      <w:r w:rsidR="00CC5377">
        <w:t>pseudo-tie</w:t>
      </w:r>
      <w:r>
        <w:t xml:space="preserve">s in the Eastern Interconnection’s TLR process.   The WEQ-008 proposed business practice also requires each TSP to approve </w:t>
      </w:r>
      <w:r w:rsidR="006E5FC6">
        <w:t xml:space="preserve">Pseudo-Tie </w:t>
      </w:r>
      <w:r w:rsidR="00CC5377">
        <w:t>Definitions</w:t>
      </w:r>
      <w:r w:rsidR="006E5FC6">
        <w:t xml:space="preserve"> </w:t>
      </w:r>
      <w:r w:rsidR="00255424">
        <w:t xml:space="preserve">in SDX </w:t>
      </w:r>
      <w:r w:rsidR="006E5FC6">
        <w:t xml:space="preserve">that impact the TSP’s system.  </w:t>
      </w:r>
    </w:p>
    <w:p w:rsidR="006E5FC6" w:rsidRDefault="006E5FC6">
      <w:r>
        <w:t xml:space="preserve">This proposal will address the following industry concerns from the perspective of TSPs who are using the </w:t>
      </w:r>
      <w:r w:rsidRPr="006E5FC6">
        <w:t>Tag Secondary Network Transmission Service Method</w:t>
      </w:r>
      <w:r>
        <w:t>:</w:t>
      </w:r>
    </w:p>
    <w:p w:rsidR="008C03B4" w:rsidRDefault="008C03B4" w:rsidP="006E5FC6">
      <w:pPr>
        <w:pStyle w:val="ListParagraph"/>
        <w:numPr>
          <w:ilvl w:val="0"/>
          <w:numId w:val="1"/>
        </w:numPr>
      </w:pPr>
      <w:r>
        <w:t xml:space="preserve">A Transmission Service Reservation’s capacity </w:t>
      </w:r>
      <w:r w:rsidR="003709E6">
        <w:t>alloca</w:t>
      </w:r>
      <w:r w:rsidR="003709E6">
        <w:t>ted</w:t>
      </w:r>
      <w:r w:rsidR="003709E6">
        <w:t xml:space="preserve"> </w:t>
      </w:r>
      <w:r>
        <w:t xml:space="preserve">in the </w:t>
      </w:r>
      <w:r w:rsidR="008D5181">
        <w:t>Pseudo Tie Definition</w:t>
      </w:r>
      <w:r w:rsidR="0000724E">
        <w:t xml:space="preserve"> in SDX </w:t>
      </w:r>
      <w:r>
        <w:t xml:space="preserve">should </w:t>
      </w:r>
      <w:r w:rsidR="003709E6">
        <w:t xml:space="preserve">only be used for the </w:t>
      </w:r>
      <w:r w:rsidR="00CC5377">
        <w:t>pseudo-tie</w:t>
      </w:r>
      <w:r w:rsidR="003709E6">
        <w:t xml:space="preserve"> and should </w:t>
      </w:r>
      <w:r>
        <w:t>not be used for other purposes by the Transmission Customer.</w:t>
      </w:r>
    </w:p>
    <w:p w:rsidR="008C03B4" w:rsidRDefault="008C03B4" w:rsidP="008C03B4">
      <w:pPr>
        <w:pStyle w:val="ListParagraph"/>
        <w:numPr>
          <w:ilvl w:val="1"/>
          <w:numId w:val="1"/>
        </w:numPr>
      </w:pPr>
      <w:r>
        <w:t xml:space="preserve">PTP capacity should not be available for </w:t>
      </w:r>
      <w:r w:rsidR="003709E6">
        <w:t>a Redirect on a Firm Basis</w:t>
      </w:r>
      <w:r>
        <w:t xml:space="preserve"> (See WEQ-001-9).</w:t>
      </w:r>
    </w:p>
    <w:p w:rsidR="003709E6" w:rsidRDefault="003709E6" w:rsidP="003709E6">
      <w:pPr>
        <w:pStyle w:val="ListParagraph"/>
        <w:numPr>
          <w:ilvl w:val="1"/>
          <w:numId w:val="1"/>
        </w:numPr>
      </w:pPr>
      <w:r>
        <w:t xml:space="preserve">PTP capacity should not be available </w:t>
      </w:r>
      <w:r w:rsidR="00255424">
        <w:t>for</w:t>
      </w:r>
      <w:r>
        <w:t xml:space="preserve"> Redirects on a Non-Firm Basis </w:t>
      </w:r>
      <w:r>
        <w:t>(See WEQ-001-10).</w:t>
      </w:r>
    </w:p>
    <w:p w:rsidR="003709E6" w:rsidRDefault="003709E6" w:rsidP="008C03B4">
      <w:pPr>
        <w:pStyle w:val="ListParagraph"/>
        <w:numPr>
          <w:ilvl w:val="1"/>
          <w:numId w:val="1"/>
        </w:numPr>
      </w:pPr>
      <w:r>
        <w:t xml:space="preserve">PTP capacity should not be available for </w:t>
      </w:r>
      <w:proofErr w:type="spellStart"/>
      <w:r>
        <w:t>Resales</w:t>
      </w:r>
      <w:proofErr w:type="spellEnd"/>
      <w:r>
        <w:t xml:space="preserve"> (see WEQ-001-11).</w:t>
      </w:r>
    </w:p>
    <w:p w:rsidR="003709E6" w:rsidRDefault="003709E6" w:rsidP="008C03B4">
      <w:pPr>
        <w:pStyle w:val="ListParagraph"/>
        <w:numPr>
          <w:ilvl w:val="1"/>
          <w:numId w:val="1"/>
        </w:numPr>
      </w:pPr>
      <w:r>
        <w:t xml:space="preserve">Network Service capacity should not be available for </w:t>
      </w:r>
      <w:r w:rsidR="00A265D1" w:rsidRPr="00A265D1">
        <w:t>Request for temporary termination of DNR</w:t>
      </w:r>
      <w:r w:rsidR="00A265D1">
        <w:t xml:space="preserve"> (see WEQ-</w:t>
      </w:r>
      <w:r w:rsidR="00A265D1" w:rsidRPr="00A265D1">
        <w:t>001-105.3.2</w:t>
      </w:r>
      <w:r w:rsidR="00A265D1">
        <w:t>)</w:t>
      </w:r>
    </w:p>
    <w:p w:rsidR="00A265D1" w:rsidRDefault="00A265D1" w:rsidP="00A265D1">
      <w:pPr>
        <w:pStyle w:val="ListParagraph"/>
        <w:numPr>
          <w:ilvl w:val="1"/>
          <w:numId w:val="1"/>
        </w:numPr>
      </w:pPr>
      <w:r>
        <w:t xml:space="preserve">Network Service capacity should not be available for </w:t>
      </w:r>
      <w:r w:rsidRPr="00A265D1">
        <w:t xml:space="preserve">Request for </w:t>
      </w:r>
      <w:r>
        <w:t>indefinite</w:t>
      </w:r>
      <w:r w:rsidRPr="00A265D1">
        <w:t xml:space="preserve"> termination of DNR</w:t>
      </w:r>
      <w:r>
        <w:t xml:space="preserve"> (see WEQ-</w:t>
      </w:r>
      <w:r w:rsidRPr="00A265D1">
        <w:t>001-105.3.3</w:t>
      </w:r>
      <w:r>
        <w:t>)</w:t>
      </w:r>
    </w:p>
    <w:p w:rsidR="00A265D1" w:rsidRDefault="00A265D1" w:rsidP="008C03B4">
      <w:pPr>
        <w:pStyle w:val="ListParagraph"/>
        <w:numPr>
          <w:ilvl w:val="1"/>
          <w:numId w:val="1"/>
        </w:numPr>
      </w:pPr>
      <w:r>
        <w:t>Network customer may not terminate Secondary Network Capacity  (see WEQ-</w:t>
      </w:r>
      <w:r w:rsidRPr="00A265D1">
        <w:t>001-106.2</w:t>
      </w:r>
      <w:r>
        <w:t>)</w:t>
      </w:r>
    </w:p>
    <w:p w:rsidR="006E5FC6" w:rsidRDefault="006E5FC6" w:rsidP="006E5FC6">
      <w:pPr>
        <w:pStyle w:val="ListParagraph"/>
        <w:numPr>
          <w:ilvl w:val="0"/>
          <w:numId w:val="1"/>
        </w:numPr>
      </w:pPr>
      <w:r>
        <w:t xml:space="preserve">2-way communication doesn’t exist between the SDX and the e-tagging system, nor is there any </w:t>
      </w:r>
      <w:r w:rsidR="008C03B4">
        <w:t>2-way communication between the</w:t>
      </w:r>
      <w:r w:rsidR="00953A5B">
        <w:t xml:space="preserve"> SDX and </w:t>
      </w:r>
      <w:r w:rsidR="008C03B4">
        <w:t xml:space="preserve">OASIS.  </w:t>
      </w:r>
    </w:p>
    <w:p w:rsidR="00953A5B" w:rsidRDefault="00953A5B" w:rsidP="006E5FC6">
      <w:pPr>
        <w:pStyle w:val="ListParagraph"/>
        <w:numPr>
          <w:ilvl w:val="0"/>
          <w:numId w:val="1"/>
        </w:numPr>
      </w:pPr>
      <w:r>
        <w:lastRenderedPageBreak/>
        <w:t xml:space="preserve">Transmission service which </w:t>
      </w:r>
      <w:r w:rsidR="00196C56">
        <w:t xml:space="preserve">is dedicated to a </w:t>
      </w:r>
      <w:r w:rsidR="00CC5377">
        <w:t>pseudo-tie</w:t>
      </w:r>
      <w:r w:rsidR="00196C56">
        <w:t xml:space="preserve"> will not be available for other uses.</w:t>
      </w:r>
    </w:p>
    <w:p w:rsidR="00196C56" w:rsidRDefault="00196C56" w:rsidP="00196C56">
      <w:pPr>
        <w:pStyle w:val="ListParagraph"/>
        <w:numPr>
          <w:ilvl w:val="1"/>
          <w:numId w:val="1"/>
        </w:numPr>
      </w:pPr>
      <w:r>
        <w:t>The capacity can be changed over time as needed.</w:t>
      </w:r>
    </w:p>
    <w:p w:rsidR="00196C56" w:rsidRDefault="00196C56" w:rsidP="00196C56">
      <w:pPr>
        <w:pStyle w:val="ListParagraph"/>
        <w:numPr>
          <w:ilvl w:val="1"/>
          <w:numId w:val="1"/>
        </w:numPr>
      </w:pPr>
      <w:r>
        <w:t>There will be a mechanism for keeping the capacity allocation in sync between SDX and OASIS.</w:t>
      </w:r>
    </w:p>
    <w:p w:rsidR="0000724E" w:rsidRDefault="0000724E" w:rsidP="0000724E">
      <w:r>
        <w:t>This paper uses several new terms and acronyms which are outlined here for clarity:</w:t>
      </w:r>
    </w:p>
    <w:p w:rsidR="0000724E" w:rsidRDefault="0000724E" w:rsidP="0000724E">
      <w:pPr>
        <w:pStyle w:val="ListParagraph"/>
        <w:numPr>
          <w:ilvl w:val="0"/>
          <w:numId w:val="8"/>
        </w:numPr>
      </w:pPr>
      <w:r>
        <w:t>Pseudo-Tie Definition (</w:t>
      </w:r>
      <w:r w:rsidRPr="00365B94">
        <w:rPr>
          <w:i/>
        </w:rPr>
        <w:t>PTD</w:t>
      </w:r>
      <w:r>
        <w:t xml:space="preserve">) </w:t>
      </w:r>
      <w:r w:rsidR="00365B94">
        <w:t xml:space="preserve">-- </w:t>
      </w:r>
      <w:r>
        <w:t>represents the data entry in the SDX that defines the Pseudo-Tie for Transmission Service Providers who use the Generator Priority Schedule method.</w:t>
      </w:r>
    </w:p>
    <w:p w:rsidR="0000724E" w:rsidRDefault="00365B94" w:rsidP="0000724E">
      <w:pPr>
        <w:pStyle w:val="ListParagraph"/>
        <w:numPr>
          <w:ilvl w:val="0"/>
          <w:numId w:val="8"/>
        </w:numPr>
      </w:pPr>
      <w:r>
        <w:t xml:space="preserve">Request Type “PT” -- is a new OASIS type of request (e.g., ORIGINAL, REDIRECT, RESALE) which is used for identifying capacity set aside for pseudo-ties.  Referred to as </w:t>
      </w:r>
      <w:r w:rsidRPr="00365B94">
        <w:rPr>
          <w:i/>
        </w:rPr>
        <w:t>PT</w:t>
      </w:r>
      <w:r>
        <w:t xml:space="preserve"> in this document.</w:t>
      </w:r>
    </w:p>
    <w:p w:rsidR="00365B94" w:rsidRDefault="00365B94" w:rsidP="0000724E">
      <w:pPr>
        <w:pStyle w:val="ListParagraph"/>
        <w:numPr>
          <w:ilvl w:val="0"/>
          <w:numId w:val="8"/>
        </w:numPr>
      </w:pPr>
      <w:r>
        <w:t xml:space="preserve">EIR Registered Pseudo-Tie – represents the data entry in </w:t>
      </w:r>
      <w:r w:rsidR="00180F60">
        <w:t>NAESB’s</w:t>
      </w:r>
      <w:r w:rsidR="00180F60">
        <w:t xml:space="preserve"> </w:t>
      </w:r>
      <w:r w:rsidR="00180F60">
        <w:t>WebRegistry</w:t>
      </w:r>
      <w:r w:rsidR="00180F60">
        <w:t xml:space="preserve"> </w:t>
      </w:r>
      <w:r>
        <w:t>that defines the pseudo-tie.</w:t>
      </w:r>
    </w:p>
    <w:p w:rsidR="00196C56" w:rsidRPr="00215FE2" w:rsidRDefault="00215FE2" w:rsidP="0000724E">
      <w:pPr>
        <w:pStyle w:val="Heading2"/>
      </w:pPr>
      <w:bookmarkStart w:id="1" w:name="_Toc368404902"/>
      <w:r>
        <w:t>Proposal</w:t>
      </w:r>
      <w:bookmarkEnd w:id="1"/>
    </w:p>
    <w:p w:rsidR="0051083D" w:rsidRDefault="0051083D" w:rsidP="0000724E">
      <w:pPr>
        <w:pStyle w:val="Heading3"/>
      </w:pPr>
      <w:bookmarkStart w:id="2" w:name="_Toc368404903"/>
      <w:r>
        <w:t>Assumptions:</w:t>
      </w:r>
      <w:bookmarkEnd w:id="2"/>
    </w:p>
    <w:p w:rsidR="00196C56" w:rsidRDefault="00196C56" w:rsidP="0051083D">
      <w:pPr>
        <w:pStyle w:val="ListParagraph"/>
        <w:numPr>
          <w:ilvl w:val="0"/>
          <w:numId w:val="2"/>
        </w:numPr>
      </w:pPr>
      <w:r>
        <w:t xml:space="preserve">Pseudo-ties will be registered in WebRegistry, as requested by the </w:t>
      </w:r>
      <w:r w:rsidRPr="00196C56">
        <w:t>NERC Coordinate Interchange Standards Drafting Team (CISDT)</w:t>
      </w:r>
      <w:r>
        <w:t xml:space="preserve"> in the Request for Enhancement to NAESB</w:t>
      </w:r>
      <w:r w:rsidR="00A429CE">
        <w:t xml:space="preserve"> EIR #</w:t>
      </w:r>
      <w:hyperlink r:id="rId8" w:history="1">
        <w:r w:rsidRPr="0000724E">
          <w:rPr>
            <w:rStyle w:val="Hyperlink"/>
          </w:rPr>
          <w:t>ER13001</w:t>
        </w:r>
      </w:hyperlink>
      <w:r w:rsidR="003709E6">
        <w:rPr>
          <w:rStyle w:val="FootnoteReference"/>
        </w:rPr>
        <w:footnoteReference w:id="1"/>
      </w:r>
      <w:r>
        <w:t>.</w:t>
      </w:r>
    </w:p>
    <w:p w:rsidR="0051083D" w:rsidRDefault="009C43EA" w:rsidP="0051083D">
      <w:pPr>
        <w:pStyle w:val="ListParagraph"/>
        <w:numPr>
          <w:ilvl w:val="0"/>
          <w:numId w:val="2"/>
        </w:numPr>
      </w:pPr>
      <w:r>
        <w:t xml:space="preserve">The </w:t>
      </w:r>
      <w:r w:rsidR="0051083D">
        <w:t xml:space="preserve">BPS </w:t>
      </w:r>
      <w:r>
        <w:t xml:space="preserve">PFV </w:t>
      </w:r>
      <w:r w:rsidR="0051083D">
        <w:t xml:space="preserve">recommendation </w:t>
      </w:r>
      <w:r>
        <w:t xml:space="preserve">will require all Transmission Providers on the path of a </w:t>
      </w:r>
      <w:r w:rsidR="00CC5377">
        <w:t>pseudo-tie</w:t>
      </w:r>
      <w:r>
        <w:t xml:space="preserve"> to approve new and adjusted </w:t>
      </w:r>
      <w:r w:rsidR="00365B94">
        <w:t>Pseudo-</w:t>
      </w:r>
      <w:r w:rsidR="00CC5377">
        <w:t>T</w:t>
      </w:r>
      <w:r w:rsidR="00365B94">
        <w:t>ie</w:t>
      </w:r>
      <w:r>
        <w:t xml:space="preserve"> </w:t>
      </w:r>
      <w:r w:rsidR="00CC5377">
        <w:t>Definition in SDX</w:t>
      </w:r>
      <w:r>
        <w:t>.</w:t>
      </w:r>
    </w:p>
    <w:p w:rsidR="00421054" w:rsidRDefault="00421054" w:rsidP="00421054">
      <w:pPr>
        <w:pStyle w:val="ListParagraph"/>
        <w:numPr>
          <w:ilvl w:val="0"/>
          <w:numId w:val="2"/>
        </w:numPr>
      </w:pPr>
      <w:r>
        <w:t xml:space="preserve">Each Pseudo-Tie </w:t>
      </w:r>
      <w:r w:rsidR="008D5181">
        <w:t xml:space="preserve">Definition </w:t>
      </w:r>
      <w:r>
        <w:t xml:space="preserve"> in the SDX will require the following:</w:t>
      </w:r>
    </w:p>
    <w:p w:rsidR="00421054" w:rsidRDefault="00421054" w:rsidP="00421054">
      <w:pPr>
        <w:pStyle w:val="ListParagraph"/>
        <w:numPr>
          <w:ilvl w:val="1"/>
          <w:numId w:val="2"/>
        </w:numPr>
      </w:pPr>
      <w:r>
        <w:t>A single unique identifier of an EIR-</w:t>
      </w:r>
      <w:r w:rsidR="00255424">
        <w:t>R</w:t>
      </w:r>
      <w:r w:rsidR="00255424">
        <w:t xml:space="preserve">egistered </w:t>
      </w:r>
      <w:r w:rsidR="00255424">
        <w:t>Pseudo</w:t>
      </w:r>
      <w:r>
        <w:t>-Tie</w:t>
      </w:r>
    </w:p>
    <w:p w:rsidR="00421054" w:rsidRDefault="00421054" w:rsidP="00421054">
      <w:pPr>
        <w:pStyle w:val="ListParagraph"/>
        <w:numPr>
          <w:ilvl w:val="1"/>
          <w:numId w:val="2"/>
        </w:numPr>
      </w:pPr>
      <w:r>
        <w:t xml:space="preserve">Each TSP on the physical path(s) of the </w:t>
      </w:r>
      <w:r w:rsidR="00365B94">
        <w:t>pseudo-tie</w:t>
      </w:r>
    </w:p>
    <w:p w:rsidR="00421054" w:rsidRDefault="007800CE" w:rsidP="00421054">
      <w:pPr>
        <w:pStyle w:val="ListParagraph"/>
        <w:numPr>
          <w:ilvl w:val="1"/>
          <w:numId w:val="2"/>
        </w:numPr>
      </w:pPr>
      <w:r>
        <w:t>For each TSP, o</w:t>
      </w:r>
      <w:r w:rsidR="00421054">
        <w:t xml:space="preserve">ne or more </w:t>
      </w:r>
      <w:r w:rsidR="00215FE2">
        <w:t>PT</w:t>
      </w:r>
      <w:r w:rsidR="00421054">
        <w:t xml:space="preserve"> OASIS </w:t>
      </w:r>
      <w:r>
        <w:t xml:space="preserve">reservation’s OASIS </w:t>
      </w:r>
      <w:proofErr w:type="spellStart"/>
      <w:r>
        <w:t>aRef</w:t>
      </w:r>
      <w:proofErr w:type="spellEnd"/>
      <w:r w:rsidR="001554E5">
        <w:t>,</w:t>
      </w:r>
      <w:r>
        <w:t xml:space="preserve"> the maximum MW flow permitted on the reservation for the </w:t>
      </w:r>
      <w:r w:rsidR="00365B94">
        <w:t>pseudo-tie</w:t>
      </w:r>
      <w:r w:rsidR="001554E5">
        <w:t>, and the curtailment priority associated with the reservation (e.g., 7-F</w:t>
      </w:r>
      <w:r w:rsidR="0000724E">
        <w:t>, 2-NH</w:t>
      </w:r>
      <w:r w:rsidR="001554E5">
        <w:t xml:space="preserve"> or 1-NS)</w:t>
      </w:r>
      <w:r>
        <w:t>.</w:t>
      </w:r>
    </w:p>
    <w:p w:rsidR="009C43EA" w:rsidRDefault="009C43EA" w:rsidP="0000724E">
      <w:pPr>
        <w:pStyle w:val="Heading3"/>
      </w:pPr>
      <w:bookmarkStart w:id="3" w:name="_Toc368404904"/>
      <w:r>
        <w:t>Overview:</w:t>
      </w:r>
      <w:bookmarkEnd w:id="3"/>
    </w:p>
    <w:p w:rsidR="009C43EA" w:rsidRDefault="009C43EA" w:rsidP="009C43EA">
      <w:r>
        <w:t xml:space="preserve">Each </w:t>
      </w:r>
      <w:r w:rsidR="00365B94">
        <w:t xml:space="preserve">EIR Registered </w:t>
      </w:r>
      <w:r>
        <w:t>Pseudo-Tie will show the source, sink and eac</w:t>
      </w:r>
      <w:r w:rsidR="00285FE5">
        <w:t xml:space="preserve">h transmission system in the physical path.  </w:t>
      </w:r>
      <w:proofErr w:type="gramStart"/>
      <w:r w:rsidR="00285FE5">
        <w:t xml:space="preserve">Each </w:t>
      </w:r>
      <w:r w:rsidR="008D5181">
        <w:t xml:space="preserve"> Pseudo</w:t>
      </w:r>
      <w:proofErr w:type="gramEnd"/>
      <w:r w:rsidR="008D5181">
        <w:t xml:space="preserve">-Tie Definition </w:t>
      </w:r>
      <w:r w:rsidR="00285FE5">
        <w:t xml:space="preserve">in the SDX will show for each transmission system in the physical path the upper limit MW for each time interval in the </w:t>
      </w:r>
      <w:r w:rsidR="008D5181">
        <w:t>PTD</w:t>
      </w:r>
      <w:r w:rsidR="00285FE5">
        <w:t xml:space="preserve">.  A new request type will be used in OASIS to dedicate capacity on a given TSP’ system to the EIR </w:t>
      </w:r>
      <w:r w:rsidR="00365B94">
        <w:t>R</w:t>
      </w:r>
      <w:r w:rsidR="00365B94">
        <w:t xml:space="preserve">egistered </w:t>
      </w:r>
      <w:r w:rsidR="00285FE5">
        <w:t xml:space="preserve">Pseudo-Tie.   The TSP will compare the capacity dedicated to the </w:t>
      </w:r>
      <w:r w:rsidR="00CC5377">
        <w:t>p</w:t>
      </w:r>
      <w:r w:rsidR="00CC5377">
        <w:t>seudo</w:t>
      </w:r>
      <w:r w:rsidR="00285FE5">
        <w:t>-</w:t>
      </w:r>
      <w:r w:rsidR="00CC5377">
        <w:t>t</w:t>
      </w:r>
      <w:r w:rsidR="00CC5377">
        <w:t xml:space="preserve">ie </w:t>
      </w:r>
      <w:r w:rsidR="00285FE5">
        <w:t>on OASIS</w:t>
      </w:r>
      <w:r w:rsidR="00365B94">
        <w:t xml:space="preserve"> (PT)</w:t>
      </w:r>
      <w:r w:rsidR="00285FE5">
        <w:t xml:space="preserve"> to the capacity shown on the </w:t>
      </w:r>
      <w:r w:rsidR="008D5181">
        <w:t>PTD</w:t>
      </w:r>
      <w:r w:rsidR="00285FE5">
        <w:t xml:space="preserve"> in validating </w:t>
      </w:r>
      <w:r w:rsidR="00285FE5">
        <w:lastRenderedPageBreak/>
        <w:t xml:space="preserve">changes to the </w:t>
      </w:r>
      <w:r w:rsidR="008D5181">
        <w:t>PTD</w:t>
      </w:r>
      <w:r w:rsidR="00285FE5">
        <w:t xml:space="preserve">.  The TSP will compare the capacity on the </w:t>
      </w:r>
      <w:r w:rsidR="008D5181">
        <w:t>PTD</w:t>
      </w:r>
      <w:r w:rsidR="00285FE5">
        <w:t xml:space="preserve"> to the capacity to be dedicated on OASIS in granting OASIS requests for capacity.</w:t>
      </w:r>
    </w:p>
    <w:p w:rsidR="00285FE5" w:rsidRDefault="00285FE5" w:rsidP="009C43EA"/>
    <w:p w:rsidR="00285FE5" w:rsidRDefault="00B40D54" w:rsidP="0000724E">
      <w:pPr>
        <w:pStyle w:val="Heading3"/>
      </w:pPr>
      <w:bookmarkStart w:id="4" w:name="_Toc368404905"/>
      <w:r>
        <w:t>Requirements:</w:t>
      </w:r>
      <w:bookmarkEnd w:id="4"/>
    </w:p>
    <w:p w:rsidR="00B40D54" w:rsidRDefault="00B40D54" w:rsidP="00B40D54">
      <w:pPr>
        <w:pStyle w:val="ListParagraph"/>
        <w:numPr>
          <w:ilvl w:val="0"/>
          <w:numId w:val="3"/>
        </w:numPr>
      </w:pPr>
      <w:r>
        <w:t>OASIS standards will be modified as follows:</w:t>
      </w:r>
    </w:p>
    <w:p w:rsidR="00B40D54" w:rsidRDefault="00B40D54" w:rsidP="00B40D54">
      <w:pPr>
        <w:pStyle w:val="ListParagraph"/>
        <w:numPr>
          <w:ilvl w:val="1"/>
          <w:numId w:val="3"/>
        </w:numPr>
      </w:pPr>
      <w:r>
        <w:t xml:space="preserve">A new Request Type named </w:t>
      </w:r>
      <w:r w:rsidR="00215FE2">
        <w:rPr>
          <w:b/>
        </w:rPr>
        <w:t>PT</w:t>
      </w:r>
      <w:r>
        <w:t xml:space="preserve"> will be established with the following characteristics:</w:t>
      </w:r>
    </w:p>
    <w:p w:rsidR="00B40D54" w:rsidRDefault="00B40D54" w:rsidP="00B40D54">
      <w:pPr>
        <w:pStyle w:val="ListParagraph"/>
        <w:numPr>
          <w:ilvl w:val="2"/>
          <w:numId w:val="3"/>
        </w:numPr>
      </w:pPr>
      <w:r>
        <w:t>It will be a form of scheduling rights, similar to a Resale in PTP.</w:t>
      </w:r>
    </w:p>
    <w:p w:rsidR="00B40D54" w:rsidRDefault="00B40D54" w:rsidP="00B40D54">
      <w:pPr>
        <w:pStyle w:val="ListParagraph"/>
        <w:numPr>
          <w:ilvl w:val="2"/>
          <w:numId w:val="3"/>
        </w:numPr>
      </w:pPr>
      <w:r>
        <w:t>It will have the same reservation priority as the Parent reservation.</w:t>
      </w:r>
    </w:p>
    <w:p w:rsidR="00B40D54" w:rsidRDefault="00B40D54" w:rsidP="00B40D54">
      <w:pPr>
        <w:pStyle w:val="ListParagraph"/>
        <w:numPr>
          <w:ilvl w:val="2"/>
          <w:numId w:val="3"/>
        </w:numPr>
      </w:pPr>
      <w:r>
        <w:t>It must include the unique identifier from the EIR-</w:t>
      </w:r>
      <w:r w:rsidR="00255424">
        <w:t>R</w:t>
      </w:r>
      <w:r w:rsidR="00255424">
        <w:t xml:space="preserve">egistered </w:t>
      </w:r>
      <w:r w:rsidR="00255424">
        <w:t>Pseudo</w:t>
      </w:r>
      <w:r>
        <w:t>-Tie.</w:t>
      </w:r>
    </w:p>
    <w:p w:rsidR="00AA1F87" w:rsidRDefault="00AA1F87" w:rsidP="00B40D54">
      <w:pPr>
        <w:pStyle w:val="ListParagraph"/>
        <w:numPr>
          <w:ilvl w:val="2"/>
          <w:numId w:val="3"/>
        </w:numPr>
      </w:pPr>
      <w:r>
        <w:t xml:space="preserve">Only one </w:t>
      </w:r>
      <w:r w:rsidR="00215FE2">
        <w:t>PT</w:t>
      </w:r>
      <w:r>
        <w:t xml:space="preserve"> reservation may be submitted for a given EIR-registered </w:t>
      </w:r>
      <w:r w:rsidR="00CC5377">
        <w:t>pseudo-tie</w:t>
      </w:r>
      <w:r>
        <w:t>.</w:t>
      </w:r>
    </w:p>
    <w:p w:rsidR="00AA1F87" w:rsidRDefault="00AA1F87" w:rsidP="00B40D54">
      <w:pPr>
        <w:pStyle w:val="ListParagraph"/>
        <w:numPr>
          <w:ilvl w:val="2"/>
          <w:numId w:val="3"/>
        </w:numPr>
      </w:pPr>
      <w:r>
        <w:t xml:space="preserve">Multiple </w:t>
      </w:r>
      <w:r w:rsidR="00215FE2">
        <w:t>PT</w:t>
      </w:r>
      <w:r>
        <w:t xml:space="preserve"> reservations against a Parent reservation but each must have a unique identifier from the EIR-</w:t>
      </w:r>
      <w:r w:rsidR="00255424">
        <w:t>R</w:t>
      </w:r>
      <w:r w:rsidR="00255424">
        <w:t xml:space="preserve">egistered </w:t>
      </w:r>
      <w:r w:rsidR="00255424">
        <w:t>Pseudo</w:t>
      </w:r>
      <w:r>
        <w:t>-Tie</w:t>
      </w:r>
    </w:p>
    <w:p w:rsidR="00B40D54" w:rsidRDefault="00B40D54" w:rsidP="00B40D54">
      <w:pPr>
        <w:pStyle w:val="ListParagraph"/>
        <w:numPr>
          <w:ilvl w:val="2"/>
          <w:numId w:val="3"/>
        </w:numPr>
      </w:pPr>
      <w:r>
        <w:t>It cannot be resold or redirected.</w:t>
      </w:r>
    </w:p>
    <w:p w:rsidR="00B40D54" w:rsidRDefault="00B40D54" w:rsidP="00B40D54">
      <w:pPr>
        <w:pStyle w:val="ListParagraph"/>
        <w:numPr>
          <w:ilvl w:val="2"/>
          <w:numId w:val="3"/>
        </w:numPr>
      </w:pPr>
      <w:r>
        <w:t>It may be applied to PTP or NITS.</w:t>
      </w:r>
    </w:p>
    <w:p w:rsidR="00B40D54" w:rsidRDefault="00B40D54" w:rsidP="00B40D54">
      <w:pPr>
        <w:pStyle w:val="ListParagraph"/>
        <w:numPr>
          <w:ilvl w:val="2"/>
          <w:numId w:val="3"/>
        </w:numPr>
      </w:pPr>
      <w:r>
        <w:t>It must have the same reservation characteristics (source, sink, POR, POD, etc) as the parent reservation.</w:t>
      </w:r>
    </w:p>
    <w:p w:rsidR="00B40D54" w:rsidRDefault="00B40D54" w:rsidP="00B40D54">
      <w:pPr>
        <w:pStyle w:val="ListParagraph"/>
        <w:numPr>
          <w:ilvl w:val="2"/>
          <w:numId w:val="3"/>
        </w:numPr>
      </w:pPr>
      <w:r>
        <w:t>Capacity may be adjusted over time.  If increased, capacity will be taken from the parent reservation.  If decreased, capacity will be restored to the parent reservation.</w:t>
      </w:r>
    </w:p>
    <w:p w:rsidR="00B40D54" w:rsidRDefault="00421054" w:rsidP="00B40D54">
      <w:pPr>
        <w:pStyle w:val="ListParagraph"/>
        <w:numPr>
          <w:ilvl w:val="2"/>
          <w:numId w:val="3"/>
        </w:numPr>
      </w:pPr>
      <w:r>
        <w:t>The parent reservation must not be subject to preemption and competition (e.g., for firm service it must be unconditional with respect to section 13.2 of the OATT)</w:t>
      </w:r>
    </w:p>
    <w:p w:rsidR="00421054" w:rsidRDefault="00421054" w:rsidP="00B40D54">
      <w:pPr>
        <w:pStyle w:val="ListParagraph"/>
        <w:numPr>
          <w:ilvl w:val="2"/>
          <w:numId w:val="3"/>
        </w:numPr>
      </w:pPr>
      <w:r>
        <w:t xml:space="preserve">The </w:t>
      </w:r>
      <w:r w:rsidR="00255424">
        <w:t>PT</w:t>
      </w:r>
      <w:r>
        <w:t xml:space="preserve"> reserved capacity will act as an encumbrance on the parent reservation and, therefore, will reduce the Capacity Available to Redirect of the parent reservation.</w:t>
      </w:r>
    </w:p>
    <w:p w:rsidR="00A429CE" w:rsidRDefault="00A429CE" w:rsidP="00B40D54">
      <w:pPr>
        <w:pStyle w:val="ListParagraph"/>
        <w:numPr>
          <w:ilvl w:val="2"/>
          <w:numId w:val="3"/>
        </w:numPr>
      </w:pPr>
      <w:r>
        <w:t>It may be submitted in conjunction with a new request for NITS or PTP service.</w:t>
      </w:r>
    </w:p>
    <w:p w:rsidR="00B40D54" w:rsidRDefault="007800CE" w:rsidP="00A429CE">
      <w:pPr>
        <w:pStyle w:val="ListParagraph"/>
        <w:numPr>
          <w:ilvl w:val="0"/>
          <w:numId w:val="3"/>
        </w:numPr>
      </w:pPr>
      <w:r>
        <w:t xml:space="preserve">All requested </w:t>
      </w:r>
      <w:r w:rsidR="00215FE2">
        <w:t>PT</w:t>
      </w:r>
      <w:r w:rsidR="00421054">
        <w:t xml:space="preserve"> </w:t>
      </w:r>
      <w:r>
        <w:t xml:space="preserve">OASIS </w:t>
      </w:r>
      <w:r w:rsidR="00421054">
        <w:t xml:space="preserve">capacity shall equal or exceed capacity on </w:t>
      </w:r>
      <w:r>
        <w:t xml:space="preserve">a corresponding </w:t>
      </w:r>
      <w:r w:rsidR="008D5181">
        <w:t>PTD</w:t>
      </w:r>
      <w:r>
        <w:t>.</w:t>
      </w:r>
    </w:p>
    <w:p w:rsidR="007800CE" w:rsidRDefault="007800CE" w:rsidP="00A429CE">
      <w:pPr>
        <w:pStyle w:val="ListParagraph"/>
        <w:numPr>
          <w:ilvl w:val="1"/>
          <w:numId w:val="3"/>
        </w:numPr>
      </w:pPr>
      <w:r>
        <w:t xml:space="preserve">The request for </w:t>
      </w:r>
      <w:r w:rsidR="00255424">
        <w:t>PT</w:t>
      </w:r>
      <w:r>
        <w:t xml:space="preserve"> OASIS capacity may only be submitted by the transmission customer</w:t>
      </w:r>
      <w:r w:rsidR="00215FE2">
        <w:t>.</w:t>
      </w:r>
      <w:r>
        <w:t xml:space="preserve"> (</w:t>
      </w:r>
      <w:r w:rsidR="00215FE2">
        <w:t>The</w:t>
      </w:r>
      <w:r>
        <w:t xml:space="preserve"> sink LSE, who submits the </w:t>
      </w:r>
      <w:r w:rsidR="008D5181">
        <w:t>PTD</w:t>
      </w:r>
      <w:r>
        <w:t xml:space="preserve">, </w:t>
      </w:r>
      <w:r w:rsidR="00215FE2">
        <w:t xml:space="preserve">is not permitted </w:t>
      </w:r>
      <w:r>
        <w:t>to submit requests on OASIS unless the sink LSE is also the transmission customer.</w:t>
      </w:r>
      <w:r w:rsidR="00215FE2">
        <w:t>)</w:t>
      </w:r>
    </w:p>
    <w:p w:rsidR="007800CE" w:rsidRDefault="007800CE" w:rsidP="00A429CE">
      <w:pPr>
        <w:pStyle w:val="ListParagraph"/>
        <w:numPr>
          <w:ilvl w:val="1"/>
          <w:numId w:val="3"/>
        </w:numPr>
      </w:pPr>
      <w:r>
        <w:t xml:space="preserve">The TSP may deny a request for </w:t>
      </w:r>
      <w:r w:rsidR="00AA1F87">
        <w:t xml:space="preserve">new or additional </w:t>
      </w:r>
      <w:r w:rsidR="00215FE2">
        <w:t>PT</w:t>
      </w:r>
      <w:r>
        <w:t xml:space="preserve"> capacity on OASIS if there is insufficient Capacity Available to Redirect on the parent reservation.</w:t>
      </w:r>
    </w:p>
    <w:p w:rsidR="00AA1F87" w:rsidRDefault="00AA1F87" w:rsidP="00A429CE">
      <w:pPr>
        <w:pStyle w:val="ListParagraph"/>
        <w:numPr>
          <w:ilvl w:val="1"/>
          <w:numId w:val="3"/>
        </w:numPr>
      </w:pPr>
      <w:r>
        <w:t xml:space="preserve">The TSP may deny a request for reduction in </w:t>
      </w:r>
      <w:r w:rsidR="00215FE2">
        <w:t>PT</w:t>
      </w:r>
      <w:r>
        <w:t xml:space="preserve"> capacity on OASIS if the capacity is shown on a </w:t>
      </w:r>
      <w:r w:rsidR="008D5181">
        <w:t>PTD</w:t>
      </w:r>
      <w:r>
        <w:t xml:space="preserve"> in the SDX.</w:t>
      </w:r>
    </w:p>
    <w:p w:rsidR="00AA1F87" w:rsidRDefault="00AA1F87" w:rsidP="00A429CE">
      <w:pPr>
        <w:pStyle w:val="ListParagraph"/>
        <w:numPr>
          <w:ilvl w:val="0"/>
          <w:numId w:val="3"/>
        </w:numPr>
      </w:pPr>
      <w:r>
        <w:t xml:space="preserve">Only OASIS </w:t>
      </w:r>
      <w:r w:rsidR="00215FE2">
        <w:t>PT</w:t>
      </w:r>
      <w:r>
        <w:t xml:space="preserve"> capacity may be declared on an SDX </w:t>
      </w:r>
      <w:r w:rsidR="008D5181">
        <w:t>PTD</w:t>
      </w:r>
      <w:r>
        <w:t>.</w:t>
      </w:r>
    </w:p>
    <w:p w:rsidR="00AA1F87" w:rsidRDefault="00AA1F87" w:rsidP="00A429CE">
      <w:pPr>
        <w:pStyle w:val="ListParagraph"/>
        <w:numPr>
          <w:ilvl w:val="1"/>
          <w:numId w:val="3"/>
        </w:numPr>
      </w:pPr>
      <w:r>
        <w:t xml:space="preserve"> A TSP may deny any SDX </w:t>
      </w:r>
      <w:r w:rsidR="008D5181">
        <w:t>PTD</w:t>
      </w:r>
      <w:r>
        <w:t xml:space="preserve"> that requests capacity in excess of the associated</w:t>
      </w:r>
      <w:r w:rsidR="00A429CE">
        <w:t xml:space="preserve"> </w:t>
      </w:r>
      <w:r w:rsidR="00215FE2">
        <w:t>PT</w:t>
      </w:r>
      <w:r w:rsidR="00A429CE">
        <w:t xml:space="preserve"> OASIS reservation.  (SDX </w:t>
      </w:r>
      <w:r w:rsidR="008D5181">
        <w:t>PTD</w:t>
      </w:r>
      <w:r w:rsidR="00A429CE">
        <w:t xml:space="preserve"> that requests capacity lower than that of the associated </w:t>
      </w:r>
      <w:r w:rsidR="00215FE2">
        <w:t>PT</w:t>
      </w:r>
      <w:r w:rsidR="00A429CE">
        <w:t xml:space="preserve"> OASIS reservation must be permitted.)</w:t>
      </w:r>
    </w:p>
    <w:p w:rsidR="00A429CE" w:rsidRDefault="00A429CE" w:rsidP="0000724E">
      <w:pPr>
        <w:pStyle w:val="Heading3"/>
      </w:pPr>
      <w:bookmarkStart w:id="5" w:name="_Toc368404906"/>
      <w:r>
        <w:lastRenderedPageBreak/>
        <w:t>How would this work:</w:t>
      </w:r>
      <w:bookmarkEnd w:id="5"/>
    </w:p>
    <w:p w:rsidR="00A429CE" w:rsidRDefault="00A429CE" w:rsidP="00A429CE">
      <w:pPr>
        <w:pStyle w:val="ListParagraph"/>
        <w:numPr>
          <w:ilvl w:val="0"/>
          <w:numId w:val="4"/>
        </w:numPr>
      </w:pPr>
      <w:r>
        <w:t xml:space="preserve">A BA would register a </w:t>
      </w:r>
      <w:r w:rsidR="00CC5377">
        <w:t>pseudo-tie</w:t>
      </w:r>
      <w:r>
        <w:t xml:space="preserve"> in WebRegistry (as required in the Request for Enhancement to NAESB EIR #ER13001).  This must be done before any further EIR related activities take place.</w:t>
      </w:r>
    </w:p>
    <w:p w:rsidR="00AB3126" w:rsidRDefault="00AB3126" w:rsidP="00A429CE">
      <w:pPr>
        <w:pStyle w:val="ListParagraph"/>
        <w:numPr>
          <w:ilvl w:val="0"/>
          <w:numId w:val="4"/>
        </w:numPr>
      </w:pPr>
      <w:r>
        <w:t xml:space="preserve">For </w:t>
      </w:r>
      <w:r w:rsidRPr="006E5FC6">
        <w:t>Tag Secondary Network Transmission Service Method</w:t>
      </w:r>
      <w:r>
        <w:t>:</w:t>
      </w:r>
    </w:p>
    <w:p w:rsidR="004C1D3B" w:rsidRDefault="004C1D3B" w:rsidP="004C1D3B">
      <w:pPr>
        <w:pStyle w:val="ListParagraph"/>
        <w:numPr>
          <w:ilvl w:val="1"/>
          <w:numId w:val="4"/>
        </w:numPr>
      </w:pPr>
      <w:r>
        <w:t xml:space="preserve">E-tags cannot use </w:t>
      </w:r>
      <w:r w:rsidR="00215FE2">
        <w:t>PT</w:t>
      </w:r>
      <w:r>
        <w:t xml:space="preserve"> reservations because that capacity is set aside exclusively for </w:t>
      </w:r>
      <w:r w:rsidR="00255424">
        <w:t>Pseudo</w:t>
      </w:r>
      <w:r w:rsidR="008D5181">
        <w:t>-Tie Definitions process</w:t>
      </w:r>
      <w:r>
        <w:t>.</w:t>
      </w:r>
    </w:p>
    <w:p w:rsidR="00A429CE" w:rsidRDefault="00A429CE" w:rsidP="00A429CE">
      <w:pPr>
        <w:pStyle w:val="ListParagraph"/>
        <w:numPr>
          <w:ilvl w:val="0"/>
          <w:numId w:val="4"/>
        </w:numPr>
      </w:pPr>
      <w:r>
        <w:t>For Generator Priority Method:</w:t>
      </w:r>
    </w:p>
    <w:p w:rsidR="00E957FC" w:rsidRDefault="00E957FC" w:rsidP="00A429CE">
      <w:pPr>
        <w:pStyle w:val="ListParagraph"/>
        <w:numPr>
          <w:ilvl w:val="1"/>
          <w:numId w:val="4"/>
        </w:numPr>
      </w:pPr>
      <w:r>
        <w:t xml:space="preserve">New Pseudo-Tie </w:t>
      </w:r>
    </w:p>
    <w:p w:rsidR="00A429CE" w:rsidRDefault="00A429CE" w:rsidP="00E957FC">
      <w:pPr>
        <w:pStyle w:val="ListParagraph"/>
        <w:numPr>
          <w:ilvl w:val="2"/>
          <w:numId w:val="4"/>
        </w:numPr>
      </w:pPr>
      <w:r>
        <w:t xml:space="preserve">Each Transmission Customer on the </w:t>
      </w:r>
      <w:r w:rsidR="00CC5377">
        <w:t>pseudo-tie</w:t>
      </w:r>
      <w:r>
        <w:t xml:space="preserve">’s path will submit </w:t>
      </w:r>
      <w:r w:rsidR="00E957FC">
        <w:t xml:space="preserve">on OASIS requests for </w:t>
      </w:r>
      <w:r w:rsidR="00215FE2">
        <w:t>PT</w:t>
      </w:r>
      <w:r w:rsidR="00E957FC">
        <w:t xml:space="preserve"> capacity (Request Type: </w:t>
      </w:r>
      <w:r w:rsidR="00215FE2">
        <w:t>PT</w:t>
      </w:r>
      <w:r w:rsidR="00E957FC">
        <w:t>)</w:t>
      </w:r>
    </w:p>
    <w:p w:rsidR="00E957FC" w:rsidRDefault="00E957FC" w:rsidP="00E957FC">
      <w:pPr>
        <w:pStyle w:val="ListParagraph"/>
        <w:numPr>
          <w:ilvl w:val="2"/>
          <w:numId w:val="4"/>
        </w:numPr>
      </w:pPr>
      <w:r>
        <w:t>TSP will review and approve or deny the OASIS request.</w:t>
      </w:r>
    </w:p>
    <w:p w:rsidR="00E957FC" w:rsidRDefault="00E957FC" w:rsidP="00E957FC">
      <w:pPr>
        <w:pStyle w:val="ListParagraph"/>
        <w:numPr>
          <w:ilvl w:val="2"/>
          <w:numId w:val="4"/>
        </w:numPr>
      </w:pPr>
      <w:r>
        <w:t xml:space="preserve">The sink LSE (or other authorized submitter) will submit the Pseudo-Tie </w:t>
      </w:r>
      <w:r w:rsidR="008D5181">
        <w:t xml:space="preserve">Pseudo Tie Definition </w:t>
      </w:r>
      <w:r>
        <w:t>to SDX.</w:t>
      </w:r>
    </w:p>
    <w:p w:rsidR="00E957FC" w:rsidRDefault="00E957FC" w:rsidP="00E957FC">
      <w:pPr>
        <w:pStyle w:val="ListParagraph"/>
        <w:numPr>
          <w:ilvl w:val="2"/>
          <w:numId w:val="4"/>
        </w:numPr>
      </w:pPr>
      <w:r>
        <w:t xml:space="preserve">The SDX will notify each TSP on the </w:t>
      </w:r>
      <w:r w:rsidR="008D5181">
        <w:t>PTD</w:t>
      </w:r>
      <w:r>
        <w:t xml:space="preserve"> path of the need for validation of the </w:t>
      </w:r>
      <w:r w:rsidR="008D5181">
        <w:t>PTD</w:t>
      </w:r>
      <w:r>
        <w:t>.</w:t>
      </w:r>
    </w:p>
    <w:p w:rsidR="00E957FC" w:rsidRDefault="00E957FC" w:rsidP="00E957FC">
      <w:pPr>
        <w:pStyle w:val="ListParagraph"/>
        <w:numPr>
          <w:ilvl w:val="2"/>
          <w:numId w:val="4"/>
        </w:numPr>
      </w:pPr>
      <w:r>
        <w:t xml:space="preserve">Each </w:t>
      </w:r>
      <w:r w:rsidR="008D5181">
        <w:t>PTD</w:t>
      </w:r>
      <w:r>
        <w:t xml:space="preserve"> will compare the </w:t>
      </w:r>
      <w:r w:rsidR="008D5181">
        <w:t>PTD</w:t>
      </w:r>
      <w:r>
        <w:t xml:space="preserve">’s transmission capacity to the OASIS </w:t>
      </w:r>
      <w:r w:rsidR="00215FE2">
        <w:t>PT</w:t>
      </w:r>
      <w:r>
        <w:t xml:space="preserve"> capacity and approve if sufficient capacity is declared on OASIS to accommodate the </w:t>
      </w:r>
      <w:r w:rsidR="008D5181">
        <w:t>PTD</w:t>
      </w:r>
      <w:r>
        <w:t xml:space="preserve">.  If not, the </w:t>
      </w:r>
      <w:r w:rsidR="008D5181">
        <w:t>PTD</w:t>
      </w:r>
      <w:r>
        <w:t xml:space="preserve"> will be denied.</w:t>
      </w:r>
    </w:p>
    <w:p w:rsidR="00E957FC" w:rsidRDefault="00E957FC" w:rsidP="00E957FC">
      <w:pPr>
        <w:pStyle w:val="ListParagraph"/>
        <w:numPr>
          <w:ilvl w:val="1"/>
          <w:numId w:val="4"/>
        </w:numPr>
      </w:pPr>
      <w:r>
        <w:t xml:space="preserve">Increase in </w:t>
      </w:r>
      <w:r w:rsidR="00CC5377">
        <w:t>pseudo-tie</w:t>
      </w:r>
      <w:r>
        <w:t xml:space="preserve"> capacity in SDX</w:t>
      </w:r>
    </w:p>
    <w:p w:rsidR="00E957FC" w:rsidRDefault="004F74FC" w:rsidP="00E957FC">
      <w:pPr>
        <w:pStyle w:val="ListParagraph"/>
        <w:numPr>
          <w:ilvl w:val="2"/>
          <w:numId w:val="4"/>
        </w:numPr>
      </w:pPr>
      <w:r>
        <w:t xml:space="preserve">If insufficient capacity is reserved on OASIS, the Transmission Customer will request increased capacity (probably should be handled as a request to replace any existing </w:t>
      </w:r>
      <w:r w:rsidR="00215FE2">
        <w:t>PT</w:t>
      </w:r>
      <w:r>
        <w:t xml:space="preserve"> reservation for a given </w:t>
      </w:r>
      <w:r w:rsidR="00255424">
        <w:t>pseudo-tie</w:t>
      </w:r>
      <w:r>
        <w:t>).</w:t>
      </w:r>
    </w:p>
    <w:p w:rsidR="004F74FC" w:rsidRDefault="004F74FC" w:rsidP="00E957FC">
      <w:pPr>
        <w:pStyle w:val="ListParagraph"/>
        <w:numPr>
          <w:ilvl w:val="2"/>
          <w:numId w:val="4"/>
        </w:numPr>
      </w:pPr>
      <w:r>
        <w:t xml:space="preserve">Sink LSE will submit replacement </w:t>
      </w:r>
      <w:r w:rsidR="008D5181">
        <w:t>PTD</w:t>
      </w:r>
      <w:r>
        <w:t xml:space="preserve"> in SDX.</w:t>
      </w:r>
    </w:p>
    <w:p w:rsidR="004F74FC" w:rsidRDefault="004F74FC" w:rsidP="00E957FC">
      <w:pPr>
        <w:pStyle w:val="ListParagraph"/>
        <w:numPr>
          <w:ilvl w:val="2"/>
          <w:numId w:val="4"/>
        </w:numPr>
      </w:pPr>
      <w:r>
        <w:t>TSP will validate.</w:t>
      </w:r>
    </w:p>
    <w:p w:rsidR="004F74FC" w:rsidRDefault="004F74FC" w:rsidP="004F74FC">
      <w:pPr>
        <w:pStyle w:val="ListParagraph"/>
        <w:numPr>
          <w:ilvl w:val="1"/>
          <w:numId w:val="4"/>
        </w:numPr>
      </w:pPr>
      <w:r>
        <w:t xml:space="preserve">Reduction in </w:t>
      </w:r>
      <w:r w:rsidR="00CC5377">
        <w:t>pseudo-tie</w:t>
      </w:r>
      <w:r>
        <w:t xml:space="preserve"> capacity in SDX</w:t>
      </w:r>
    </w:p>
    <w:p w:rsidR="004F74FC" w:rsidRDefault="004F74FC" w:rsidP="004F74FC">
      <w:pPr>
        <w:pStyle w:val="ListParagraph"/>
        <w:numPr>
          <w:ilvl w:val="2"/>
          <w:numId w:val="4"/>
        </w:numPr>
      </w:pPr>
      <w:r>
        <w:t xml:space="preserve">Sink LSE submits replacement </w:t>
      </w:r>
      <w:r w:rsidR="008D5181">
        <w:t>PTD</w:t>
      </w:r>
      <w:r>
        <w:t xml:space="preserve"> in SDX.</w:t>
      </w:r>
    </w:p>
    <w:p w:rsidR="004F74FC" w:rsidRDefault="004F74FC" w:rsidP="004F74FC">
      <w:pPr>
        <w:pStyle w:val="ListParagraph"/>
        <w:numPr>
          <w:ilvl w:val="2"/>
          <w:numId w:val="4"/>
        </w:numPr>
      </w:pPr>
      <w:r>
        <w:t xml:space="preserve">TSP will validate and approve (since there was sufficient capacity to accommodate the earlier, higher-capacity </w:t>
      </w:r>
      <w:r w:rsidR="008D5181">
        <w:t>PTD</w:t>
      </w:r>
      <w:r>
        <w:t xml:space="preserve"> there will be sufficient capacity to accommodate the lower capacity </w:t>
      </w:r>
      <w:r w:rsidR="008D5181">
        <w:t>PTD</w:t>
      </w:r>
      <w:r>
        <w:t>)</w:t>
      </w:r>
    </w:p>
    <w:p w:rsidR="004F74FC" w:rsidRDefault="004F74FC" w:rsidP="004F74FC">
      <w:pPr>
        <w:pStyle w:val="ListParagraph"/>
        <w:numPr>
          <w:ilvl w:val="2"/>
          <w:numId w:val="4"/>
        </w:numPr>
      </w:pPr>
      <w:r>
        <w:t xml:space="preserve">Transmission Customer may, but is not required to, submit a reduction in the </w:t>
      </w:r>
      <w:r w:rsidR="00215FE2">
        <w:t>PT</w:t>
      </w:r>
      <w:r>
        <w:t xml:space="preserve"> reservation on OASIS.</w:t>
      </w:r>
    </w:p>
    <w:p w:rsidR="004F74FC" w:rsidRDefault="004F74FC" w:rsidP="004F74FC">
      <w:pPr>
        <w:pStyle w:val="ListParagraph"/>
        <w:numPr>
          <w:ilvl w:val="3"/>
          <w:numId w:val="4"/>
        </w:numPr>
      </w:pPr>
      <w:r>
        <w:t>If submitted, the TSP may refuse the reduction if the requested capacity is insufficient to accommodate capacity declared in SDX.</w:t>
      </w:r>
    </w:p>
    <w:p w:rsidR="004F74FC" w:rsidRDefault="004F74FC" w:rsidP="0000724E">
      <w:pPr>
        <w:pStyle w:val="Heading3"/>
      </w:pPr>
      <w:bookmarkStart w:id="6" w:name="_Toc368404907"/>
      <w:r>
        <w:t>Benefits of this approach:</w:t>
      </w:r>
      <w:bookmarkEnd w:id="6"/>
    </w:p>
    <w:p w:rsidR="00AB3126" w:rsidRDefault="00AB3126" w:rsidP="004F74FC">
      <w:pPr>
        <w:pStyle w:val="ListParagraph"/>
        <w:numPr>
          <w:ilvl w:val="0"/>
          <w:numId w:val="5"/>
        </w:numPr>
      </w:pPr>
      <w:r>
        <w:t xml:space="preserve">Pseudo-Tie </w:t>
      </w:r>
      <w:r w:rsidR="004C1D3B">
        <w:t>capacity is reserved on OASIS for use in the SDX (transparency).</w:t>
      </w:r>
    </w:p>
    <w:p w:rsidR="004F74FC" w:rsidRDefault="00AB3126" w:rsidP="004F74FC">
      <w:pPr>
        <w:pStyle w:val="ListParagraph"/>
        <w:numPr>
          <w:ilvl w:val="0"/>
          <w:numId w:val="5"/>
        </w:numPr>
      </w:pPr>
      <w:r>
        <w:t>Each Transmission Customer controls the</w:t>
      </w:r>
      <w:r w:rsidR="004C1D3B">
        <w:t xml:space="preserve"> maximum</w:t>
      </w:r>
      <w:r>
        <w:t xml:space="preserve"> cap</w:t>
      </w:r>
      <w:r w:rsidR="004C1D3B">
        <w:t xml:space="preserve">acity dedicated to a </w:t>
      </w:r>
      <w:r w:rsidR="00CC5377">
        <w:t>PTD</w:t>
      </w:r>
      <w:r w:rsidR="004C1D3B">
        <w:t xml:space="preserve">, rather than the sink LSE.  This </w:t>
      </w:r>
      <w:r w:rsidR="001554E5">
        <w:t>may reduce Transmission Customers’ desire to have validation rights</w:t>
      </w:r>
      <w:r w:rsidR="004C1D3B">
        <w:t xml:space="preserve"> to approve new or modified Generator Priority Schedules.</w:t>
      </w:r>
    </w:p>
    <w:p w:rsidR="00D7585E" w:rsidRDefault="004C1D3B" w:rsidP="004F74FC">
      <w:pPr>
        <w:pStyle w:val="ListParagraph"/>
        <w:numPr>
          <w:ilvl w:val="0"/>
          <w:numId w:val="5"/>
        </w:numPr>
      </w:pPr>
      <w:r>
        <w:t xml:space="preserve">Increases and decreases in SDX </w:t>
      </w:r>
      <w:r w:rsidR="00CC5377">
        <w:t xml:space="preserve">PTD </w:t>
      </w:r>
      <w:r>
        <w:t xml:space="preserve">capacity is done in a one-for-one validation.  A </w:t>
      </w:r>
      <w:r w:rsidR="00CC5377">
        <w:t>pseudo-tie</w:t>
      </w:r>
      <w:r>
        <w:t xml:space="preserve"> identifier from EIR registration can only be used on one </w:t>
      </w:r>
      <w:r w:rsidR="008D5181">
        <w:t>PTD</w:t>
      </w:r>
      <w:r>
        <w:t xml:space="preserve"> and there w</w:t>
      </w:r>
      <w:r w:rsidR="00D7585E">
        <w:t xml:space="preserve">ill only be one </w:t>
      </w:r>
      <w:r w:rsidR="00215FE2">
        <w:t>PT</w:t>
      </w:r>
      <w:r w:rsidR="00D7585E">
        <w:t xml:space="preserve"> reservation per parent per </w:t>
      </w:r>
      <w:r w:rsidR="00CC5377">
        <w:t>pseudo-tie</w:t>
      </w:r>
      <w:r w:rsidR="00D7585E">
        <w:t xml:space="preserve"> identifier.  </w:t>
      </w:r>
    </w:p>
    <w:p w:rsidR="004C1D3B" w:rsidRDefault="00D7585E" w:rsidP="00D7585E">
      <w:pPr>
        <w:pStyle w:val="ListParagraph"/>
        <w:numPr>
          <w:ilvl w:val="1"/>
          <w:numId w:val="5"/>
        </w:numPr>
      </w:pPr>
      <w:r>
        <w:lastRenderedPageBreak/>
        <w:t>When the TSP</w:t>
      </w:r>
      <w:r w:rsidR="001554E5">
        <w:t xml:space="preserve"> or TC</w:t>
      </w:r>
      <w:r>
        <w:t xml:space="preserve"> validates a </w:t>
      </w:r>
      <w:r w:rsidR="008D5181">
        <w:t>PTD</w:t>
      </w:r>
      <w:r>
        <w:t xml:space="preserve">, the TSP only needs to look up the reservation numbers in the </w:t>
      </w:r>
      <w:r w:rsidR="008D5181">
        <w:t>PTD</w:t>
      </w:r>
      <w:r>
        <w:t xml:space="preserve"> and verify that the capacity on the OASIS reservation is equal to or greater than the capacity on the </w:t>
      </w:r>
      <w:r w:rsidR="008D5181">
        <w:t>PTD</w:t>
      </w:r>
      <w:r>
        <w:t>.</w:t>
      </w:r>
      <w:r w:rsidR="001554E5">
        <w:t xml:space="preserve">  (This functionality could also be added to SDX to eliminate the need for TSP &amp; TC validation of capacity.)</w:t>
      </w:r>
    </w:p>
    <w:p w:rsidR="00D7585E" w:rsidRDefault="00D7585E" w:rsidP="00D7585E">
      <w:pPr>
        <w:pStyle w:val="ListParagraph"/>
        <w:numPr>
          <w:ilvl w:val="1"/>
          <w:numId w:val="5"/>
        </w:numPr>
      </w:pPr>
      <w:r>
        <w:t>When the TSP</w:t>
      </w:r>
      <w:r w:rsidR="001554E5">
        <w:t xml:space="preserve"> or TC</w:t>
      </w:r>
      <w:r>
        <w:t xml:space="preserve"> validates a </w:t>
      </w:r>
      <w:r w:rsidR="00215FE2">
        <w:t>PT</w:t>
      </w:r>
      <w:r>
        <w:t xml:space="preserve"> request, the TSP only needs to look up the </w:t>
      </w:r>
      <w:r w:rsidR="00215FE2">
        <w:t>PT</w:t>
      </w:r>
      <w:r>
        <w:t xml:space="preserve">’s OASIS reservation </w:t>
      </w:r>
      <w:proofErr w:type="spellStart"/>
      <w:r>
        <w:t>aRef</w:t>
      </w:r>
      <w:proofErr w:type="spellEnd"/>
      <w:r>
        <w:t xml:space="preserve"> in SDX and verify that the capacity requested is greater than or equal to the capacity on the Generator Priority Schedule.</w:t>
      </w:r>
    </w:p>
    <w:p w:rsidR="001554E5" w:rsidRDefault="00215FE2" w:rsidP="001554E5">
      <w:pPr>
        <w:pStyle w:val="ListParagraph"/>
        <w:numPr>
          <w:ilvl w:val="0"/>
          <w:numId w:val="5"/>
        </w:numPr>
      </w:pPr>
      <w:r>
        <w:t>PT</w:t>
      </w:r>
      <w:r w:rsidR="00D7585E">
        <w:t xml:space="preserve"> reservations will not be subject to preemption and competition (OATT Sections 13.2 and 14.2) so there is no risk that a reservation is lost after approval of a Generator Priority Schedule.</w:t>
      </w:r>
    </w:p>
    <w:p w:rsidR="001554E5" w:rsidRDefault="001554E5" w:rsidP="0000724E">
      <w:pPr>
        <w:pStyle w:val="Heading3"/>
      </w:pPr>
      <w:bookmarkStart w:id="7" w:name="_Toc368404908"/>
      <w:r>
        <w:t>Downside of this approach:</w:t>
      </w:r>
      <w:bookmarkEnd w:id="7"/>
    </w:p>
    <w:p w:rsidR="001554E5" w:rsidRDefault="001554E5" w:rsidP="001554E5">
      <w:pPr>
        <w:pStyle w:val="ListParagraph"/>
        <w:numPr>
          <w:ilvl w:val="0"/>
          <w:numId w:val="7"/>
        </w:numPr>
      </w:pPr>
      <w:r>
        <w:t xml:space="preserve">Transmission Providers will need to perform manual comparisons when validating or will need to invest in new software to perform TSR and </w:t>
      </w:r>
      <w:r w:rsidR="008D5181">
        <w:t>PTD</w:t>
      </w:r>
      <w:r>
        <w:t xml:space="preserve"> validations.</w:t>
      </w:r>
    </w:p>
    <w:p w:rsidR="001554E5" w:rsidRDefault="001554E5" w:rsidP="001554E5">
      <w:pPr>
        <w:pStyle w:val="ListParagraph"/>
        <w:numPr>
          <w:ilvl w:val="0"/>
          <w:numId w:val="7"/>
        </w:numPr>
      </w:pPr>
      <w:r>
        <w:t xml:space="preserve">Transmission Customers will need access to </w:t>
      </w:r>
      <w:r w:rsidR="00215FE2">
        <w:t>SDX in order to find out how much capacity is tied up in Generator Priority Schedules since this information is used by TSPs for validation purposes.</w:t>
      </w:r>
    </w:p>
    <w:p w:rsidR="00215FE2" w:rsidRDefault="00215FE2" w:rsidP="001554E5">
      <w:pPr>
        <w:pStyle w:val="ListParagraph"/>
        <w:numPr>
          <w:ilvl w:val="0"/>
          <w:numId w:val="7"/>
        </w:numPr>
      </w:pPr>
      <w:r>
        <w:t xml:space="preserve">Transmission customers will need to perform manual comparisons when validating </w:t>
      </w:r>
      <w:r w:rsidR="008D5181">
        <w:t>PTD</w:t>
      </w:r>
      <w:r>
        <w:t>’s or requesting PT capacity</w:t>
      </w:r>
      <w:r w:rsidR="0058580D">
        <w:t>, or</w:t>
      </w:r>
      <w:r>
        <w:t xml:space="preserve"> they will need to invest in new software to perform TSR and </w:t>
      </w:r>
      <w:r w:rsidR="008D5181">
        <w:t>PTD</w:t>
      </w:r>
      <w:r>
        <w:t xml:space="preserve"> comparisons.</w:t>
      </w:r>
    </w:p>
    <w:p w:rsidR="00A429CE" w:rsidRDefault="00A429CE" w:rsidP="00A429CE"/>
    <w:p w:rsidR="006E5FC6" w:rsidRDefault="006E5FC6"/>
    <w:sectPr w:rsidR="006E5FC6" w:rsidSect="00767D8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029" w:rsidRDefault="00826029" w:rsidP="0058580D">
      <w:pPr>
        <w:spacing w:after="0" w:line="240" w:lineRule="auto"/>
      </w:pPr>
      <w:r>
        <w:separator/>
      </w:r>
    </w:p>
  </w:endnote>
  <w:endnote w:type="continuationSeparator" w:id="0">
    <w:p w:rsidR="00826029" w:rsidRDefault="00826029" w:rsidP="0058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80D" w:rsidRDefault="0058580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Draft </w:t>
    </w:r>
    <w:r w:rsidR="00180F60">
      <w:rPr>
        <w:rFonts w:asciiTheme="majorHAnsi" w:hAnsiTheme="majorHAnsi"/>
      </w:rPr>
      <w:t>10/01</w:t>
    </w:r>
    <w:r>
      <w:rPr>
        <w:rFonts w:asciiTheme="majorHAnsi" w:hAnsiTheme="majorHAnsi"/>
      </w:rPr>
      <w:t>/13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180F60" w:rsidRPr="00180F60">
        <w:rPr>
          <w:rFonts w:asciiTheme="majorHAnsi" w:hAnsiTheme="majorHAnsi"/>
          <w:noProof/>
        </w:rPr>
        <w:t>1</w:t>
      </w:r>
    </w:fldSimple>
  </w:p>
  <w:p w:rsidR="0058580D" w:rsidRDefault="005858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029" w:rsidRDefault="00826029" w:rsidP="0058580D">
      <w:pPr>
        <w:spacing w:after="0" w:line="240" w:lineRule="auto"/>
      </w:pPr>
      <w:r>
        <w:separator/>
      </w:r>
    </w:p>
  </w:footnote>
  <w:footnote w:type="continuationSeparator" w:id="0">
    <w:p w:rsidR="00826029" w:rsidRDefault="00826029" w:rsidP="0058580D">
      <w:pPr>
        <w:spacing w:after="0" w:line="240" w:lineRule="auto"/>
      </w:pPr>
      <w:r>
        <w:continuationSeparator/>
      </w:r>
    </w:p>
  </w:footnote>
  <w:footnote w:id="1">
    <w:p w:rsidR="003709E6" w:rsidRDefault="003709E6" w:rsidP="003709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 new object called Pseudo-Tie is created by BAs.  The new object should have e-Tag physical path data including Source/Sink BA, the intermediate BAs and TSPs, associated RCs, and the appropriate POR/POD and Source/Sink points.  See table below.  All cited entities in the Pseudo-tie object must approve the object.  Objects should be published in the XML publication file and each have a unique object ID that cannot be duplicated.</w:t>
      </w:r>
    </w:p>
    <w:p w:rsidR="003709E6" w:rsidRDefault="003709E6" w:rsidP="003709E6">
      <w:pPr>
        <w:pStyle w:val="FootnoteText"/>
      </w:pPr>
    </w:p>
    <w:p w:rsidR="003709E6" w:rsidRDefault="003709E6" w:rsidP="003709E6">
      <w:pPr>
        <w:pStyle w:val="FootnoteText"/>
      </w:pPr>
      <w:r>
        <w:t>Source BA</w:t>
      </w:r>
      <w:r>
        <w:tab/>
        <w:t>Source</w:t>
      </w:r>
      <w:r>
        <w:tab/>
      </w:r>
      <w:r>
        <w:tab/>
      </w:r>
    </w:p>
    <w:p w:rsidR="003709E6" w:rsidRDefault="003709E6" w:rsidP="003709E6">
      <w:pPr>
        <w:pStyle w:val="FootnoteText"/>
      </w:pPr>
      <w:r>
        <w:t>TSP</w:t>
      </w:r>
      <w:r>
        <w:tab/>
        <w:t>POR</w:t>
      </w:r>
      <w:r>
        <w:tab/>
        <w:t>POD</w:t>
      </w:r>
      <w:r>
        <w:tab/>
        <w:t>BA</w:t>
      </w:r>
    </w:p>
    <w:p w:rsidR="003709E6" w:rsidRDefault="003709E6" w:rsidP="003709E6">
      <w:pPr>
        <w:pStyle w:val="FootnoteText"/>
      </w:pPr>
      <w:r>
        <w:t>TSP</w:t>
      </w:r>
      <w:r>
        <w:tab/>
        <w:t>POR</w:t>
      </w:r>
      <w:r>
        <w:tab/>
        <w:t>POD</w:t>
      </w:r>
      <w:r>
        <w:tab/>
        <w:t>BA</w:t>
      </w:r>
    </w:p>
    <w:p w:rsidR="003709E6" w:rsidRDefault="003709E6" w:rsidP="003709E6">
      <w:pPr>
        <w:pStyle w:val="FootnoteText"/>
      </w:pPr>
      <w:r>
        <w:t>TSP</w:t>
      </w:r>
      <w:r>
        <w:tab/>
        <w:t>POR</w:t>
      </w:r>
      <w:r>
        <w:tab/>
        <w:t>POD</w:t>
      </w:r>
      <w:r>
        <w:tab/>
        <w:t>BA</w:t>
      </w:r>
    </w:p>
    <w:p w:rsidR="003709E6" w:rsidRDefault="003709E6" w:rsidP="003709E6">
      <w:pPr>
        <w:pStyle w:val="FootnoteText"/>
      </w:pPr>
      <w:r>
        <w:t>Sink BA</w:t>
      </w:r>
      <w:r>
        <w:tab/>
        <w:t>Sink</w:t>
      </w:r>
      <w:r>
        <w:tab/>
      </w:r>
      <w: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8580D" w:rsidRDefault="00180F6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80F60">
          <w:rPr>
            <w:b/>
            <w:sz w:val="32"/>
          </w:rPr>
          <w:t xml:space="preserve">Proposal for OASIS </w:t>
        </w:r>
        <w:r w:rsidRPr="00180F60">
          <w:rPr>
            <w:b/>
            <w:sz w:val="32"/>
          </w:rPr>
          <w:t>T</w:t>
        </w:r>
        <w:r w:rsidRPr="00180F60">
          <w:rPr>
            <w:b/>
            <w:sz w:val="32"/>
          </w:rPr>
          <w:t>reatment of Pseudo-Ties</w:t>
        </w:r>
      </w:p>
    </w:sdtContent>
  </w:sdt>
  <w:p w:rsidR="0058580D" w:rsidRDefault="005858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B51"/>
    <w:multiLevelType w:val="hybridMultilevel"/>
    <w:tmpl w:val="4CBC5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E4DE9"/>
    <w:multiLevelType w:val="hybridMultilevel"/>
    <w:tmpl w:val="6CA2E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25BC"/>
    <w:multiLevelType w:val="hybridMultilevel"/>
    <w:tmpl w:val="CE2AA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70201"/>
    <w:multiLevelType w:val="hybridMultilevel"/>
    <w:tmpl w:val="38068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A1366"/>
    <w:multiLevelType w:val="hybridMultilevel"/>
    <w:tmpl w:val="C0E23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00148"/>
    <w:multiLevelType w:val="hybridMultilevel"/>
    <w:tmpl w:val="87065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456BB"/>
    <w:multiLevelType w:val="hybridMultilevel"/>
    <w:tmpl w:val="4CBC5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B0919"/>
    <w:multiLevelType w:val="hybridMultilevel"/>
    <w:tmpl w:val="75526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28E"/>
    <w:rsid w:val="0000724E"/>
    <w:rsid w:val="001554E5"/>
    <w:rsid w:val="00180F60"/>
    <w:rsid w:val="00196C56"/>
    <w:rsid w:val="001D2B15"/>
    <w:rsid w:val="00215FE2"/>
    <w:rsid w:val="00255424"/>
    <w:rsid w:val="00285FE5"/>
    <w:rsid w:val="00365B94"/>
    <w:rsid w:val="003709E6"/>
    <w:rsid w:val="003A292B"/>
    <w:rsid w:val="00421054"/>
    <w:rsid w:val="004A172D"/>
    <w:rsid w:val="004C1D3B"/>
    <w:rsid w:val="004F74FC"/>
    <w:rsid w:val="0051083D"/>
    <w:rsid w:val="0058580D"/>
    <w:rsid w:val="0063763C"/>
    <w:rsid w:val="006E5FC6"/>
    <w:rsid w:val="00767D83"/>
    <w:rsid w:val="007800CE"/>
    <w:rsid w:val="00826029"/>
    <w:rsid w:val="008712E5"/>
    <w:rsid w:val="008833B0"/>
    <w:rsid w:val="008C03B4"/>
    <w:rsid w:val="008D5181"/>
    <w:rsid w:val="00953A5B"/>
    <w:rsid w:val="009C43EA"/>
    <w:rsid w:val="00A265D1"/>
    <w:rsid w:val="00A429CE"/>
    <w:rsid w:val="00A84086"/>
    <w:rsid w:val="00AA1F87"/>
    <w:rsid w:val="00AB3126"/>
    <w:rsid w:val="00B40D54"/>
    <w:rsid w:val="00BA1ABA"/>
    <w:rsid w:val="00CC5377"/>
    <w:rsid w:val="00D4228E"/>
    <w:rsid w:val="00D4338C"/>
    <w:rsid w:val="00D7585E"/>
    <w:rsid w:val="00E54AF5"/>
    <w:rsid w:val="00E957FC"/>
    <w:rsid w:val="00EC5B64"/>
    <w:rsid w:val="00EE6BAD"/>
    <w:rsid w:val="00F54604"/>
    <w:rsid w:val="00FE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83"/>
  </w:style>
  <w:style w:type="paragraph" w:styleId="Heading1">
    <w:name w:val="heading 1"/>
    <w:basedOn w:val="Normal"/>
    <w:next w:val="Normal"/>
    <w:link w:val="Heading1Char"/>
    <w:uiPriority w:val="9"/>
    <w:qFormat/>
    <w:rsid w:val="00007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2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2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F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80D"/>
  </w:style>
  <w:style w:type="paragraph" w:styleId="Footer">
    <w:name w:val="footer"/>
    <w:basedOn w:val="Normal"/>
    <w:link w:val="FooterChar"/>
    <w:uiPriority w:val="99"/>
    <w:unhideWhenUsed/>
    <w:rsid w:val="00585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80D"/>
  </w:style>
  <w:style w:type="paragraph" w:styleId="BalloonText">
    <w:name w:val="Balloon Text"/>
    <w:basedOn w:val="Normal"/>
    <w:link w:val="BalloonTextChar"/>
    <w:uiPriority w:val="99"/>
    <w:semiHidden/>
    <w:unhideWhenUsed/>
    <w:rsid w:val="0058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8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5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1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1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18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09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09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9E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0724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072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72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07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724E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00724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0724E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5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sb.org/pdf4/er13001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E2A96"/>
    <w:rsid w:val="000606FB"/>
    <w:rsid w:val="00130835"/>
    <w:rsid w:val="00CE2A96"/>
    <w:rsid w:val="00D3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E54A383976421492815CB64B499655">
    <w:name w:val="F1E54A383976421492815CB64B499655"/>
    <w:rsid w:val="00CE2A96"/>
  </w:style>
  <w:style w:type="paragraph" w:customStyle="1" w:styleId="ABE47255CF424A9683C41C02850FC24B">
    <w:name w:val="ABE47255CF424A9683C41C02850FC24B"/>
    <w:rsid w:val="00CE2A9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75DBC-0318-4ADF-A348-4EB35091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OASIS treatment of Pseudo-Ties</vt:lpstr>
    </vt:vector>
  </TitlesOfParts>
  <Company>Duke Energy</Company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OASIS Treatment of Pseudo-Ties</dc:title>
  <dc:subject/>
  <dc:creator>Alan Pritchard</dc:creator>
  <cp:keywords/>
  <dc:description/>
  <cp:lastModifiedBy>Alan Pritchard</cp:lastModifiedBy>
  <cp:revision>2</cp:revision>
  <dcterms:created xsi:type="dcterms:W3CDTF">2013-10-01T19:40:00Z</dcterms:created>
  <dcterms:modified xsi:type="dcterms:W3CDTF">2013-10-01T19:40:00Z</dcterms:modified>
</cp:coreProperties>
</file>