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0E62FA17" w:rsidR="00C44C62" w:rsidRPr="000E5855" w:rsidRDefault="00C44C62" w:rsidP="00D62DE0">
      <w:pPr>
        <w:ind w:left="1440" w:hanging="1440"/>
      </w:pPr>
      <w:r w:rsidRPr="000E5855">
        <w:rPr>
          <w:b/>
          <w:bCs/>
        </w:rPr>
        <w:t>RE:</w:t>
      </w:r>
      <w:r w:rsidRPr="000E5855">
        <w:rPr>
          <w:b/>
          <w:bCs/>
        </w:rPr>
        <w:tab/>
      </w:r>
      <w:r w:rsidR="00230ECA">
        <w:t xml:space="preserve">Draft Minutes from </w:t>
      </w:r>
      <w:r w:rsidR="00AC0D11">
        <w:t>September 15</w:t>
      </w:r>
      <w:r w:rsidR="000B0FB1">
        <w:t>, 2021</w:t>
      </w:r>
      <w:r w:rsidR="00230ECA">
        <w:t xml:space="preserve"> WEQ BPS </w:t>
      </w:r>
      <w:r w:rsidR="00A856C9">
        <w:t>Meeti</w:t>
      </w:r>
      <w:r w:rsidR="00230ECA">
        <w:t>ng</w:t>
      </w:r>
    </w:p>
    <w:p w14:paraId="7C63E7B7" w14:textId="3247A73D"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85377F">
        <w:t xml:space="preserve">September </w:t>
      </w:r>
      <w:r w:rsidR="00AC0D11">
        <w:t>16</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162D765D" w:rsidR="00C44C62" w:rsidRDefault="00AC0D11" w:rsidP="00EA2474">
      <w:pPr>
        <w:widowControl w:val="0"/>
        <w:jc w:val="center"/>
        <w:outlineLvl w:val="2"/>
        <w:rPr>
          <w:b/>
          <w:bCs/>
        </w:rPr>
      </w:pPr>
      <w:r>
        <w:rPr>
          <w:b/>
          <w:bCs/>
        </w:rPr>
        <w:t>September 15</w:t>
      </w:r>
      <w:r w:rsidR="000B0FB1">
        <w:rPr>
          <w:b/>
          <w:bCs/>
        </w:rPr>
        <w:t>, 2021</w:t>
      </w:r>
      <w:r w:rsidR="00B70957">
        <w:rPr>
          <w:b/>
          <w:bCs/>
        </w:rPr>
        <w:t xml:space="preserve"> – </w:t>
      </w:r>
      <w:r w:rsidR="00345320">
        <w:rPr>
          <w:b/>
          <w:bCs/>
        </w:rPr>
        <w:t>1</w:t>
      </w:r>
      <w:r w:rsidR="00F250F8">
        <w:rPr>
          <w:b/>
          <w:bCs/>
        </w:rPr>
        <w:t>:</w:t>
      </w:r>
      <w:r w:rsidR="00437FB7">
        <w:rPr>
          <w:b/>
          <w:bCs/>
        </w:rPr>
        <w:t>0</w:t>
      </w:r>
      <w:r w:rsidR="00F250F8">
        <w:rPr>
          <w:b/>
          <w:bCs/>
        </w:rPr>
        <w:t xml:space="preserve">0 </w:t>
      </w:r>
      <w:r w:rsidR="00371BEA">
        <w:rPr>
          <w:b/>
          <w:bCs/>
        </w:rPr>
        <w:t>P</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56E36691"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t>on a motion by Mr. Foley.</w:t>
      </w:r>
    </w:p>
    <w:p w14:paraId="4515604A" w14:textId="67DCB5A0" w:rsidR="00345320" w:rsidRDefault="00345320" w:rsidP="008F22D4">
      <w:pPr>
        <w:spacing w:after="120"/>
        <w:jc w:val="both"/>
      </w:pPr>
      <w:r>
        <w:t xml:space="preserve">The participants reviewed the draft minutes from the </w:t>
      </w:r>
      <w:r w:rsidR="001F036C">
        <w:t xml:space="preserve">August </w:t>
      </w:r>
      <w:r w:rsidR="00790D69">
        <w:t>19</w:t>
      </w:r>
      <w:r>
        <w:t xml:space="preserve">, 2021 meeting.  </w:t>
      </w:r>
      <w:r w:rsidR="00790D69">
        <w:t>No changes were offered.</w:t>
      </w:r>
      <w:r w:rsidR="00DD782E">
        <w:t xml:space="preserve">  </w:t>
      </w:r>
      <w:r w:rsidR="001F036C">
        <w:t xml:space="preserve">Mr. </w:t>
      </w:r>
      <w:r w:rsidR="00790D69">
        <w:t>Foley</w:t>
      </w:r>
      <w:r w:rsidR="00BC34A9">
        <w:t xml:space="preserve"> </w:t>
      </w:r>
      <w:r>
        <w:t xml:space="preserve">moved, seconded by </w:t>
      </w:r>
      <w:r w:rsidR="007005B5">
        <w:t>Mr.</w:t>
      </w:r>
      <w:r w:rsidR="00BC34A9">
        <w:t xml:space="preserve"> </w:t>
      </w:r>
      <w:r w:rsidR="00790D69">
        <w:t>Stewart</w:t>
      </w:r>
      <w:r w:rsidR="00DD782E">
        <w:t>,</w:t>
      </w:r>
      <w:r>
        <w:t xml:space="preserve"> to adopt the </w:t>
      </w:r>
      <w:r w:rsidR="00FB2843">
        <w:t>draft minutes as final.  The motion passed a simple majority vote without opposition.  The final meeting minutes are available at the following link:</w:t>
      </w:r>
      <w:r w:rsidR="00C5381A">
        <w:t xml:space="preserve"> </w:t>
      </w:r>
      <w:hyperlink r:id="rId8" w:history="1">
        <w:r w:rsidR="00790D69" w:rsidRPr="005C3A7D">
          <w:rPr>
            <w:rStyle w:val="Hyperlink"/>
          </w:rPr>
          <w:t>https://naesb.org//pdf4/weq_bps081921fm.docx</w:t>
        </w:r>
      </w:hyperlink>
      <w:r w:rsidR="00790D69">
        <w:t xml:space="preserve">. </w:t>
      </w:r>
    </w:p>
    <w:p w14:paraId="51910666" w14:textId="79A71641" w:rsidR="0085377F" w:rsidRDefault="0085377F" w:rsidP="004B32C5">
      <w:pPr>
        <w:widowControl w:val="0"/>
        <w:numPr>
          <w:ilvl w:val="0"/>
          <w:numId w:val="11"/>
        </w:numPr>
        <w:tabs>
          <w:tab w:val="left" w:pos="1440"/>
        </w:tabs>
        <w:spacing w:before="120" w:after="120"/>
        <w:jc w:val="both"/>
        <w:rPr>
          <w:b/>
          <w:bCs/>
        </w:rPr>
      </w:pPr>
      <w:r>
        <w:rPr>
          <w:b/>
          <w:bCs/>
        </w:rPr>
        <w:t>Continue to Discuss 2021 WEQ Annual Plan Item 7 – Develop and/or modify standards for information and reporting requirements to support battery storage/energy storage and, more broadly, distributed energy resources in front and behind the meter</w:t>
      </w:r>
    </w:p>
    <w:p w14:paraId="1A0DA38B" w14:textId="75671426" w:rsidR="00647294" w:rsidRDefault="007E477E" w:rsidP="004B32C5">
      <w:pPr>
        <w:widowControl w:val="0"/>
        <w:tabs>
          <w:tab w:val="left" w:pos="1440"/>
        </w:tabs>
        <w:spacing w:before="120" w:after="120"/>
        <w:jc w:val="both"/>
      </w:pPr>
      <w:r>
        <w:t xml:space="preserve">Mr. Phillips stated that during the previous meeting, the participants had begun to develop a </w:t>
      </w:r>
      <w:hyperlink r:id="rId9" w:history="1">
        <w:r w:rsidRPr="0091378A">
          <w:rPr>
            <w:rStyle w:val="Hyperlink"/>
          </w:rPr>
          <w:t>use case</w:t>
        </w:r>
      </w:hyperlink>
      <w:r>
        <w:t xml:space="preserve"> to identify the types of information that would be needed as part of the registration process regarding DER aggregations from an ISO/RTO perspective.  The participants reviewed the work paper.</w:t>
      </w:r>
    </w:p>
    <w:p w14:paraId="5A781E3B" w14:textId="4A2CA1DC" w:rsidR="007E477E" w:rsidRDefault="007E477E" w:rsidP="004B32C5">
      <w:pPr>
        <w:widowControl w:val="0"/>
        <w:tabs>
          <w:tab w:val="left" w:pos="1440"/>
        </w:tabs>
        <w:spacing w:before="120" w:after="120"/>
        <w:jc w:val="both"/>
      </w:pPr>
      <w:r>
        <w:t xml:space="preserve">Mr. Rahimi suggested that </w:t>
      </w:r>
      <w:r w:rsidR="0076423E">
        <w:t>the participants create two use cases, one to address information that may be needed as part of the registration for DER aggregations and a second to address information that may be needed regarding the individual resources that comprise the aggregation.</w:t>
      </w:r>
      <w:r w:rsidR="004B32C5">
        <w:t xml:space="preserve">  He stated that while some ISOs/RTOs may only want information regarding the aggregation, some may require more granular information regarding the individual resources.  There was general agreement to create separate use cases to cover each scenario.</w:t>
      </w:r>
      <w:r w:rsidR="008F3295">
        <w:t xml:space="preserve">  Mr. Rahimi asked if the intent of the use cases was to cover all possible scenarios or basic registration information.  Mr. Phillips s</w:t>
      </w:r>
      <w:r w:rsidR="009D6569">
        <w:t>tated that the intent in creating the use cases had been to address basic registration information requirements but that the use cases could be expanded as suggested by participants.</w:t>
      </w:r>
    </w:p>
    <w:p w14:paraId="72B3A85A" w14:textId="124754AD" w:rsidR="004B32C5" w:rsidRDefault="0044329D" w:rsidP="004B32C5">
      <w:pPr>
        <w:widowControl w:val="0"/>
        <w:tabs>
          <w:tab w:val="left" w:pos="1440"/>
        </w:tabs>
        <w:spacing w:before="120" w:after="120"/>
        <w:jc w:val="both"/>
      </w:pPr>
      <w:r>
        <w:t xml:space="preserve">The participants discussed the categories of information for the first use case.  As part of geographic information, there was general agreement to </w:t>
      </w:r>
      <w:r w:rsidR="00BE1A42">
        <w:t xml:space="preserve">remove postal address, time zone, and P.O. box numbers.  The participants discussed the grid information and zonal information categories.  Mr. Rahimi suggested that in addition to load zone, </w:t>
      </w:r>
      <w:r w:rsidR="004A6C7E">
        <w:t>there also be an option to define a more granular or custom level of information to accommodate various practices within the ISOs/RTOs.  There was general agreement to make this change by adding load aggregation point as well as reserve zone and capacity zone.</w:t>
      </w:r>
    </w:p>
    <w:p w14:paraId="55882226" w14:textId="2FB951FA" w:rsidR="004A6C7E" w:rsidRDefault="004A6C7E" w:rsidP="004B32C5">
      <w:pPr>
        <w:widowControl w:val="0"/>
        <w:tabs>
          <w:tab w:val="left" w:pos="1440"/>
        </w:tabs>
        <w:spacing w:before="120" w:after="120"/>
        <w:jc w:val="both"/>
      </w:pPr>
      <w:r>
        <w:t xml:space="preserve">The participants discussed the market nodal information category.  Mr. Rahimi </w:t>
      </w:r>
      <w:r w:rsidR="00961C4C">
        <w:t xml:space="preserve">asked if the intent is to limit an aggregation to a single pricing node under which it could be defined.  Mr. Phillips stated that this piece of information may be more related to the settlement or accounting process than the registration process.  Mr. Rahimi stated that some ISOs/RTOs, such as CAISO, allow multiple pricing nodes to be used in defining an aggregation.  </w:t>
      </w:r>
      <w:r w:rsidR="00961C4C">
        <w:lastRenderedPageBreak/>
        <w:t xml:space="preserve">He suggested that the use case indicate that </w:t>
      </w:r>
      <w:r w:rsidR="0009092F">
        <w:t>an aggregation may or may not be contained to a single pricing node.  There was general agreement to make this change.</w:t>
      </w:r>
    </w:p>
    <w:p w14:paraId="738AC201" w14:textId="5BC0C4CF" w:rsidR="0009092F" w:rsidRDefault="0009092F" w:rsidP="004B32C5">
      <w:pPr>
        <w:widowControl w:val="0"/>
        <w:tabs>
          <w:tab w:val="left" w:pos="1440"/>
        </w:tabs>
        <w:spacing w:before="120" w:after="120"/>
        <w:jc w:val="both"/>
      </w:pPr>
      <w:r>
        <w:t xml:space="preserve">The participants discussed the electrical node information category.  Mr. Rahimi stated that some of the details, such as meter and phase information, would be important regarding individual resources but is likely not information needed by the ISO/RTO regarding aggregation registrations.  </w:t>
      </w:r>
      <w:r w:rsidR="00FC52CD">
        <w:t>There was general agreement.</w:t>
      </w:r>
    </w:p>
    <w:p w14:paraId="0D4B12BE" w14:textId="59859EE2" w:rsidR="00FC52CD" w:rsidRDefault="00FC52CD" w:rsidP="004B32C5">
      <w:pPr>
        <w:widowControl w:val="0"/>
        <w:tabs>
          <w:tab w:val="left" w:pos="1440"/>
        </w:tabs>
        <w:spacing w:before="120" w:after="120"/>
        <w:jc w:val="both"/>
      </w:pPr>
      <w:r>
        <w:t xml:space="preserve">The participants added categories to identify the market participant or aggregator name as well as the metering agent.  Mr. Rahimi stated that the metering agent could be the market participant </w:t>
      </w:r>
      <w:r w:rsidR="00DC7BFD">
        <w:t xml:space="preserve">or distribution utility </w:t>
      </w:r>
      <w:r>
        <w:t xml:space="preserve">but that there are instances in which </w:t>
      </w:r>
      <w:r w:rsidR="00DC7BFD">
        <w:t>the service is procured through a third-party provider.</w:t>
      </w:r>
    </w:p>
    <w:p w14:paraId="70BF5613" w14:textId="5F66F4A5" w:rsidR="00DC7BFD" w:rsidRDefault="00DC7BFD" w:rsidP="004B32C5">
      <w:pPr>
        <w:widowControl w:val="0"/>
        <w:tabs>
          <w:tab w:val="left" w:pos="1440"/>
        </w:tabs>
        <w:spacing w:before="120" w:after="120"/>
        <w:jc w:val="both"/>
      </w:pPr>
      <w:r>
        <w:t xml:space="preserve">The participants discussed the balancing authority area category.  Mr. Rahimi stated </w:t>
      </w:r>
      <w:r w:rsidR="00C414F9">
        <w:t xml:space="preserve">a likely key piece of information that will be needed is if the aggregation is contained wholly within a balancing authority footprint or if there are resources that are pseudo-tied or dynamically scheduled into the footprint.  Mr. Phillips stated that aggregations </w:t>
      </w:r>
      <w:r w:rsidR="008F3295">
        <w:t xml:space="preserve">will likely need to be </w:t>
      </w:r>
      <w:r w:rsidR="00C414F9">
        <w:t>physically within the SPP footprint to register</w:t>
      </w:r>
      <w:r w:rsidR="008F3295">
        <w:t xml:space="preserve"> with SPP.</w:t>
      </w:r>
      <w:r w:rsidR="009D6569">
        <w:t xml:space="preserve">  Mr. Rahimi stated that inter-area and intra-area ties are likely not needed but suggested that </w:t>
      </w:r>
      <w:r w:rsidR="00A2405C">
        <w:t>the use case retain pseudo-ties and add dynamic schedules to accommodate any ISOs/RTOs that may contemplate allowing an aggregation to be tied into its footprint.  Mr. Phillips stated that this could be an area on which the subcommittee seeks feedback from the industry.</w:t>
      </w:r>
    </w:p>
    <w:p w14:paraId="0BC442CC" w14:textId="2A8802CE" w:rsidR="00A2405C" w:rsidRDefault="002232FE" w:rsidP="004B32C5">
      <w:pPr>
        <w:widowControl w:val="0"/>
        <w:tabs>
          <w:tab w:val="left" w:pos="1440"/>
        </w:tabs>
        <w:spacing w:before="120" w:after="120"/>
        <w:jc w:val="both"/>
      </w:pPr>
      <w:r>
        <w:t xml:space="preserve">Mr. Rahimi stated that double counting is an issue that would be better addressed through some sort of certificate or attestation rather than as part of balancing area associated data.  Mr. Phillips stated that SPP is developing market rules that would require an attestation by the DER aggregator.  Mr. Rahimi </w:t>
      </w:r>
      <w:r w:rsidR="00CD7CB1">
        <w:t>suggested that an attestation/certificate category be added to address double counting, attestations from distribution utilities and/or load serving entities, and necessary permissions from any relevant electric retail regulatory authority.</w:t>
      </w:r>
    </w:p>
    <w:p w14:paraId="3EE06A0F" w14:textId="79BE4465" w:rsidR="00CD7CB1" w:rsidRDefault="00CD7CB1" w:rsidP="004B32C5">
      <w:pPr>
        <w:widowControl w:val="0"/>
        <w:tabs>
          <w:tab w:val="left" w:pos="1440"/>
        </w:tabs>
        <w:spacing w:before="120" w:after="120"/>
        <w:jc w:val="both"/>
      </w:pPr>
      <w:r>
        <w:t xml:space="preserve">The participants reviewed the operational characteristics and identified 15 potential areas that would likely be relevant to DER aggregation registrations, including nameplate capacity, maximum and minimum run times, </w:t>
      </w:r>
      <w:r w:rsidR="0028754F">
        <w:t xml:space="preserve">the aggregation type (homogeneous versus heterogeneous), and the market product eligibility.  Mr. Rahimi suggested that the participants create a separate category for the previously identified information that appeared to not be needed but could not be completely ruled out.  </w:t>
      </w:r>
      <w:r w:rsidR="00A0513E">
        <w:t>Mr. Phillips agreed.</w:t>
      </w:r>
    </w:p>
    <w:p w14:paraId="5D7EA066" w14:textId="77777777" w:rsidR="003148E5" w:rsidRDefault="00A0513E" w:rsidP="004B32C5">
      <w:pPr>
        <w:widowControl w:val="0"/>
        <w:tabs>
          <w:tab w:val="left" w:pos="1440"/>
        </w:tabs>
        <w:spacing w:before="120" w:after="120"/>
        <w:jc w:val="both"/>
      </w:pPr>
      <w:r>
        <w:t>The participants reviewed the same listing of information for the second use case to identify the types of registration information for individual resources that may be needed from an ISO/RTO perspective.  Mr. Rahimi stated that much of the information will likely be the same as the first use case</w:t>
      </w:r>
      <w:r w:rsidR="00954803">
        <w:t xml:space="preserve"> but noted that more detailed information may be needed for some categories, such as electrical nodal information.  </w:t>
      </w:r>
      <w:r w:rsidR="003148E5">
        <w:t xml:space="preserve">There was general </w:t>
      </w:r>
      <w:proofErr w:type="spellStart"/>
      <w:r w:rsidR="003148E5">
        <w:t>agreement.</w:t>
      </w:r>
      <w:proofErr w:type="spellEnd"/>
    </w:p>
    <w:p w14:paraId="01615993" w14:textId="73EF1DCE" w:rsidR="00E20D6B" w:rsidRDefault="003148E5" w:rsidP="004B32C5">
      <w:pPr>
        <w:widowControl w:val="0"/>
        <w:tabs>
          <w:tab w:val="left" w:pos="1440"/>
        </w:tabs>
        <w:spacing w:before="120" w:after="120"/>
        <w:jc w:val="both"/>
      </w:pPr>
      <w:r>
        <w:t xml:space="preserve">Mr. Rahimi </w:t>
      </w:r>
      <w:r w:rsidR="00954803">
        <w:t xml:space="preserve">stated that the types of operational information that would be needed regarding a singular resource would also likely be broader than </w:t>
      </w:r>
      <w:r>
        <w:t xml:space="preserve">that which is relevant to an aggregation.  He suggested that the additional operational characteristics would include data such as battery technology, battery or solar panel performance over time, operating status, </w:t>
      </w:r>
      <w:r w:rsidR="00E20D6B">
        <w:t xml:space="preserve">and weatherization applications.  The participants completed review of the operational characteristics, also creating a separate category for </w:t>
      </w:r>
      <w:r w:rsidR="00E20D6B">
        <w:t>previously identified information that appeared to not be needed but could not be completely ruled out</w:t>
      </w:r>
      <w:r w:rsidR="00E20D6B">
        <w:t>.</w:t>
      </w:r>
    </w:p>
    <w:p w14:paraId="50155E89" w14:textId="10E58E4E" w:rsidR="0026341B" w:rsidRDefault="0026341B" w:rsidP="004B32C5">
      <w:pPr>
        <w:widowControl w:val="0"/>
        <w:numPr>
          <w:ilvl w:val="0"/>
          <w:numId w:val="11"/>
        </w:numPr>
        <w:tabs>
          <w:tab w:val="left" w:pos="1440"/>
        </w:tabs>
        <w:spacing w:before="120" w:after="120"/>
        <w:jc w:val="both"/>
        <w:rPr>
          <w:b/>
          <w:bCs/>
        </w:rPr>
      </w:pPr>
      <w:r>
        <w:rPr>
          <w:b/>
          <w:bCs/>
        </w:rPr>
        <w:t>Next Steps/Review Action Items</w:t>
      </w:r>
    </w:p>
    <w:p w14:paraId="447540EA" w14:textId="79C345D1" w:rsidR="007D37E5" w:rsidRDefault="00E20D6B" w:rsidP="004B32C5">
      <w:pPr>
        <w:widowControl w:val="0"/>
        <w:tabs>
          <w:tab w:val="left" w:pos="1440"/>
          <w:tab w:val="num" w:pos="1620"/>
          <w:tab w:val="num" w:pos="2160"/>
        </w:tabs>
        <w:spacing w:before="120" w:after="120"/>
        <w:jc w:val="both"/>
        <w:rPr>
          <w:bCs/>
        </w:rPr>
      </w:pPr>
      <w:r>
        <w:rPr>
          <w:bCs/>
        </w:rPr>
        <w:t>Mr. Phillips stated that now that the two use cases are completed, a helpful next step may be to get industry feedback through an informal comment period.</w:t>
      </w:r>
      <w:r w:rsidR="00C01BFD">
        <w:rPr>
          <w:bCs/>
        </w:rPr>
        <w:t xml:space="preserve">  Ms. Trum stated that the participants may want to create a separate document for the use cases</w:t>
      </w:r>
      <w:r w:rsidR="00B7548D">
        <w:rPr>
          <w:bCs/>
        </w:rPr>
        <w:t xml:space="preserve"> and provide additional context to assist in review of the document</w:t>
      </w:r>
      <w:r w:rsidR="00C01BFD">
        <w:rPr>
          <w:bCs/>
        </w:rPr>
        <w:t xml:space="preserve">.  Mr. Phillips </w:t>
      </w:r>
      <w:r w:rsidR="00B7548D">
        <w:rPr>
          <w:bCs/>
        </w:rPr>
        <w:t xml:space="preserve">asked Ms. Trum to insert the use cases into a new document and suggested that </w:t>
      </w:r>
      <w:r w:rsidR="00FE4FAC">
        <w:rPr>
          <w:bCs/>
        </w:rPr>
        <w:t>at the October 13 meeting, the participants review the documents to identify how they will be used to develop draft standards.</w:t>
      </w:r>
    </w:p>
    <w:p w14:paraId="0D263C56" w14:textId="3F88393D" w:rsidR="00FE4FAC" w:rsidRDefault="00FE4FAC" w:rsidP="004B32C5">
      <w:pPr>
        <w:widowControl w:val="0"/>
        <w:tabs>
          <w:tab w:val="left" w:pos="1440"/>
          <w:tab w:val="num" w:pos="1620"/>
          <w:tab w:val="num" w:pos="2160"/>
        </w:tabs>
        <w:spacing w:before="120" w:after="120"/>
        <w:jc w:val="both"/>
      </w:pPr>
      <w:r>
        <w:t xml:space="preserve">Ms. Trum stated that the WEQ BPS has a meeting scheduled for September 22 to review any formal comments that may be submitted in response to the recommendations to address 2021 WEQ Annual Plan Item 1.a and 2021 WEQ Annual Plan Item 3.a.iii.  She stated that the formal comment period for both recommendations </w:t>
      </w:r>
      <w:proofErr w:type="gramStart"/>
      <w:r>
        <w:t>ends</w:t>
      </w:r>
      <w:proofErr w:type="gramEnd"/>
      <w:r>
        <w:t xml:space="preserve"> on </w:t>
      </w:r>
      <w:r>
        <w:lastRenderedPageBreak/>
        <w:t>September 20.  An agenda for the meeting is posted to the WEQ BPS page of the NAESB website.</w:t>
      </w:r>
    </w:p>
    <w:p w14:paraId="6808B698" w14:textId="4623C2D4" w:rsidR="00FE4FAC" w:rsidRDefault="0091378A" w:rsidP="004B32C5">
      <w:pPr>
        <w:widowControl w:val="0"/>
        <w:tabs>
          <w:tab w:val="left" w:pos="1440"/>
          <w:tab w:val="num" w:pos="1620"/>
          <w:tab w:val="num" w:pos="2160"/>
        </w:tabs>
        <w:spacing w:before="120" w:after="120"/>
        <w:jc w:val="both"/>
      </w:pPr>
      <w:r>
        <w:t xml:space="preserve">The DER Registration Use Cases is available at the following link: </w:t>
      </w:r>
      <w:hyperlink r:id="rId10" w:history="1">
        <w:r w:rsidRPr="005C3A7D">
          <w:rPr>
            <w:rStyle w:val="Hyperlink"/>
          </w:rPr>
          <w:t>https://naesb.org//pdf4/weq_bps091521a1.docx</w:t>
        </w:r>
      </w:hyperlink>
      <w:r>
        <w:t xml:space="preserve"> </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1F052CA0"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F708B2">
        <w:rPr>
          <w:bCs/>
        </w:rPr>
        <w:t>3:</w:t>
      </w:r>
      <w:r w:rsidR="00B7548D">
        <w:rPr>
          <w:bCs/>
        </w:rPr>
        <w:t>48</w:t>
      </w:r>
      <w:r w:rsidR="00AB1FB8">
        <w:rPr>
          <w:bCs/>
        </w:rPr>
        <w:t xml:space="preserve"> </w:t>
      </w:r>
      <w:r w:rsidR="00FF2568">
        <w:rPr>
          <w:bCs/>
        </w:rPr>
        <w:t xml:space="preserve">PM Central </w:t>
      </w:r>
      <w:r w:rsidR="00B7548D">
        <w:rPr>
          <w:bCs/>
        </w:rPr>
        <w:t>on a motion by Mr. Rahimi.</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9E0FED" w:rsidRPr="00286562" w14:paraId="72EC0B24" w14:textId="77777777" w:rsidTr="001262CB">
        <w:tc>
          <w:tcPr>
            <w:tcW w:w="1998" w:type="dxa"/>
            <w:tcMar>
              <w:top w:w="0" w:type="dxa"/>
              <w:left w:w="108" w:type="dxa"/>
              <w:bottom w:w="0" w:type="dxa"/>
              <w:right w:w="108" w:type="dxa"/>
            </w:tcMar>
          </w:tcPr>
          <w:p w14:paraId="2C4ECBA6" w14:textId="1D0630A3" w:rsidR="009E0FED" w:rsidRPr="00AC0D11" w:rsidRDefault="009E0FED" w:rsidP="004C02E7">
            <w:pPr>
              <w:keepNext/>
              <w:keepLines/>
              <w:widowControl w:val="0"/>
              <w:spacing w:before="120"/>
              <w:rPr>
                <w:bCs/>
              </w:rPr>
            </w:pPr>
            <w:r>
              <w:rPr>
                <w:bCs/>
              </w:rPr>
              <w:t>Scott</w:t>
            </w:r>
          </w:p>
        </w:tc>
        <w:tc>
          <w:tcPr>
            <w:tcW w:w="3240" w:type="dxa"/>
            <w:tcMar>
              <w:top w:w="0" w:type="dxa"/>
              <w:left w:w="108" w:type="dxa"/>
              <w:bottom w:w="0" w:type="dxa"/>
              <w:right w:w="108" w:type="dxa"/>
            </w:tcMar>
          </w:tcPr>
          <w:p w14:paraId="65E75CE5" w14:textId="1AD15570" w:rsidR="009E0FED" w:rsidRPr="00AC0D11" w:rsidRDefault="009E0FED" w:rsidP="004C02E7">
            <w:pPr>
              <w:keepNext/>
              <w:keepLines/>
              <w:widowControl w:val="0"/>
              <w:spacing w:before="120"/>
              <w:rPr>
                <w:bCs/>
              </w:rPr>
            </w:pPr>
            <w:r>
              <w:rPr>
                <w:bCs/>
              </w:rPr>
              <w:t>Brown</w:t>
            </w:r>
          </w:p>
        </w:tc>
        <w:tc>
          <w:tcPr>
            <w:tcW w:w="3870" w:type="dxa"/>
            <w:tcMar>
              <w:top w:w="0" w:type="dxa"/>
              <w:left w:w="108" w:type="dxa"/>
              <w:bottom w:w="0" w:type="dxa"/>
              <w:right w:w="108" w:type="dxa"/>
            </w:tcMar>
          </w:tcPr>
          <w:p w14:paraId="77E3A2DE" w14:textId="2A3E1D85" w:rsidR="009E0FED" w:rsidRPr="00AC0D11" w:rsidRDefault="009E0FED" w:rsidP="004C02E7">
            <w:pPr>
              <w:keepNext/>
              <w:keepLines/>
              <w:widowControl w:val="0"/>
              <w:spacing w:before="120"/>
              <w:rPr>
                <w:bCs/>
              </w:rPr>
            </w:pPr>
            <w:r>
              <w:rPr>
                <w:bCs/>
              </w:rPr>
              <w:t>SPP</w:t>
            </w:r>
          </w:p>
        </w:tc>
      </w:tr>
      <w:tr w:rsidR="00AC0D11" w:rsidRPr="00286562" w14:paraId="11B9A438" w14:textId="77777777" w:rsidTr="001262CB">
        <w:tc>
          <w:tcPr>
            <w:tcW w:w="1998" w:type="dxa"/>
            <w:tcMar>
              <w:top w:w="0" w:type="dxa"/>
              <w:left w:w="108" w:type="dxa"/>
              <w:bottom w:w="0" w:type="dxa"/>
              <w:right w:w="108" w:type="dxa"/>
            </w:tcMar>
          </w:tcPr>
          <w:p w14:paraId="330463D9" w14:textId="3EF5DE0D" w:rsidR="00AC0D11" w:rsidRPr="00AC0D11" w:rsidRDefault="00AC0D11" w:rsidP="004C02E7">
            <w:pPr>
              <w:keepNext/>
              <w:keepLines/>
              <w:widowControl w:val="0"/>
              <w:spacing w:before="120"/>
              <w:rPr>
                <w:bCs/>
              </w:rPr>
            </w:pPr>
            <w:r w:rsidRPr="00AC0D11">
              <w:rPr>
                <w:bCs/>
              </w:rPr>
              <w:t>Kevin</w:t>
            </w:r>
          </w:p>
        </w:tc>
        <w:tc>
          <w:tcPr>
            <w:tcW w:w="3240" w:type="dxa"/>
            <w:tcMar>
              <w:top w:w="0" w:type="dxa"/>
              <w:left w:w="108" w:type="dxa"/>
              <w:bottom w:w="0" w:type="dxa"/>
              <w:right w:w="108" w:type="dxa"/>
            </w:tcMar>
          </w:tcPr>
          <w:p w14:paraId="4A774F4D" w14:textId="56CA03C7" w:rsidR="00AC0D11" w:rsidRPr="00AC0D11" w:rsidRDefault="00AC0D11" w:rsidP="004C02E7">
            <w:pPr>
              <w:keepNext/>
              <w:keepLines/>
              <w:widowControl w:val="0"/>
              <w:spacing w:before="120"/>
              <w:rPr>
                <w:bCs/>
              </w:rPr>
            </w:pPr>
            <w:r w:rsidRPr="00AC0D11">
              <w:rPr>
                <w:bCs/>
              </w:rPr>
              <w:t>Burns</w:t>
            </w:r>
          </w:p>
        </w:tc>
        <w:tc>
          <w:tcPr>
            <w:tcW w:w="3870" w:type="dxa"/>
            <w:tcMar>
              <w:top w:w="0" w:type="dxa"/>
              <w:left w:w="108" w:type="dxa"/>
              <w:bottom w:w="0" w:type="dxa"/>
              <w:right w:w="108" w:type="dxa"/>
            </w:tcMar>
          </w:tcPr>
          <w:p w14:paraId="5E2A2426" w14:textId="255FE291" w:rsidR="00AC0D11" w:rsidRPr="00AC0D11" w:rsidRDefault="00AC0D11" w:rsidP="004C02E7">
            <w:pPr>
              <w:keepNext/>
              <w:keepLines/>
              <w:widowControl w:val="0"/>
              <w:spacing w:before="120"/>
              <w:rPr>
                <w:bCs/>
              </w:rPr>
            </w:pPr>
            <w:r w:rsidRPr="00AC0D11">
              <w:rPr>
                <w:bCs/>
              </w:rPr>
              <w:t>OATI</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AC0D11" w:rsidRDefault="00435CD4" w:rsidP="004C02E7">
            <w:pPr>
              <w:keepNext/>
              <w:keepLines/>
              <w:widowControl w:val="0"/>
              <w:spacing w:before="120"/>
              <w:rPr>
                <w:bCs/>
              </w:rPr>
            </w:pPr>
            <w:r w:rsidRPr="00AC0D11">
              <w:rPr>
                <w:bCs/>
              </w:rPr>
              <w:t>Patrick</w:t>
            </w:r>
          </w:p>
        </w:tc>
        <w:tc>
          <w:tcPr>
            <w:tcW w:w="3240" w:type="dxa"/>
            <w:tcMar>
              <w:top w:w="0" w:type="dxa"/>
              <w:left w:w="108" w:type="dxa"/>
              <w:bottom w:w="0" w:type="dxa"/>
              <w:right w:w="108" w:type="dxa"/>
            </w:tcMar>
          </w:tcPr>
          <w:p w14:paraId="68A1DE0F" w14:textId="5E4B57C9" w:rsidR="00435CD4" w:rsidRPr="00AC0D11" w:rsidRDefault="00435CD4" w:rsidP="004C02E7">
            <w:pPr>
              <w:keepNext/>
              <w:keepLines/>
              <w:widowControl w:val="0"/>
              <w:spacing w:before="120"/>
              <w:rPr>
                <w:bCs/>
              </w:rPr>
            </w:pPr>
            <w:r w:rsidRPr="00AC0D11">
              <w:rPr>
                <w:bCs/>
              </w:rPr>
              <w:t>Foley</w:t>
            </w:r>
          </w:p>
        </w:tc>
        <w:tc>
          <w:tcPr>
            <w:tcW w:w="3870" w:type="dxa"/>
            <w:tcMar>
              <w:top w:w="0" w:type="dxa"/>
              <w:left w:w="108" w:type="dxa"/>
              <w:bottom w:w="0" w:type="dxa"/>
              <w:right w:w="108" w:type="dxa"/>
            </w:tcMar>
          </w:tcPr>
          <w:p w14:paraId="24D0D2EC" w14:textId="656C331D" w:rsidR="00435CD4" w:rsidRPr="00AC0D11" w:rsidRDefault="00435CD4" w:rsidP="004C02E7">
            <w:pPr>
              <w:keepNext/>
              <w:keepLines/>
              <w:widowControl w:val="0"/>
              <w:spacing w:before="120"/>
              <w:rPr>
                <w:bCs/>
              </w:rPr>
            </w:pPr>
            <w:r w:rsidRPr="00AC0D11">
              <w:rPr>
                <w:bCs/>
              </w:rPr>
              <w:t>NV Energy</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AC0D11" w:rsidRDefault="00EF5489" w:rsidP="004C02E7">
            <w:pPr>
              <w:keepNext/>
              <w:keepLines/>
              <w:widowControl w:val="0"/>
              <w:spacing w:before="120"/>
              <w:rPr>
                <w:bCs/>
              </w:rPr>
            </w:pPr>
            <w:r w:rsidRPr="00AC0D11">
              <w:rPr>
                <w:bCs/>
              </w:rPr>
              <w:t>John</w:t>
            </w:r>
          </w:p>
        </w:tc>
        <w:tc>
          <w:tcPr>
            <w:tcW w:w="3240" w:type="dxa"/>
            <w:tcMar>
              <w:top w:w="0" w:type="dxa"/>
              <w:left w:w="108" w:type="dxa"/>
              <w:bottom w:w="0" w:type="dxa"/>
              <w:right w:w="108" w:type="dxa"/>
            </w:tcMar>
          </w:tcPr>
          <w:p w14:paraId="2A3CB4D2" w14:textId="21B24142" w:rsidR="00EF5489" w:rsidRPr="00AC0D11" w:rsidRDefault="00EF5489" w:rsidP="004C02E7">
            <w:pPr>
              <w:keepNext/>
              <w:keepLines/>
              <w:widowControl w:val="0"/>
              <w:spacing w:before="120"/>
              <w:rPr>
                <w:bCs/>
              </w:rPr>
            </w:pPr>
            <w:r w:rsidRPr="00AC0D11">
              <w:rPr>
                <w:bCs/>
              </w:rPr>
              <w:t>Pearson</w:t>
            </w:r>
          </w:p>
        </w:tc>
        <w:tc>
          <w:tcPr>
            <w:tcW w:w="3870" w:type="dxa"/>
            <w:tcMar>
              <w:top w:w="0" w:type="dxa"/>
              <w:left w:w="108" w:type="dxa"/>
              <w:bottom w:w="0" w:type="dxa"/>
              <w:right w:w="108" w:type="dxa"/>
            </w:tcMar>
          </w:tcPr>
          <w:p w14:paraId="75F19D19" w14:textId="7030D5DB" w:rsidR="00EF5489" w:rsidRPr="00AC0D11" w:rsidRDefault="00595BF1" w:rsidP="004C02E7">
            <w:pPr>
              <w:keepNext/>
              <w:keepLines/>
              <w:widowControl w:val="0"/>
              <w:spacing w:before="120"/>
              <w:rPr>
                <w:bCs/>
              </w:rPr>
            </w:pPr>
            <w:r w:rsidRPr="00AC0D11">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AC0D11" w:rsidRDefault="0087464A" w:rsidP="004C02E7">
            <w:pPr>
              <w:keepNext/>
              <w:keepLines/>
              <w:widowControl w:val="0"/>
              <w:spacing w:before="120"/>
              <w:rPr>
                <w:bCs/>
              </w:rPr>
            </w:pPr>
            <w:r w:rsidRPr="00AC0D11">
              <w:rPr>
                <w:bCs/>
              </w:rPr>
              <w:t>Joshua</w:t>
            </w:r>
          </w:p>
        </w:tc>
        <w:tc>
          <w:tcPr>
            <w:tcW w:w="3240" w:type="dxa"/>
            <w:tcMar>
              <w:top w:w="0" w:type="dxa"/>
              <w:left w:w="108" w:type="dxa"/>
              <w:bottom w:w="0" w:type="dxa"/>
              <w:right w:w="108" w:type="dxa"/>
            </w:tcMar>
          </w:tcPr>
          <w:p w14:paraId="69084BF0" w14:textId="15A10E77" w:rsidR="0087464A" w:rsidRPr="00AC0D11" w:rsidRDefault="0087464A" w:rsidP="004C02E7">
            <w:pPr>
              <w:keepNext/>
              <w:keepLines/>
              <w:widowControl w:val="0"/>
              <w:spacing w:before="120"/>
              <w:rPr>
                <w:bCs/>
              </w:rPr>
            </w:pPr>
            <w:r w:rsidRPr="00AC0D11">
              <w:rPr>
                <w:bCs/>
              </w:rPr>
              <w:t>Phillips</w:t>
            </w:r>
          </w:p>
        </w:tc>
        <w:tc>
          <w:tcPr>
            <w:tcW w:w="3870" w:type="dxa"/>
            <w:tcMar>
              <w:top w:w="0" w:type="dxa"/>
              <w:left w:w="108" w:type="dxa"/>
              <w:bottom w:w="0" w:type="dxa"/>
              <w:right w:w="108" w:type="dxa"/>
            </w:tcMar>
          </w:tcPr>
          <w:p w14:paraId="7E563689" w14:textId="3B8B00A3" w:rsidR="0087464A" w:rsidRPr="00AC0D11" w:rsidRDefault="0087464A" w:rsidP="004C02E7">
            <w:pPr>
              <w:keepNext/>
              <w:keepLines/>
              <w:widowControl w:val="0"/>
              <w:spacing w:before="120"/>
              <w:rPr>
                <w:bCs/>
              </w:rPr>
            </w:pPr>
            <w:r w:rsidRPr="00AC0D11">
              <w:rPr>
                <w:bCs/>
              </w:rPr>
              <w:t>SPP</w:t>
            </w:r>
          </w:p>
        </w:tc>
      </w:tr>
      <w:tr w:rsidR="00AC0D11" w:rsidRPr="00286562" w14:paraId="3BD1877F" w14:textId="77777777" w:rsidTr="001262CB">
        <w:tc>
          <w:tcPr>
            <w:tcW w:w="1998" w:type="dxa"/>
            <w:tcMar>
              <w:top w:w="0" w:type="dxa"/>
              <w:left w:w="108" w:type="dxa"/>
              <w:bottom w:w="0" w:type="dxa"/>
              <w:right w:w="108" w:type="dxa"/>
            </w:tcMar>
          </w:tcPr>
          <w:p w14:paraId="37899DEB" w14:textId="7AE3719F" w:rsidR="00AC0D11" w:rsidRPr="00AC0D11" w:rsidRDefault="00AC0D11" w:rsidP="004C02E7">
            <w:pPr>
              <w:keepNext/>
              <w:keepLines/>
              <w:widowControl w:val="0"/>
              <w:spacing w:before="120"/>
              <w:rPr>
                <w:bCs/>
              </w:rPr>
            </w:pPr>
            <w:r>
              <w:rPr>
                <w:bCs/>
              </w:rPr>
              <w:t>Farrokh</w:t>
            </w:r>
          </w:p>
        </w:tc>
        <w:tc>
          <w:tcPr>
            <w:tcW w:w="3240" w:type="dxa"/>
            <w:tcMar>
              <w:top w:w="0" w:type="dxa"/>
              <w:left w:w="108" w:type="dxa"/>
              <w:bottom w:w="0" w:type="dxa"/>
              <w:right w:w="108" w:type="dxa"/>
            </w:tcMar>
          </w:tcPr>
          <w:p w14:paraId="357C02C2" w14:textId="17D723B4" w:rsidR="00AC0D11" w:rsidRPr="00AC0D11" w:rsidRDefault="00AC0D11" w:rsidP="004C02E7">
            <w:pPr>
              <w:keepNext/>
              <w:keepLines/>
              <w:widowControl w:val="0"/>
              <w:spacing w:before="120"/>
              <w:rPr>
                <w:bCs/>
              </w:rPr>
            </w:pPr>
            <w:r>
              <w:rPr>
                <w:bCs/>
              </w:rPr>
              <w:t>Rahimi</w:t>
            </w:r>
          </w:p>
        </w:tc>
        <w:tc>
          <w:tcPr>
            <w:tcW w:w="3870" w:type="dxa"/>
            <w:tcMar>
              <w:top w:w="0" w:type="dxa"/>
              <w:left w:w="108" w:type="dxa"/>
              <w:bottom w:w="0" w:type="dxa"/>
              <w:right w:w="108" w:type="dxa"/>
            </w:tcMar>
          </w:tcPr>
          <w:p w14:paraId="7182A3C4" w14:textId="6C51313C" w:rsidR="00AC0D11" w:rsidRPr="00AC0D11" w:rsidRDefault="00AC0D11" w:rsidP="004C02E7">
            <w:pPr>
              <w:keepNext/>
              <w:keepLines/>
              <w:widowControl w:val="0"/>
              <w:spacing w:before="120"/>
              <w:rPr>
                <w:bCs/>
              </w:rPr>
            </w:pPr>
            <w:r>
              <w:rPr>
                <w:bCs/>
              </w:rPr>
              <w:t>OATI</w:t>
            </w:r>
          </w:p>
        </w:tc>
      </w:tr>
      <w:tr w:rsidR="00AC0D11" w:rsidRPr="00286562" w14:paraId="34902930" w14:textId="77777777" w:rsidTr="001262CB">
        <w:tc>
          <w:tcPr>
            <w:tcW w:w="1998" w:type="dxa"/>
            <w:tcMar>
              <w:top w:w="0" w:type="dxa"/>
              <w:left w:w="108" w:type="dxa"/>
              <w:bottom w:w="0" w:type="dxa"/>
              <w:right w:w="108" w:type="dxa"/>
            </w:tcMar>
          </w:tcPr>
          <w:p w14:paraId="1D5A4544" w14:textId="23C0AAF5" w:rsidR="00AC0D11" w:rsidRDefault="00AC0D11" w:rsidP="004C02E7">
            <w:pPr>
              <w:keepNext/>
              <w:keepLines/>
              <w:widowControl w:val="0"/>
              <w:spacing w:before="120"/>
              <w:rPr>
                <w:bCs/>
              </w:rPr>
            </w:pPr>
            <w:r>
              <w:rPr>
                <w:bCs/>
              </w:rPr>
              <w:t>Robin</w:t>
            </w:r>
          </w:p>
        </w:tc>
        <w:tc>
          <w:tcPr>
            <w:tcW w:w="3240" w:type="dxa"/>
            <w:tcMar>
              <w:top w:w="0" w:type="dxa"/>
              <w:left w:w="108" w:type="dxa"/>
              <w:bottom w:w="0" w:type="dxa"/>
              <w:right w:w="108" w:type="dxa"/>
            </w:tcMar>
          </w:tcPr>
          <w:p w14:paraId="2B200211" w14:textId="6FC8032F" w:rsidR="00AC0D11" w:rsidRDefault="00AC0D11" w:rsidP="004C02E7">
            <w:pPr>
              <w:keepNext/>
              <w:keepLines/>
              <w:widowControl w:val="0"/>
              <w:spacing w:before="120"/>
              <w:rPr>
                <w:bCs/>
              </w:rPr>
            </w:pPr>
            <w:proofErr w:type="spellStart"/>
            <w:r>
              <w:rPr>
                <w:bCs/>
              </w:rPr>
              <w:t>Rebillard</w:t>
            </w:r>
            <w:proofErr w:type="spellEnd"/>
          </w:p>
        </w:tc>
        <w:tc>
          <w:tcPr>
            <w:tcW w:w="3870" w:type="dxa"/>
            <w:tcMar>
              <w:top w:w="0" w:type="dxa"/>
              <w:left w:w="108" w:type="dxa"/>
              <w:bottom w:w="0" w:type="dxa"/>
              <w:right w:w="108" w:type="dxa"/>
            </w:tcMar>
          </w:tcPr>
          <w:p w14:paraId="05FC2125" w14:textId="7B746871" w:rsidR="00AC0D11" w:rsidRDefault="009E0FED" w:rsidP="004C02E7">
            <w:pPr>
              <w:keepNext/>
              <w:keepLines/>
              <w:widowControl w:val="0"/>
              <w:spacing w:before="120"/>
              <w:rPr>
                <w:bCs/>
              </w:rPr>
            </w:pPr>
            <w:r>
              <w:rPr>
                <w:bCs/>
              </w:rPr>
              <w:t>Manitoba Hydro</w:t>
            </w:r>
          </w:p>
        </w:tc>
      </w:tr>
      <w:tr w:rsidR="00AC0D11" w:rsidRPr="00286562" w14:paraId="072C1E02" w14:textId="77777777" w:rsidTr="001262CB">
        <w:tc>
          <w:tcPr>
            <w:tcW w:w="1998" w:type="dxa"/>
            <w:tcMar>
              <w:top w:w="0" w:type="dxa"/>
              <w:left w:w="108" w:type="dxa"/>
              <w:bottom w:w="0" w:type="dxa"/>
              <w:right w:w="108" w:type="dxa"/>
            </w:tcMar>
          </w:tcPr>
          <w:p w14:paraId="6356FE6D" w14:textId="58AD9103" w:rsidR="00AC0D11" w:rsidRPr="00AC0D11" w:rsidRDefault="00AC0D11" w:rsidP="004C02E7">
            <w:pPr>
              <w:keepNext/>
              <w:keepLines/>
              <w:widowControl w:val="0"/>
              <w:spacing w:before="120"/>
              <w:rPr>
                <w:bCs/>
              </w:rPr>
            </w:pPr>
            <w:r>
              <w:rPr>
                <w:bCs/>
              </w:rPr>
              <w:t>Paul</w:t>
            </w:r>
          </w:p>
        </w:tc>
        <w:tc>
          <w:tcPr>
            <w:tcW w:w="3240" w:type="dxa"/>
            <w:tcMar>
              <w:top w:w="0" w:type="dxa"/>
              <w:left w:w="108" w:type="dxa"/>
              <w:bottom w:w="0" w:type="dxa"/>
              <w:right w:w="108" w:type="dxa"/>
            </w:tcMar>
          </w:tcPr>
          <w:p w14:paraId="1B6B7D88" w14:textId="1F7F0FDA" w:rsidR="00AC0D11" w:rsidRPr="00AC0D11" w:rsidRDefault="00AC0D11" w:rsidP="004C02E7">
            <w:pPr>
              <w:keepNext/>
              <w:keepLines/>
              <w:widowControl w:val="0"/>
              <w:spacing w:before="120"/>
              <w:rPr>
                <w:bCs/>
              </w:rPr>
            </w:pPr>
            <w:r>
              <w:rPr>
                <w:bCs/>
              </w:rPr>
              <w:t>Schmitt</w:t>
            </w:r>
          </w:p>
        </w:tc>
        <w:tc>
          <w:tcPr>
            <w:tcW w:w="3870" w:type="dxa"/>
            <w:tcMar>
              <w:top w:w="0" w:type="dxa"/>
              <w:left w:w="108" w:type="dxa"/>
              <w:bottom w:w="0" w:type="dxa"/>
              <w:right w:w="108" w:type="dxa"/>
            </w:tcMar>
          </w:tcPr>
          <w:p w14:paraId="05BB8D65" w14:textId="34AC0D6C" w:rsidR="00AC0D11" w:rsidRPr="00AC0D11" w:rsidRDefault="00AC0D11" w:rsidP="004C02E7">
            <w:pPr>
              <w:keepNext/>
              <w:keepLines/>
              <w:widowControl w:val="0"/>
              <w:spacing w:before="120"/>
              <w:rPr>
                <w:bCs/>
              </w:rPr>
            </w:pPr>
            <w:r>
              <w:rPr>
                <w:bCs/>
              </w:rPr>
              <w:t>Duke Energy</w:t>
            </w:r>
          </w:p>
        </w:tc>
      </w:tr>
      <w:tr w:rsidR="00AC0D11" w:rsidRPr="00286562" w14:paraId="0528CD9A" w14:textId="77777777" w:rsidTr="001262CB">
        <w:tc>
          <w:tcPr>
            <w:tcW w:w="1998" w:type="dxa"/>
            <w:tcMar>
              <w:top w:w="0" w:type="dxa"/>
              <w:left w:w="108" w:type="dxa"/>
              <w:bottom w:w="0" w:type="dxa"/>
              <w:right w:w="108" w:type="dxa"/>
            </w:tcMar>
          </w:tcPr>
          <w:p w14:paraId="2526A05D" w14:textId="36EBAE63" w:rsidR="00AC0D11" w:rsidRDefault="00AC0D11" w:rsidP="004C02E7">
            <w:pPr>
              <w:keepNext/>
              <w:keepLines/>
              <w:widowControl w:val="0"/>
              <w:spacing w:before="120"/>
              <w:rPr>
                <w:bCs/>
              </w:rPr>
            </w:pPr>
            <w:r>
              <w:rPr>
                <w:bCs/>
              </w:rPr>
              <w:t>Danielle</w:t>
            </w:r>
          </w:p>
        </w:tc>
        <w:tc>
          <w:tcPr>
            <w:tcW w:w="3240" w:type="dxa"/>
            <w:tcMar>
              <w:top w:w="0" w:type="dxa"/>
              <w:left w:w="108" w:type="dxa"/>
              <w:bottom w:w="0" w:type="dxa"/>
              <w:right w:w="108" w:type="dxa"/>
            </w:tcMar>
          </w:tcPr>
          <w:p w14:paraId="55E2D65E" w14:textId="1A59C4AB" w:rsidR="00AC0D11" w:rsidRDefault="00AC0D11" w:rsidP="004C02E7">
            <w:pPr>
              <w:keepNext/>
              <w:keepLines/>
              <w:widowControl w:val="0"/>
              <w:spacing w:before="120"/>
              <w:rPr>
                <w:bCs/>
              </w:rPr>
            </w:pPr>
            <w:r>
              <w:rPr>
                <w:bCs/>
              </w:rPr>
              <w:t>Smith</w:t>
            </w:r>
          </w:p>
        </w:tc>
        <w:tc>
          <w:tcPr>
            <w:tcW w:w="3870" w:type="dxa"/>
            <w:tcMar>
              <w:top w:w="0" w:type="dxa"/>
              <w:left w:w="108" w:type="dxa"/>
              <w:bottom w:w="0" w:type="dxa"/>
              <w:right w:w="108" w:type="dxa"/>
            </w:tcMar>
          </w:tcPr>
          <w:p w14:paraId="7A46B208" w14:textId="5975F562" w:rsidR="00AC0D11" w:rsidRDefault="00790D69" w:rsidP="004C02E7">
            <w:pPr>
              <w:keepNext/>
              <w:keepLines/>
              <w:widowControl w:val="0"/>
              <w:spacing w:before="120"/>
              <w:rPr>
                <w:bCs/>
              </w:rPr>
            </w:pPr>
            <w:r>
              <w:rPr>
                <w:bCs/>
              </w:rPr>
              <w:t>SMUD</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9E0FED" w:rsidRDefault="00F27096" w:rsidP="004C02E7">
            <w:pPr>
              <w:keepNext/>
              <w:keepLines/>
              <w:widowControl w:val="0"/>
              <w:spacing w:before="120"/>
              <w:rPr>
                <w:bCs/>
              </w:rPr>
            </w:pPr>
            <w:r w:rsidRPr="009E0FED">
              <w:rPr>
                <w:bCs/>
              </w:rPr>
              <w:t xml:space="preserve">Scott </w:t>
            </w:r>
          </w:p>
        </w:tc>
        <w:tc>
          <w:tcPr>
            <w:tcW w:w="3240" w:type="dxa"/>
            <w:tcMar>
              <w:top w:w="0" w:type="dxa"/>
              <w:left w:w="108" w:type="dxa"/>
              <w:bottom w:w="0" w:type="dxa"/>
              <w:right w:w="108" w:type="dxa"/>
            </w:tcMar>
          </w:tcPr>
          <w:p w14:paraId="36643A7A" w14:textId="687132FC" w:rsidR="00F27096" w:rsidRPr="009E0FED" w:rsidRDefault="00F27096" w:rsidP="004C02E7">
            <w:pPr>
              <w:keepNext/>
              <w:keepLines/>
              <w:widowControl w:val="0"/>
              <w:spacing w:before="120"/>
              <w:rPr>
                <w:bCs/>
              </w:rPr>
            </w:pPr>
            <w:r w:rsidRPr="009E0FED">
              <w:rPr>
                <w:bCs/>
              </w:rPr>
              <w:t>Stewart</w:t>
            </w:r>
          </w:p>
        </w:tc>
        <w:tc>
          <w:tcPr>
            <w:tcW w:w="3870" w:type="dxa"/>
            <w:tcMar>
              <w:top w:w="0" w:type="dxa"/>
              <w:left w:w="108" w:type="dxa"/>
              <w:bottom w:w="0" w:type="dxa"/>
              <w:right w:w="108" w:type="dxa"/>
            </w:tcMar>
          </w:tcPr>
          <w:p w14:paraId="3E2433C9" w14:textId="7891AD9C" w:rsidR="00F27096" w:rsidRPr="009E0FED" w:rsidRDefault="005444CA" w:rsidP="004C02E7">
            <w:pPr>
              <w:keepNext/>
              <w:keepLines/>
              <w:widowControl w:val="0"/>
              <w:spacing w:before="120"/>
              <w:rPr>
                <w:bCs/>
              </w:rPr>
            </w:pPr>
            <w:r w:rsidRPr="009E0FED">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AC0D11" w:rsidRDefault="00BE24C3" w:rsidP="004C02E7">
            <w:pPr>
              <w:keepNext/>
              <w:keepLines/>
              <w:widowControl w:val="0"/>
              <w:spacing w:before="120"/>
              <w:rPr>
                <w:bCs/>
              </w:rPr>
            </w:pPr>
            <w:r w:rsidRPr="00AC0D11">
              <w:rPr>
                <w:bCs/>
              </w:rPr>
              <w:t>Caroline</w:t>
            </w:r>
          </w:p>
        </w:tc>
        <w:tc>
          <w:tcPr>
            <w:tcW w:w="3240" w:type="dxa"/>
            <w:tcMar>
              <w:top w:w="0" w:type="dxa"/>
              <w:left w:w="108" w:type="dxa"/>
              <w:bottom w:w="0" w:type="dxa"/>
              <w:right w:w="108" w:type="dxa"/>
            </w:tcMar>
            <w:hideMark/>
          </w:tcPr>
          <w:p w14:paraId="3166FE36" w14:textId="77777777" w:rsidR="00BE24C3" w:rsidRPr="00AC0D11" w:rsidRDefault="00BE24C3" w:rsidP="004C02E7">
            <w:pPr>
              <w:keepNext/>
              <w:keepLines/>
              <w:widowControl w:val="0"/>
              <w:spacing w:before="120"/>
              <w:rPr>
                <w:bCs/>
              </w:rPr>
            </w:pPr>
            <w:r w:rsidRPr="00AC0D11">
              <w:rPr>
                <w:bCs/>
              </w:rPr>
              <w:t>Trum</w:t>
            </w:r>
          </w:p>
        </w:tc>
        <w:tc>
          <w:tcPr>
            <w:tcW w:w="3870" w:type="dxa"/>
            <w:tcMar>
              <w:top w:w="0" w:type="dxa"/>
              <w:left w:w="108" w:type="dxa"/>
              <w:bottom w:w="0" w:type="dxa"/>
              <w:right w:w="108" w:type="dxa"/>
            </w:tcMar>
            <w:hideMark/>
          </w:tcPr>
          <w:p w14:paraId="57332193" w14:textId="77777777" w:rsidR="00BE24C3" w:rsidRPr="00AC0D11" w:rsidRDefault="00BE24C3" w:rsidP="004C02E7">
            <w:pPr>
              <w:keepNext/>
              <w:keepLines/>
              <w:widowControl w:val="0"/>
              <w:spacing w:before="120"/>
              <w:rPr>
                <w:bCs/>
              </w:rPr>
            </w:pPr>
            <w:r w:rsidRPr="00AC0D11">
              <w:rPr>
                <w:bCs/>
              </w:rPr>
              <w:t>NAESB</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762B" w14:textId="77777777" w:rsidR="00486512" w:rsidRDefault="00486512">
      <w:r>
        <w:separator/>
      </w:r>
    </w:p>
  </w:endnote>
  <w:endnote w:type="continuationSeparator" w:id="0">
    <w:p w14:paraId="77BB8290" w14:textId="77777777" w:rsidR="00486512" w:rsidRDefault="0048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44AE93C7"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91378A">
      <w:rPr>
        <w:sz w:val="18"/>
        <w:szCs w:val="18"/>
      </w:rPr>
      <w:t>September 15</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BE12" w14:textId="77777777" w:rsidR="00486512" w:rsidRDefault="00486512">
      <w:r>
        <w:separator/>
      </w:r>
    </w:p>
  </w:footnote>
  <w:footnote w:type="continuationSeparator" w:id="0">
    <w:p w14:paraId="717AD3B9" w14:textId="77777777" w:rsidR="00486512" w:rsidRDefault="0048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C47"/>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0E6"/>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32B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85F"/>
    <w:rsid w:val="00B06A9B"/>
    <w:rsid w:val="00B06AA7"/>
    <w:rsid w:val="00B06D0C"/>
    <w:rsid w:val="00B06FB8"/>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E01F3"/>
    <w:rsid w:val="00FE05A2"/>
    <w:rsid w:val="00FE0675"/>
    <w:rsid w:val="00FE071B"/>
    <w:rsid w:val="00FE09C5"/>
    <w:rsid w:val="00FE1B64"/>
    <w:rsid w:val="00FE1D81"/>
    <w:rsid w:val="00FE2077"/>
    <w:rsid w:val="00FE27AA"/>
    <w:rsid w:val="00FE2A98"/>
    <w:rsid w:val="00FE2BAB"/>
    <w:rsid w:val="00FE2C57"/>
    <w:rsid w:val="00FE3233"/>
    <w:rsid w:val="00FE3D87"/>
    <w:rsid w:val="00FE3D9F"/>
    <w:rsid w:val="00FE493E"/>
    <w:rsid w:val="00FE4CC6"/>
    <w:rsid w:val="00FE4E61"/>
    <w:rsid w:val="00FE4FAC"/>
    <w:rsid w:val="00FE5BE6"/>
    <w:rsid w:val="00FE5CDE"/>
    <w:rsid w:val="00FE5DFA"/>
    <w:rsid w:val="00FE5FD8"/>
    <w:rsid w:val="00FE612C"/>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81921f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weq_bps091521a1.docx" TargetMode="External"/><Relationship Id="rId4" Type="http://schemas.openxmlformats.org/officeDocument/2006/relationships/settings" Target="settings.xml"/><Relationship Id="rId9" Type="http://schemas.openxmlformats.org/officeDocument/2006/relationships/hyperlink" Target="https://naesb.org/pdf4/weq_bps091521w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8709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2021-09-16T20:57:00Z</dcterms:created>
  <dcterms:modified xsi:type="dcterms:W3CDTF">2021-09-16T20:57:00Z</dcterms:modified>
</cp:coreProperties>
</file>