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81C0" w14:textId="77777777" w:rsidR="00323BC9" w:rsidRPr="00E60569" w:rsidRDefault="00D727F8" w:rsidP="003817E6">
      <w:pPr>
        <w:pStyle w:val="Heading1"/>
      </w:pPr>
      <w:r>
        <w:t>Purpose</w:t>
      </w:r>
    </w:p>
    <w:p w14:paraId="01CD91CC" w14:textId="6834521A" w:rsidR="00BF118D" w:rsidRDefault="00D727F8" w:rsidP="002E1330">
      <w:r>
        <w:t xml:space="preserve">This document </w:t>
      </w:r>
      <w:r w:rsidR="00C41F4F">
        <w:t>justifies</w:t>
      </w:r>
      <w:r>
        <w:t xml:space="preserve"> proposed changes to the </w:t>
      </w:r>
      <w:r w:rsidR="005905F7">
        <w:t>North American Energy Standards Board (</w:t>
      </w:r>
      <w:r>
        <w:t>NAESB</w:t>
      </w:r>
      <w:r w:rsidR="005905F7">
        <w:t>)</w:t>
      </w:r>
      <w:r>
        <w:t xml:space="preserve"> standard WEQ-006</w:t>
      </w:r>
      <w:r w:rsidR="00B75380">
        <w:t xml:space="preserve"> </w:t>
      </w:r>
      <w:r>
        <w:t>v3.1. These changes were done at the request of NAESB</w:t>
      </w:r>
      <w:r w:rsidR="00603CB7" w:rsidRPr="00DA56D8">
        <w:t>.</w:t>
      </w:r>
      <w:r>
        <w:t xml:space="preserve"> The information in this document was shared with the WECC Performance Work Group </w:t>
      </w:r>
      <w:r w:rsidR="0025166E">
        <w:t xml:space="preserve">(PWG) </w:t>
      </w:r>
      <w:r>
        <w:t>for coordination of industry expertise</w:t>
      </w:r>
      <w:r w:rsidR="005905F7">
        <w:t>;</w:t>
      </w:r>
      <w:r>
        <w:t xml:space="preserve"> however, this document may not contain all the information on this topic due to the time constraint in responding to NAESB’s request. </w:t>
      </w:r>
    </w:p>
    <w:p w14:paraId="465EFA14" w14:textId="77777777" w:rsidR="00323BC9" w:rsidRDefault="00D727F8" w:rsidP="00E60569">
      <w:pPr>
        <w:pStyle w:val="Heading2"/>
      </w:pPr>
      <w:r>
        <w:t>Proposed Changes</w:t>
      </w:r>
    </w:p>
    <w:p w14:paraId="44ACA93C" w14:textId="77777777" w:rsidR="00D727F8" w:rsidRDefault="00D727F8" w:rsidP="00D727F8">
      <w:r>
        <w:t xml:space="preserve">It is proposed that </w:t>
      </w:r>
      <w:r w:rsidR="00B75380">
        <w:t>the following changes take place.</w:t>
      </w:r>
    </w:p>
    <w:p w14:paraId="2EE536B8" w14:textId="0A7069C9" w:rsidR="009D7A9A" w:rsidRDefault="009D7A9A" w:rsidP="00B75380">
      <w:pPr>
        <w:pStyle w:val="ListParagraph"/>
        <w:numPr>
          <w:ilvl w:val="0"/>
          <w:numId w:val="11"/>
        </w:numPr>
      </w:pPr>
      <w:r>
        <w:t>Section 006-3</w:t>
      </w:r>
      <w:r w:rsidR="005905F7">
        <w:t>:</w:t>
      </w:r>
      <w:r>
        <w:t xml:space="preserve"> The Interconnection Time Monitor </w:t>
      </w:r>
      <w:r w:rsidR="005905F7">
        <w:t xml:space="preserve">must </w:t>
      </w:r>
      <w:r>
        <w:t xml:space="preserve">calibrate its Time Error device at least annually </w:t>
      </w:r>
      <w:r w:rsidR="005905F7">
        <w:t xml:space="preserve">to </w:t>
      </w:r>
      <w:r>
        <w:t xml:space="preserve">the </w:t>
      </w:r>
      <w:r w:rsidR="005905F7">
        <w:t>National Institute of Standards and Technology (</w:t>
      </w:r>
      <w:r>
        <w:t>NIST</w:t>
      </w:r>
      <w:r w:rsidR="005905F7">
        <w:t>)</w:t>
      </w:r>
      <w:r>
        <w:t xml:space="preserve"> Time</w:t>
      </w:r>
      <w:r w:rsidR="005905F7">
        <w:t xml:space="preserve"> </w:t>
      </w:r>
      <w:r w:rsidRPr="000A4423">
        <w:rPr>
          <w:b/>
          <w:bCs/>
        </w:rPr>
        <w:t xml:space="preserve">if the </w:t>
      </w:r>
      <w:r w:rsidR="005905F7">
        <w:rPr>
          <w:b/>
          <w:bCs/>
        </w:rPr>
        <w:t>time error</w:t>
      </w:r>
      <w:r w:rsidRPr="000A4423">
        <w:rPr>
          <w:b/>
          <w:bCs/>
        </w:rPr>
        <w:t xml:space="preserve"> device inherently requires calibration</w:t>
      </w:r>
      <w:r>
        <w:t>.</w:t>
      </w:r>
    </w:p>
    <w:p w14:paraId="2A70F51B" w14:textId="77777777" w:rsidR="00B75380" w:rsidRDefault="00B75380" w:rsidP="00B75380">
      <w:pPr>
        <w:pStyle w:val="ListParagraph"/>
        <w:numPr>
          <w:ilvl w:val="0"/>
          <w:numId w:val="11"/>
        </w:numPr>
      </w:pPr>
      <w:r>
        <w:t xml:space="preserve">Section 006-5: Remove the two columns that reference the West. This includes the </w:t>
      </w:r>
      <w:r w:rsidRPr="000A4423">
        <w:rPr>
          <w:i/>
          <w:iCs/>
        </w:rPr>
        <w:t>initiation</w:t>
      </w:r>
      <w:r>
        <w:t xml:space="preserve"> and </w:t>
      </w:r>
      <w:r w:rsidRPr="000A4423">
        <w:rPr>
          <w:i/>
          <w:iCs/>
        </w:rPr>
        <w:t>termination</w:t>
      </w:r>
      <w:r>
        <w:t xml:space="preserve"> values.</w:t>
      </w:r>
    </w:p>
    <w:p w14:paraId="4A77D27E" w14:textId="77777777" w:rsidR="00B75380" w:rsidRDefault="00B75380" w:rsidP="00B75380">
      <w:pPr>
        <w:pStyle w:val="ListParagraph"/>
        <w:numPr>
          <w:ilvl w:val="0"/>
          <w:numId w:val="11"/>
        </w:numPr>
      </w:pPr>
      <w:r>
        <w:t xml:space="preserve">Section 006-9: Remove this paragraph. </w:t>
      </w:r>
    </w:p>
    <w:p w14:paraId="71D302C3" w14:textId="02301A5F" w:rsidR="00B75380" w:rsidRDefault="00B75380" w:rsidP="00B75380">
      <w:pPr>
        <w:pStyle w:val="ListParagraph"/>
        <w:numPr>
          <w:ilvl w:val="0"/>
          <w:numId w:val="11"/>
        </w:numPr>
      </w:pPr>
      <w:r>
        <w:t xml:space="preserve">Section 006-10: There has been some discussion </w:t>
      </w:r>
      <w:r w:rsidR="005905F7">
        <w:t>whether</w:t>
      </w:r>
      <w:r>
        <w:t xml:space="preserve"> this section is tied into the previous paragraph for the </w:t>
      </w:r>
      <w:r w:rsidR="00F85934">
        <w:t>W</w:t>
      </w:r>
      <w:r>
        <w:t xml:space="preserve">estern </w:t>
      </w:r>
      <w:r w:rsidR="00F85934">
        <w:t>I</w:t>
      </w:r>
      <w:r>
        <w:t xml:space="preserve">nterconnection, or if it is a stand-alone section that references all interconnections. If it is only for the </w:t>
      </w:r>
      <w:r w:rsidR="005905F7">
        <w:t>Western Interconnection</w:t>
      </w:r>
      <w:r>
        <w:t>, it is recommended to remove it or redefine it under its own section (ex.</w:t>
      </w:r>
      <w:r w:rsidR="005905F7">
        <w:t>,</w:t>
      </w:r>
      <w:r>
        <w:t xml:space="preserve"> </w:t>
      </w:r>
      <w:r w:rsidRPr="00B75380">
        <w:rPr>
          <w:b/>
        </w:rPr>
        <w:t>006-10 Premature Termination of a Time Error Correction</w:t>
      </w:r>
      <w:r>
        <w:t>). If it is a stand-alone section, the suggestion to redefine it also applies.</w:t>
      </w:r>
    </w:p>
    <w:p w14:paraId="6258264C" w14:textId="77777777" w:rsidR="00B75380" w:rsidRDefault="00B75380" w:rsidP="00B75380">
      <w:pPr>
        <w:pStyle w:val="Heading2"/>
      </w:pPr>
      <w:r>
        <w:t>Justification for Proposed Changes</w:t>
      </w:r>
    </w:p>
    <w:p w14:paraId="6AC217F6" w14:textId="50E67EF3" w:rsidR="00172548" w:rsidRDefault="00527972" w:rsidP="00172548">
      <w:r>
        <w:t>The following information is</w:t>
      </w:r>
      <w:r w:rsidR="00172548">
        <w:t xml:space="preserve"> provide</w:t>
      </w:r>
      <w:r w:rsidR="0025166E">
        <w:t>d</w:t>
      </w:r>
      <w:r w:rsidR="00172548">
        <w:t xml:space="preserve"> </w:t>
      </w:r>
      <w:r w:rsidR="0025166E">
        <w:t xml:space="preserve">as </w:t>
      </w:r>
      <w:r w:rsidR="00172548">
        <w:t xml:space="preserve">context to justify the proposed </w:t>
      </w:r>
      <w:r w:rsidR="002A340E">
        <w:t xml:space="preserve">removal of the </w:t>
      </w:r>
      <w:r w:rsidR="005905F7">
        <w:t>Western Interconnection</w:t>
      </w:r>
      <w:r w:rsidR="002A340E">
        <w:t xml:space="preserve"> from</w:t>
      </w:r>
      <w:r w:rsidR="00172548">
        <w:t xml:space="preserve"> WEQ-006. </w:t>
      </w:r>
    </w:p>
    <w:p w14:paraId="331E16DA" w14:textId="01BFA807" w:rsidR="00923910" w:rsidRPr="00276F70" w:rsidRDefault="00923910" w:rsidP="00276F70">
      <w:pPr>
        <w:pStyle w:val="Heading3"/>
      </w:pPr>
      <w:r w:rsidRPr="00276F70">
        <w:t>Current MTEC Process</w:t>
      </w:r>
      <w:r w:rsidR="008213A7" w:rsidRPr="00276F70">
        <w:t xml:space="preserve"> in the Western Interconnection</w:t>
      </w:r>
      <w:r w:rsidRPr="00276F70">
        <w:t xml:space="preserve"> </w:t>
      </w:r>
    </w:p>
    <w:p w14:paraId="245F84E9" w14:textId="7C4D8433" w:rsidR="00DD7DD0" w:rsidRDefault="00DD7DD0" w:rsidP="00DD7DD0">
      <w:r>
        <w:t xml:space="preserve">When the NERC </w:t>
      </w:r>
      <w:r w:rsidR="00923910">
        <w:t>R</w:t>
      </w:r>
      <w:r>
        <w:t xml:space="preserve">eliability </w:t>
      </w:r>
      <w:r w:rsidR="00923910">
        <w:t>S</w:t>
      </w:r>
      <w:r>
        <w:t xml:space="preserve">tandard </w:t>
      </w:r>
      <w:r w:rsidR="00923910">
        <w:t>BAL-004-0 became inactive on</w:t>
      </w:r>
      <w:r>
        <w:t xml:space="preserve"> April 1, 2017, the </w:t>
      </w:r>
      <w:r w:rsidR="005905F7">
        <w:t xml:space="preserve">Western Interconnection </w:t>
      </w:r>
      <w:r>
        <w:t xml:space="preserve">stopped performing </w:t>
      </w:r>
      <w:r w:rsidR="00276F70" w:rsidRPr="00276F70">
        <w:t>Manual Time Error Correction</w:t>
      </w:r>
      <w:r w:rsidR="00276F70">
        <w:t>s (</w:t>
      </w:r>
      <w:r w:rsidR="00923910">
        <w:t>MTEC</w:t>
      </w:r>
      <w:r w:rsidR="00276F70">
        <w:t>)</w:t>
      </w:r>
      <w:r w:rsidR="00923910">
        <w:t xml:space="preserve"> </w:t>
      </w:r>
      <w:r w:rsidR="009F206B">
        <w:t>for predefined thresholds</w:t>
      </w:r>
      <w:r w:rsidR="00923910">
        <w:t xml:space="preserve"> and adopted the guidance from the NERC Time Monitoring Reference Document that established a time monitor for each interconnection and state</w:t>
      </w:r>
      <w:r w:rsidR="002A340E">
        <w:t>d</w:t>
      </w:r>
      <w:r w:rsidR="00923910">
        <w:t xml:space="preserve"> that a</w:t>
      </w:r>
      <w:r w:rsidR="00C41F4F">
        <w:t>n</w:t>
      </w:r>
      <w:r w:rsidR="00923910">
        <w:t xml:space="preserve"> MTEC could be initiated for reliability purposes. </w:t>
      </w:r>
      <w:r w:rsidR="005905F7">
        <w:t>Now</w:t>
      </w:r>
      <w:r w:rsidR="00923910">
        <w:t xml:space="preserve">, RC West </w:t>
      </w:r>
      <w:r w:rsidR="002A340E">
        <w:t>serves</w:t>
      </w:r>
      <w:r w:rsidR="00923910">
        <w:t xml:space="preserve"> as the </w:t>
      </w:r>
      <w:r w:rsidR="002A340E">
        <w:t>Interconnection</w:t>
      </w:r>
      <w:r w:rsidR="00F85934">
        <w:t xml:space="preserve"> </w:t>
      </w:r>
      <w:r w:rsidR="002A340E">
        <w:t>T</w:t>
      </w:r>
      <w:r w:rsidR="00F85934">
        <w:t xml:space="preserve">ime </w:t>
      </w:r>
      <w:r w:rsidR="002A340E">
        <w:t>M</w:t>
      </w:r>
      <w:r w:rsidR="00F85934">
        <w:t>onitor</w:t>
      </w:r>
      <w:r w:rsidR="002A340E">
        <w:t xml:space="preserve"> in the West. P</w:t>
      </w:r>
      <w:r w:rsidR="00923910">
        <w:t xml:space="preserve">er </w:t>
      </w:r>
      <w:r w:rsidR="00F85934">
        <w:t>RC West</w:t>
      </w:r>
      <w:r w:rsidR="002A340E">
        <w:t>’s</w:t>
      </w:r>
      <w:r w:rsidR="00F85934">
        <w:t xml:space="preserve"> </w:t>
      </w:r>
      <w:r w:rsidR="002A340E">
        <w:lastRenderedPageBreak/>
        <w:t>operating procedures</w:t>
      </w:r>
      <w:r w:rsidR="00923910">
        <w:t xml:space="preserve">, </w:t>
      </w:r>
      <w:r w:rsidR="00F85934">
        <w:t>MTEC</w:t>
      </w:r>
      <w:r w:rsidR="008213A7">
        <w:t>s</w:t>
      </w:r>
      <w:r w:rsidR="00923910">
        <w:t xml:space="preserve"> are no</w:t>
      </w:r>
      <w:r w:rsidR="005905F7">
        <w:t>t</w:t>
      </w:r>
      <w:r w:rsidR="00923910">
        <w:t xml:space="preserve"> initiated in the </w:t>
      </w:r>
      <w:r w:rsidR="005905F7">
        <w:t>Western Interconnection</w:t>
      </w:r>
      <w:r w:rsidR="00F85934">
        <w:t xml:space="preserve"> </w:t>
      </w:r>
      <w:r w:rsidR="00923910">
        <w:t xml:space="preserve">for predefined </w:t>
      </w:r>
      <w:r w:rsidR="00A102C7">
        <w:t>thresholds but</w:t>
      </w:r>
      <w:r w:rsidR="00923910">
        <w:t xml:space="preserve"> may be initiated for reliability concerns or other unforeseen reasons. </w:t>
      </w:r>
    </w:p>
    <w:p w14:paraId="7F7A9EB4" w14:textId="77777777" w:rsidR="009F206B" w:rsidRDefault="009F206B" w:rsidP="009F206B">
      <w:r>
        <w:t>References:</w:t>
      </w:r>
    </w:p>
    <w:p w14:paraId="1E276B36" w14:textId="77777777" w:rsidR="009F206B" w:rsidRDefault="009F206B" w:rsidP="000A4423">
      <w:pPr>
        <w:pStyle w:val="ListBullet"/>
      </w:pPr>
      <w:r>
        <w:t xml:space="preserve">NERC Time Monitoring Reference Document: </w:t>
      </w:r>
      <w:hyperlink r:id="rId8" w:history="1">
        <w:r w:rsidRPr="001E3EA2">
          <w:rPr>
            <w:rStyle w:val="Hyperlink"/>
          </w:rPr>
          <w:t>https://www.nerc.com/comm/OC/ReferenceDocumentsDL/Time_Monitoring_Reference_Document_v5.pdf</w:t>
        </w:r>
      </w:hyperlink>
    </w:p>
    <w:p w14:paraId="2361B004" w14:textId="58135187" w:rsidR="00172548" w:rsidRDefault="009F206B" w:rsidP="000A4423">
      <w:pPr>
        <w:pStyle w:val="ListBullet"/>
      </w:pPr>
      <w:r>
        <w:t xml:space="preserve">RC West </w:t>
      </w:r>
      <w:r w:rsidR="005905F7">
        <w:t xml:space="preserve">Time Error </w:t>
      </w:r>
      <w:r>
        <w:t>Correction Procedure:</w:t>
      </w:r>
      <w:r w:rsidR="005905F7">
        <w:t xml:space="preserve"> </w:t>
      </w:r>
      <w:hyperlink r:id="rId9" w:history="1">
        <w:r w:rsidR="005905F7" w:rsidRPr="005905F7">
          <w:rPr>
            <w:rStyle w:val="Hyperlink"/>
          </w:rPr>
          <w:t>http://www.caiso.com/Documents/RC0220.pdf</w:t>
        </w:r>
      </w:hyperlink>
    </w:p>
    <w:p w14:paraId="1EEA8865" w14:textId="77777777" w:rsidR="009F206B" w:rsidRDefault="009F206B" w:rsidP="009F206B">
      <w:pPr>
        <w:pStyle w:val="Heading3"/>
      </w:pPr>
      <w:r>
        <w:t>Automatic Time Error Correction</w:t>
      </w:r>
    </w:p>
    <w:p w14:paraId="267F45F6" w14:textId="6ED1508E" w:rsidR="009F206B" w:rsidRDefault="009F206B" w:rsidP="009F206B">
      <w:r>
        <w:t xml:space="preserve">Since February 2003, Balancing Authorities (BA) in the </w:t>
      </w:r>
      <w:r w:rsidR="005905F7">
        <w:t>Western Interconnection</w:t>
      </w:r>
      <w:r>
        <w:t xml:space="preserve"> have participated in a process called Automatic Time Error Correction (ATEC). This process </w:t>
      </w:r>
      <w:r w:rsidR="00456C76">
        <w:t xml:space="preserve">is </w:t>
      </w:r>
      <w:r>
        <w:t xml:space="preserve">more efficient and reliable </w:t>
      </w:r>
      <w:r w:rsidR="00456C76">
        <w:t>than</w:t>
      </w:r>
      <w:r>
        <w:t xml:space="preserve"> MTECs </w:t>
      </w:r>
      <w:r w:rsidR="00456C76">
        <w:t xml:space="preserve">in </w:t>
      </w:r>
      <w:r w:rsidR="00107805">
        <w:t>control</w:t>
      </w:r>
      <w:r w:rsidR="00456C76">
        <w:t>ling</w:t>
      </w:r>
      <w:r w:rsidR="00107805">
        <w:t xml:space="preserve"> time error</w:t>
      </w:r>
      <w:r w:rsidR="00456C76">
        <w:t>s</w:t>
      </w:r>
      <w:r w:rsidR="00107805">
        <w:t xml:space="preserve"> caused by inadvertent accumulations</w:t>
      </w:r>
      <w:r>
        <w:t xml:space="preserve">. </w:t>
      </w:r>
      <w:r w:rsidR="00234538">
        <w:t xml:space="preserve">When standards were implemented in response to the Energy Policy Act of 2005, the </w:t>
      </w:r>
      <w:r w:rsidR="005905F7">
        <w:t>Western Interconnection</w:t>
      </w:r>
      <w:r w:rsidR="005905F7" w:rsidDel="005905F7">
        <w:t xml:space="preserve"> </w:t>
      </w:r>
      <w:r w:rsidR="00234538">
        <w:t>adopted a regional standard requiring the participation in ATEC</w:t>
      </w:r>
      <w:r w:rsidR="00107805">
        <w:t xml:space="preserve"> by all BAs in the </w:t>
      </w:r>
      <w:r w:rsidR="005905F7">
        <w:t>Western Interconnection</w:t>
      </w:r>
      <w:r w:rsidR="00234538">
        <w:t xml:space="preserve">. </w:t>
      </w:r>
      <w:r>
        <w:t xml:space="preserve">The </w:t>
      </w:r>
      <w:r w:rsidR="00F85934">
        <w:t xml:space="preserve">regional </w:t>
      </w:r>
      <w:r>
        <w:t xml:space="preserve">NERC Reliability Standard BAL-004-WECC-2 requires that BAs </w:t>
      </w:r>
      <w:r w:rsidR="00107805">
        <w:t xml:space="preserve">in the </w:t>
      </w:r>
      <w:r w:rsidR="005905F7">
        <w:t>Western Interconnection</w:t>
      </w:r>
      <w:r w:rsidR="005905F7" w:rsidDel="005905F7">
        <w:t xml:space="preserve"> </w:t>
      </w:r>
      <w:r>
        <w:t xml:space="preserve">participate in the ATEC process </w:t>
      </w:r>
      <w:r w:rsidR="00F85934">
        <w:t>continuously</w:t>
      </w:r>
      <w:r w:rsidR="00107805">
        <w:t>. This standard</w:t>
      </w:r>
      <w:r>
        <w:t xml:space="preserve"> provides a common way for BAs to </w:t>
      </w:r>
      <w:r w:rsidR="00234538">
        <w:t xml:space="preserve">calculate and </w:t>
      </w:r>
      <w:r>
        <w:t xml:space="preserve">track their accumulated Primary Inadvertent Interchange (PII) and to pay it back in a </w:t>
      </w:r>
      <w:r w:rsidR="00234538">
        <w:t xml:space="preserve">coordinated </w:t>
      </w:r>
      <w:r w:rsidR="005905F7">
        <w:t xml:space="preserve">way </w:t>
      </w:r>
      <w:r>
        <w:t xml:space="preserve">that </w:t>
      </w:r>
      <w:r w:rsidR="00234538">
        <w:t>enhances</w:t>
      </w:r>
      <w:r>
        <w:t xml:space="preserve"> the reliability of the interconnection.</w:t>
      </w:r>
      <w:r w:rsidR="00732DCD">
        <w:t xml:space="preserve"> This method is more effective at managing </w:t>
      </w:r>
      <w:r w:rsidR="005905F7">
        <w:t xml:space="preserve">time errors </w:t>
      </w:r>
      <w:r w:rsidR="00732DCD">
        <w:t xml:space="preserve">than MTEC for the </w:t>
      </w:r>
      <w:r w:rsidR="005905F7">
        <w:t>Western Interconnection</w:t>
      </w:r>
      <w:r w:rsidR="00732DCD">
        <w:t>.</w:t>
      </w:r>
    </w:p>
    <w:p w14:paraId="7BABBBD7" w14:textId="792756B6" w:rsidR="00D270BD" w:rsidRDefault="009F206B" w:rsidP="00172548">
      <w:r>
        <w:t xml:space="preserve">To help monitor the </w:t>
      </w:r>
      <w:r w:rsidR="00D270BD">
        <w:t xml:space="preserve">performance and </w:t>
      </w:r>
      <w:r>
        <w:t xml:space="preserve">effectiveness of ATEC </w:t>
      </w:r>
      <w:r w:rsidR="00D270BD">
        <w:t>over time, the WECC PWG tracks the accumulation of each BA’s PII</w:t>
      </w:r>
      <w:r w:rsidR="00F90232">
        <w:t>,</w:t>
      </w:r>
      <w:r w:rsidR="00D270BD">
        <w:t xml:space="preserve"> as well as the time error. Below is a </w:t>
      </w:r>
      <w:r w:rsidR="00107805">
        <w:t xml:space="preserve">graph </w:t>
      </w:r>
      <w:r w:rsidR="00D270BD">
        <w:t xml:space="preserve">of these two </w:t>
      </w:r>
      <w:r w:rsidR="00107805">
        <w:t xml:space="preserve">operating data </w:t>
      </w:r>
      <w:r w:rsidR="005905F7">
        <w:t xml:space="preserve">sources </w:t>
      </w:r>
      <w:r w:rsidR="00D270BD">
        <w:t>trended over time since 2009</w:t>
      </w:r>
      <w:r w:rsidR="00F90232">
        <w:t>,</w:t>
      </w:r>
      <w:r w:rsidR="00D270BD">
        <w:t xml:space="preserve"> as well as information and conclusions about </w:t>
      </w:r>
      <w:r w:rsidR="00F85934">
        <w:t>the</w:t>
      </w:r>
      <w:r w:rsidR="00107805">
        <w:t xml:space="preserve"> management of inadvertent time error</w:t>
      </w:r>
      <w:r w:rsidR="00456C76">
        <w:t>s</w:t>
      </w:r>
      <w:r w:rsidR="00107805">
        <w:t xml:space="preserve"> in the </w:t>
      </w:r>
      <w:r w:rsidR="005905F7">
        <w:t>Western Interconnection</w:t>
      </w:r>
      <w:r w:rsidR="00D270BD">
        <w:t>.</w:t>
      </w:r>
    </w:p>
    <w:p w14:paraId="06522045" w14:textId="77777777" w:rsidR="00D270BD" w:rsidRDefault="00C41F4F" w:rsidP="001725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81E21" wp14:editId="7F689F9E">
                <wp:simplePos x="0" y="0"/>
                <wp:positionH relativeFrom="column">
                  <wp:posOffset>3829050</wp:posOffset>
                </wp:positionH>
                <wp:positionV relativeFrom="paragraph">
                  <wp:posOffset>1895475</wp:posOffset>
                </wp:positionV>
                <wp:extent cx="2381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4CECD" w14:textId="77777777" w:rsidR="000F178F" w:rsidRDefault="000F178F" w:rsidP="000F178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1E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5pt;margin-top:149.25pt;width:1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" fillcolor="white [3201]" strokeweight=".5pt">
                <v:textbox>
                  <w:txbxContent>
                    <w:p w14:paraId="2294CECD" w14:textId="77777777" w:rsidR="000F178F" w:rsidRDefault="000F178F" w:rsidP="000F178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0631C" wp14:editId="4EA72CF8">
                <wp:simplePos x="0" y="0"/>
                <wp:positionH relativeFrom="column">
                  <wp:posOffset>5181600</wp:posOffset>
                </wp:positionH>
                <wp:positionV relativeFrom="paragraph">
                  <wp:posOffset>2009775</wp:posOffset>
                </wp:positionV>
                <wp:extent cx="23812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140A3" w14:textId="77777777" w:rsidR="00C41F4F" w:rsidRDefault="00C41F4F" w:rsidP="00C41F4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631C" id="Text Box 13" o:spid="_x0000_s1027" type="#_x0000_t202" style="position:absolute;margin-left:408pt;margin-top:158.25pt;width:18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Q3TQIAAKk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" fillcolor="white [3201]" strokeweight=".5pt">
                <v:textbox>
                  <w:txbxContent>
                    <w:p w14:paraId="22E140A3" w14:textId="77777777" w:rsidR="00C41F4F" w:rsidRDefault="00C41F4F" w:rsidP="00C41F4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F17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51369" wp14:editId="6C76A3DE">
                <wp:simplePos x="0" y="0"/>
                <wp:positionH relativeFrom="column">
                  <wp:posOffset>3028950</wp:posOffset>
                </wp:positionH>
                <wp:positionV relativeFrom="paragraph">
                  <wp:posOffset>800100</wp:posOffset>
                </wp:positionV>
                <wp:extent cx="180975" cy="15240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C6C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8.5pt;margin-top:63pt;width:14.25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 w:rsidR="000F17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7E40" wp14:editId="35ED27CE">
                <wp:simplePos x="0" y="0"/>
                <wp:positionH relativeFrom="column">
                  <wp:posOffset>3209925</wp:posOffset>
                </wp:positionH>
                <wp:positionV relativeFrom="paragraph">
                  <wp:posOffset>485775</wp:posOffset>
                </wp:positionV>
                <wp:extent cx="2381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E4377" w14:textId="77777777" w:rsidR="000F178F" w:rsidRDefault="000F178F" w:rsidP="000F178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7E40" id="Text Box 6" o:spid="_x0000_s1028" type="#_x0000_t202" style="position:absolute;margin-left:252.75pt;margin-top:38.25pt;width:1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" fillcolor="white [3201]" strokeweight=".5pt">
                <v:textbox>
                  <w:txbxContent>
                    <w:p w14:paraId="6E0E4377" w14:textId="77777777" w:rsidR="000F178F" w:rsidRDefault="000F178F" w:rsidP="000F178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17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CD968" wp14:editId="7BCD673C">
                <wp:simplePos x="0" y="0"/>
                <wp:positionH relativeFrom="column">
                  <wp:posOffset>1504950</wp:posOffset>
                </wp:positionH>
                <wp:positionV relativeFrom="paragraph">
                  <wp:posOffset>2524125</wp:posOffset>
                </wp:positionV>
                <wp:extent cx="180975" cy="180975"/>
                <wp:effectExtent l="0" t="38100" r="476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44320" id="Straight Arrow Connector 9" o:spid="_x0000_s1026" type="#_x0000_t32" style="position:absolute;margin-left:118.5pt;margin-top:198.75pt;width:14.25pt;height:14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" strokecolor="black [3040]">
                <v:stroke endarrow="block"/>
              </v:shape>
            </w:pict>
          </mc:Fallback>
        </mc:AlternateContent>
      </w:r>
      <w:r w:rsidR="000F1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E5DB0" wp14:editId="665CEA33">
                <wp:simplePos x="0" y="0"/>
                <wp:positionH relativeFrom="column">
                  <wp:posOffset>1266825</wp:posOffset>
                </wp:positionH>
                <wp:positionV relativeFrom="paragraph">
                  <wp:posOffset>2590800</wp:posOffset>
                </wp:positionV>
                <wp:extent cx="2381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09974" w14:textId="77777777" w:rsidR="000F178F" w:rsidRDefault="000F178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5DB0" id="Text Box 5" o:spid="_x0000_s1029" type="#_x0000_t202" style="position:absolute;margin-left:99.75pt;margin-top:204pt;width:1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" fillcolor="white [3201]" strokeweight=".5pt">
                <v:textbox>
                  <w:txbxContent>
                    <w:p w14:paraId="73009974" w14:textId="77777777" w:rsidR="000F178F" w:rsidRDefault="000F178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70BD">
        <w:rPr>
          <w:noProof/>
        </w:rPr>
        <w:drawing>
          <wp:inline distT="0" distB="0" distL="0" distR="0" wp14:anchorId="15918863" wp14:editId="0B29F9FC">
            <wp:extent cx="640080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0BD">
        <w:t xml:space="preserve"> </w:t>
      </w:r>
    </w:p>
    <w:p w14:paraId="5473BB0C" w14:textId="2DA9851C" w:rsidR="000F178F" w:rsidRDefault="00D270BD" w:rsidP="000F178F">
      <w:pPr>
        <w:pStyle w:val="ListParagraph"/>
      </w:pPr>
      <w:r>
        <w:t xml:space="preserve">Tracking the accumulated PII over time has helped identify metering errors within </w:t>
      </w:r>
      <w:r w:rsidR="00A102C7">
        <w:t>BAs.</w:t>
      </w:r>
    </w:p>
    <w:p w14:paraId="76DBAEF9" w14:textId="77777777" w:rsidR="00D270BD" w:rsidRDefault="00D270BD" w:rsidP="000F178F">
      <w:pPr>
        <w:pStyle w:val="ListParagraph"/>
        <w:numPr>
          <w:ilvl w:val="1"/>
          <w:numId w:val="6"/>
        </w:numPr>
      </w:pPr>
      <w:r>
        <w:t>See the large spike on the Off-Peak PII between 2010 and 2015</w:t>
      </w:r>
      <w:r w:rsidR="00A102C7">
        <w:t>.</w:t>
      </w:r>
    </w:p>
    <w:p w14:paraId="64D46AB6" w14:textId="77777777" w:rsidR="009F206B" w:rsidRDefault="00D270BD" w:rsidP="000F178F">
      <w:pPr>
        <w:pStyle w:val="ListParagraph"/>
      </w:pPr>
      <w:r>
        <w:t xml:space="preserve">Providing a cap to the amount of PII that a BA can accumulate over time has decreased the </w:t>
      </w:r>
      <w:r w:rsidR="005C5028">
        <w:t>major swings</w:t>
      </w:r>
      <w:r w:rsidR="00A102C7">
        <w:t>.</w:t>
      </w:r>
    </w:p>
    <w:p w14:paraId="440EA374" w14:textId="7017B78A" w:rsidR="000F178F" w:rsidRDefault="00C41F4F" w:rsidP="000F178F">
      <w:pPr>
        <w:pStyle w:val="ListParagraph"/>
        <w:numPr>
          <w:ilvl w:val="1"/>
          <w:numId w:val="6"/>
        </w:numPr>
      </w:pPr>
      <w:r>
        <w:t>This decrease</w:t>
      </w:r>
      <w:r w:rsidR="000F178F">
        <w:t xml:space="preserve"> was </w:t>
      </w:r>
      <w:r w:rsidR="00F85934">
        <w:t xml:space="preserve">due in part </w:t>
      </w:r>
      <w:r w:rsidR="00A102C7">
        <w:t xml:space="preserve">to </w:t>
      </w:r>
      <w:r w:rsidR="000F178F">
        <w:t>BAL-004-WECC-2 becoming active and causing BA</w:t>
      </w:r>
      <w:r w:rsidR="00F85934">
        <w:t>s</w:t>
      </w:r>
      <w:r w:rsidR="000F178F">
        <w:t xml:space="preserve"> to bring their accumulated PII into compliance</w:t>
      </w:r>
      <w:r w:rsidR="00F85934">
        <w:t xml:space="preserve"> with the accumulation limits in the standard</w:t>
      </w:r>
      <w:r w:rsidR="00A102C7">
        <w:t>.</w:t>
      </w:r>
    </w:p>
    <w:p w14:paraId="00A18318" w14:textId="036ADF6D" w:rsidR="000F178F" w:rsidRDefault="00C41F4F" w:rsidP="000F178F">
      <w:pPr>
        <w:pStyle w:val="ListParagraph"/>
      </w:pPr>
      <w:r>
        <w:t xml:space="preserve">The period </w:t>
      </w:r>
      <w:r w:rsidR="00A102C7">
        <w:t>in which the</w:t>
      </w:r>
      <w:r>
        <w:t xml:space="preserve"> </w:t>
      </w:r>
      <w:r w:rsidR="00A102C7">
        <w:t>Western Interconnection</w:t>
      </w:r>
      <w:r w:rsidR="00A102C7" w:rsidDel="00A102C7">
        <w:t xml:space="preserve"> </w:t>
      </w:r>
      <w:r>
        <w:t>made a c</w:t>
      </w:r>
      <w:r w:rsidR="000F178F">
        <w:t>hange to the MTEC threshold from +/- 5 sec</w:t>
      </w:r>
      <w:r w:rsidR="00A102C7">
        <w:t>onds</w:t>
      </w:r>
      <w:r w:rsidR="000F178F">
        <w:t xml:space="preserve"> to 30 seconds</w:t>
      </w:r>
      <w:r w:rsidR="00A102C7">
        <w:t>.</w:t>
      </w:r>
    </w:p>
    <w:p w14:paraId="4F2EDD0D" w14:textId="58F9A29D" w:rsidR="000F178F" w:rsidRDefault="000F178F" w:rsidP="000F178F">
      <w:pPr>
        <w:pStyle w:val="ListParagraph"/>
        <w:numPr>
          <w:ilvl w:val="1"/>
          <w:numId w:val="6"/>
        </w:numPr>
      </w:pPr>
      <w:r>
        <w:t xml:space="preserve">This change allowed ATEC to operate more </w:t>
      </w:r>
      <w:r w:rsidR="00F85934">
        <w:t xml:space="preserve">effectively </w:t>
      </w:r>
      <w:r>
        <w:t xml:space="preserve">to help </w:t>
      </w:r>
      <w:r w:rsidR="00F85934">
        <w:t xml:space="preserve">reduce the number of </w:t>
      </w:r>
      <w:r>
        <w:t>MTEC</w:t>
      </w:r>
      <w:r w:rsidR="00F85934">
        <w:t>s</w:t>
      </w:r>
      <w:r>
        <w:t xml:space="preserve"> </w:t>
      </w:r>
      <w:r w:rsidR="00C41F4F">
        <w:t xml:space="preserve">being called. It should be noted that the PWG made a request to NAESB to increase the threshold </w:t>
      </w:r>
      <w:proofErr w:type="gramStart"/>
      <w:r w:rsidR="00C41F4F">
        <w:t>event</w:t>
      </w:r>
      <w:r w:rsidR="00A102C7">
        <w:t>,</w:t>
      </w:r>
      <w:r w:rsidR="00C41F4F">
        <w:t xml:space="preserve"> but</w:t>
      </w:r>
      <w:proofErr w:type="gramEnd"/>
      <w:r w:rsidR="00C41F4F">
        <w:t xml:space="preserve"> was denied because NERC had requested to retire the NAESB standard.</w:t>
      </w:r>
    </w:p>
    <w:p w14:paraId="53E31171" w14:textId="43354462" w:rsidR="000F178F" w:rsidRDefault="00C41F4F" w:rsidP="000F178F">
      <w:pPr>
        <w:pStyle w:val="ListParagraph"/>
      </w:pPr>
      <w:r>
        <w:t>The p</w:t>
      </w:r>
      <w:r w:rsidR="000F178F">
        <w:t xml:space="preserve">eriod </w:t>
      </w:r>
      <w:r w:rsidR="00A102C7">
        <w:t>in which</w:t>
      </w:r>
      <w:r w:rsidR="000F178F">
        <w:t xml:space="preserve"> BAL-004</w:t>
      </w:r>
      <w:r>
        <w:t xml:space="preserve">-0 was retired and the </w:t>
      </w:r>
      <w:r w:rsidR="00A102C7">
        <w:t>Western Interconnection</w:t>
      </w:r>
      <w:r w:rsidR="00A102C7" w:rsidRPr="00A102C7" w:rsidDel="00A102C7">
        <w:rPr>
          <w:b/>
          <w:bCs/>
        </w:rPr>
        <w:t xml:space="preserve"> </w:t>
      </w:r>
      <w:r>
        <w:t xml:space="preserve">was able to </w:t>
      </w:r>
      <w:r w:rsidR="00456C76">
        <w:t xml:space="preserve">successfully </w:t>
      </w:r>
      <w:r>
        <w:t xml:space="preserve">maintain </w:t>
      </w:r>
      <w:r w:rsidR="00107805">
        <w:t xml:space="preserve">time error </w:t>
      </w:r>
      <w:r w:rsidR="00F85934">
        <w:t>within acceptable bounds</w:t>
      </w:r>
      <w:r>
        <w:t>.</w:t>
      </w:r>
      <w:r w:rsidR="00107805">
        <w:t xml:space="preserve"> The large movement of time error during this period was due to accumulations of PI</w:t>
      </w:r>
      <w:r w:rsidR="000A4423">
        <w:t>I</w:t>
      </w:r>
      <w:r w:rsidR="00107805">
        <w:t xml:space="preserve"> balances in the </w:t>
      </w:r>
      <w:r w:rsidR="00A102C7">
        <w:t>Western Interconnection</w:t>
      </w:r>
      <w:r w:rsidR="00107805">
        <w:t xml:space="preserve">. </w:t>
      </w:r>
      <w:r w:rsidR="00A102C7">
        <w:t xml:space="preserve">Since </w:t>
      </w:r>
      <w:r w:rsidR="00107805">
        <w:t>MTEC ceased and inadvertent balances were reduced</w:t>
      </w:r>
      <w:r w:rsidR="00A102C7">
        <w:t xml:space="preserve"> overall</w:t>
      </w:r>
      <w:r w:rsidR="00107805">
        <w:t>, the relative time error has been maintained within a relatively tight bound. There have been short periods when schedule errors have occurred, but</w:t>
      </w:r>
      <w:r w:rsidR="00A102C7">
        <w:t>,</w:t>
      </w:r>
      <w:r w:rsidR="00107805">
        <w:t xml:space="preserve"> once discovered by the deficient entity, the ATEC process return</w:t>
      </w:r>
      <w:r w:rsidR="00456C76">
        <w:t>s</w:t>
      </w:r>
      <w:r w:rsidR="00107805">
        <w:t xml:space="preserve"> time error accumulations very quickly.</w:t>
      </w:r>
    </w:p>
    <w:p w14:paraId="4920F990" w14:textId="09BAB443" w:rsidR="00C41F4F" w:rsidRDefault="00C41F4F" w:rsidP="00C41F4F">
      <w:pPr>
        <w:pStyle w:val="ListParagraph"/>
        <w:numPr>
          <w:ilvl w:val="1"/>
          <w:numId w:val="6"/>
        </w:numPr>
      </w:pPr>
      <w:r>
        <w:t xml:space="preserve">As there is a relationship between </w:t>
      </w:r>
      <w:r w:rsidR="00876443">
        <w:t xml:space="preserve">time error </w:t>
      </w:r>
      <w:r>
        <w:t xml:space="preserve">in the </w:t>
      </w:r>
      <w:r w:rsidR="00F90232">
        <w:t>W</w:t>
      </w:r>
      <w:r>
        <w:t xml:space="preserve">est and PII, a decrease in the accumulated PII would cause a </w:t>
      </w:r>
      <w:proofErr w:type="gramStart"/>
      <w:r>
        <w:t>drop in</w:t>
      </w:r>
      <w:proofErr w:type="gramEnd"/>
      <w:r>
        <w:t xml:space="preserve"> </w:t>
      </w:r>
      <w:r w:rsidR="00A102C7">
        <w:t xml:space="preserve">time errors </w:t>
      </w:r>
      <w:r>
        <w:t xml:space="preserve">for the </w:t>
      </w:r>
      <w:r w:rsidR="00A102C7">
        <w:t>West</w:t>
      </w:r>
      <w:r>
        <w:t xml:space="preserve">. However, the </w:t>
      </w:r>
      <w:r w:rsidR="00A102C7">
        <w:t xml:space="preserve">West </w:t>
      </w:r>
      <w:r>
        <w:t xml:space="preserve">is still </w:t>
      </w:r>
      <w:r>
        <w:lastRenderedPageBreak/>
        <w:t xml:space="preserve">able to maintain </w:t>
      </w:r>
      <w:r w:rsidR="00876443">
        <w:t xml:space="preserve">time error </w:t>
      </w:r>
      <w:r>
        <w:t xml:space="preserve">during this time </w:t>
      </w:r>
      <w:r w:rsidR="000440D5">
        <w:t xml:space="preserve">with an approximate one and a half </w:t>
      </w:r>
      <w:proofErr w:type="spellStart"/>
      <w:r w:rsidR="000440D5">
        <w:t>minue</w:t>
      </w:r>
      <w:proofErr w:type="spellEnd"/>
      <w:r w:rsidR="000440D5">
        <w:t xml:space="preserve"> band range</w:t>
      </w:r>
      <w:r w:rsidR="00456C76">
        <w:t>. T</w:t>
      </w:r>
      <w:r>
        <w:t xml:space="preserve">he </w:t>
      </w:r>
      <w:r w:rsidR="00A102C7">
        <w:t>reason</w:t>
      </w:r>
      <w:r>
        <w:t xml:space="preserve"> there is a separation between the two values is that performing MTECs in the </w:t>
      </w:r>
      <w:r w:rsidR="00A102C7">
        <w:t xml:space="preserve">West </w:t>
      </w:r>
      <w:r>
        <w:t>has caused a deviation between the two values. The PWG is currently exploring options on how to reliably bring the two values together.</w:t>
      </w:r>
    </w:p>
    <w:p w14:paraId="1112D72B" w14:textId="77777777" w:rsidR="00C41F4F" w:rsidRDefault="00C41F4F" w:rsidP="00C41F4F">
      <w:r>
        <w:t>References:</w:t>
      </w:r>
    </w:p>
    <w:p w14:paraId="1AD53589" w14:textId="77777777" w:rsidR="00C41F4F" w:rsidRDefault="00C41F4F" w:rsidP="00C41F4F">
      <w:pPr>
        <w:pStyle w:val="ListParagraph"/>
        <w:numPr>
          <w:ilvl w:val="0"/>
          <w:numId w:val="13"/>
        </w:numPr>
      </w:pPr>
      <w:r>
        <w:t>The current version of BAL-004-WECC-x</w:t>
      </w:r>
      <w:r w:rsidR="00A102C7">
        <w:t>:</w:t>
      </w:r>
    </w:p>
    <w:p w14:paraId="007382FE" w14:textId="77777777" w:rsidR="00C41F4F" w:rsidRDefault="00C23662" w:rsidP="00C41F4F">
      <w:pPr>
        <w:pStyle w:val="ListParagraph"/>
        <w:numPr>
          <w:ilvl w:val="0"/>
          <w:numId w:val="0"/>
        </w:numPr>
        <w:ind w:left="720"/>
      </w:pPr>
      <w:hyperlink r:id="rId11" w:history="1">
        <w:r w:rsidR="00C41F4F">
          <w:rPr>
            <w:rStyle w:val="Hyperlink"/>
          </w:rPr>
          <w:t>https://www.nerc.com/pa/Stand/Reliability%20Standards/BAL-004-WECC-3.pdf</w:t>
        </w:r>
      </w:hyperlink>
    </w:p>
    <w:p w14:paraId="6A7502EB" w14:textId="77777777" w:rsidR="00C41F4F" w:rsidRDefault="00C41F4F" w:rsidP="00C41F4F">
      <w:pPr>
        <w:pStyle w:val="ListParagraph"/>
        <w:numPr>
          <w:ilvl w:val="0"/>
          <w:numId w:val="13"/>
        </w:numPr>
      </w:pPr>
      <w:r>
        <w:t>NERC justification for retiring BAL-004-0</w:t>
      </w:r>
      <w:r w:rsidR="00A102C7">
        <w:t>:</w:t>
      </w:r>
    </w:p>
    <w:p w14:paraId="25FDD780" w14:textId="77777777" w:rsidR="00C41F4F" w:rsidRDefault="00C23662" w:rsidP="00C41F4F">
      <w:pPr>
        <w:pStyle w:val="ListParagraph"/>
        <w:numPr>
          <w:ilvl w:val="0"/>
          <w:numId w:val="0"/>
        </w:numPr>
        <w:ind w:left="720"/>
      </w:pPr>
      <w:hyperlink r:id="rId12" w:history="1">
        <w:r w:rsidR="00C41F4F">
          <w:rPr>
            <w:rStyle w:val="Hyperlink"/>
          </w:rPr>
          <w:t>https://www.nerc.com/FilingsOrders/ca/Canadian%20Filings%20and%20Orders%20DL/NEB%20BAL-004%20Filing%20for%20Retirement.pdf</w:t>
        </w:r>
      </w:hyperlink>
    </w:p>
    <w:p w14:paraId="16411E8C" w14:textId="4D23A262" w:rsidR="00C41F4F" w:rsidRDefault="00C41F4F" w:rsidP="00C41F4F">
      <w:pPr>
        <w:pStyle w:val="ListParagraph"/>
        <w:numPr>
          <w:ilvl w:val="0"/>
          <w:numId w:val="13"/>
        </w:numPr>
        <w:spacing w:after="0"/>
      </w:pPr>
      <w:r>
        <w:t xml:space="preserve">PWG </w:t>
      </w:r>
      <w:r w:rsidR="00A102C7">
        <w:t>p</w:t>
      </w:r>
      <w:r>
        <w:t xml:space="preserve">resentation about </w:t>
      </w:r>
      <w:r w:rsidR="00A102C7">
        <w:t>time error:</w:t>
      </w:r>
    </w:p>
    <w:p w14:paraId="5B3D9A8E" w14:textId="77777777" w:rsidR="00C41F4F" w:rsidRDefault="00C23662" w:rsidP="00C41F4F">
      <w:pPr>
        <w:ind w:left="720"/>
      </w:pPr>
      <w:hyperlink r:id="rId13" w:history="1">
        <w:r w:rsidR="00C41F4F">
          <w:rPr>
            <w:rStyle w:val="Hyperlink"/>
          </w:rPr>
          <w:t>https://www.wecc.org/_layouts/15/WopiFrame.aspx?sourcedoc=/Administrative/Wells%20-%20PII%20TE_April%202020.pdf&amp;action=default&amp;DefaultItemOpen=1</w:t>
        </w:r>
      </w:hyperlink>
    </w:p>
    <w:p w14:paraId="655F0E2E" w14:textId="5E75699F" w:rsidR="00C41F4F" w:rsidRDefault="00C41F4F" w:rsidP="00C41F4F">
      <w:pPr>
        <w:pStyle w:val="ListParagraph"/>
        <w:numPr>
          <w:ilvl w:val="0"/>
          <w:numId w:val="13"/>
        </w:numPr>
      </w:pPr>
      <w:r>
        <w:t xml:space="preserve">Latest version of the </w:t>
      </w:r>
      <w:r w:rsidR="00A102C7">
        <w:t>Western Interconnection</w:t>
      </w:r>
      <w:r>
        <w:t xml:space="preserve"> </w:t>
      </w:r>
      <w:r w:rsidR="00A102C7">
        <w:t>p</w:t>
      </w:r>
      <w:r>
        <w:t xml:space="preserve">erformance </w:t>
      </w:r>
      <w:r w:rsidR="00A102C7">
        <w:t>c</w:t>
      </w:r>
      <w:r>
        <w:t>harts</w:t>
      </w:r>
      <w:r w:rsidR="00A102C7">
        <w:t>:</w:t>
      </w:r>
    </w:p>
    <w:p w14:paraId="0AAFD753" w14:textId="77777777" w:rsidR="00C41F4F" w:rsidRDefault="00C23662" w:rsidP="00C41F4F">
      <w:pPr>
        <w:pStyle w:val="ListParagraph"/>
        <w:numPr>
          <w:ilvl w:val="0"/>
          <w:numId w:val="0"/>
        </w:numPr>
        <w:ind w:left="720"/>
      </w:pPr>
      <w:hyperlink r:id="rId14" w:history="1">
        <w:r w:rsidR="00C41F4F">
          <w:rPr>
            <w:rStyle w:val="Hyperlink"/>
          </w:rPr>
          <w:t>https://www.wecc.org/_layouts/15/WopiFrame.aspx?sourcedoc=/Administrative/2020-04%20Western%20Interconnection%20Performance.pdf&amp;action=default&amp;DefaultItemOpen=1</w:t>
        </w:r>
      </w:hyperlink>
    </w:p>
    <w:p w14:paraId="1DC4B177" w14:textId="77777777" w:rsidR="00C41F4F" w:rsidRDefault="00C41F4F" w:rsidP="00C41F4F">
      <w:pPr>
        <w:pStyle w:val="Heading3"/>
      </w:pPr>
      <w:r>
        <w:t>Summary</w:t>
      </w:r>
    </w:p>
    <w:p w14:paraId="26F21FBB" w14:textId="2869DA59" w:rsidR="00C41F4F" w:rsidRPr="00D270BD" w:rsidRDefault="00C41F4F" w:rsidP="00C41F4F">
      <w:r>
        <w:t xml:space="preserve">The </w:t>
      </w:r>
      <w:r w:rsidR="00A102C7">
        <w:t>Western Interconnection</w:t>
      </w:r>
      <w:r>
        <w:t xml:space="preserve"> has standards and procedures to address time error</w:t>
      </w:r>
      <w:r w:rsidR="00A102C7">
        <w:t>s</w:t>
      </w:r>
      <w:r>
        <w:t xml:space="preserve"> that </w:t>
      </w:r>
      <w:r w:rsidR="00A102C7">
        <w:t>are</w:t>
      </w:r>
      <w:r>
        <w:t xml:space="preserve"> under the</w:t>
      </w:r>
      <w:r w:rsidRPr="00A56173">
        <w:t xml:space="preserve"> jurisdiction of </w:t>
      </w:r>
      <w:r>
        <w:t>the</w:t>
      </w:r>
      <w:r w:rsidRPr="00A56173">
        <w:t xml:space="preserve"> Federal Energy Regulatory Commission (FERC)</w:t>
      </w:r>
      <w:r>
        <w:t>, the North America Reliability Coordinating Council (NERC), and RC West</w:t>
      </w:r>
      <w:r w:rsidR="00F90232">
        <w:t>,</w:t>
      </w:r>
      <w:r>
        <w:t xml:space="preserve"> who is the designated </w:t>
      </w:r>
      <w:r w:rsidR="00F90232">
        <w:t>Interconnection T</w:t>
      </w:r>
      <w:r>
        <w:t xml:space="preserve">ime </w:t>
      </w:r>
      <w:r w:rsidR="00F90232">
        <w:t>M</w:t>
      </w:r>
      <w:r>
        <w:t xml:space="preserve">onitor for the </w:t>
      </w:r>
      <w:r w:rsidR="00A102C7">
        <w:t>Western Interconnection</w:t>
      </w:r>
      <w:r>
        <w:t>. Based o</w:t>
      </w:r>
      <w:bookmarkStart w:id="0" w:name="_GoBack"/>
      <w:bookmarkEnd w:id="0"/>
      <w:r>
        <w:t xml:space="preserve">n analysis from the WECC PWG, ATEC is working to manage </w:t>
      </w:r>
      <w:r w:rsidR="00A102C7">
        <w:t xml:space="preserve">time error </w:t>
      </w:r>
      <w:r>
        <w:t xml:space="preserve">in the </w:t>
      </w:r>
      <w:r w:rsidR="00A102C7">
        <w:t>West but</w:t>
      </w:r>
      <w:r>
        <w:t xml:space="preserve"> needs to address </w:t>
      </w:r>
      <w:r w:rsidR="00F85934">
        <w:t xml:space="preserve">the </w:t>
      </w:r>
      <w:r w:rsidR="00234538">
        <w:t>accumulated</w:t>
      </w:r>
      <w:r w:rsidR="00F85934">
        <w:t xml:space="preserve"> </w:t>
      </w:r>
      <w:r>
        <w:t xml:space="preserve">difference caused by performing MTECs in the past. NAESB </w:t>
      </w:r>
      <w:r w:rsidR="00456C76">
        <w:t>WEQ-006</w:t>
      </w:r>
      <w:r>
        <w:t xml:space="preserve"> </w:t>
      </w:r>
      <w:r w:rsidRPr="00A56173">
        <w:t xml:space="preserve">should not include references to </w:t>
      </w:r>
      <w:r>
        <w:t xml:space="preserve">the </w:t>
      </w:r>
      <w:r w:rsidR="00A102C7">
        <w:t>Western Interconnection</w:t>
      </w:r>
      <w:r w:rsidR="00A102C7" w:rsidDel="00A102C7">
        <w:t xml:space="preserve"> </w:t>
      </w:r>
      <w:r w:rsidR="00456C76">
        <w:t xml:space="preserve">because the standard’s </w:t>
      </w:r>
      <w:r w:rsidR="00234538">
        <w:t xml:space="preserve">requirements </w:t>
      </w:r>
      <w:r>
        <w:t xml:space="preserve">are outdated </w:t>
      </w:r>
      <w:r w:rsidR="00234538">
        <w:t>and contrary to reliable operations</w:t>
      </w:r>
      <w:r>
        <w:t xml:space="preserve"> </w:t>
      </w:r>
      <w:r w:rsidR="00234538">
        <w:t xml:space="preserve">as has </w:t>
      </w:r>
      <w:r>
        <w:t>been discussed, commented, and approved by the industry</w:t>
      </w:r>
      <w:r w:rsidR="00456C76">
        <w:t>. In addition, the NAESB standard injects</w:t>
      </w:r>
      <w:r w:rsidR="00234538">
        <w:t xml:space="preserve"> </w:t>
      </w:r>
      <w:r>
        <w:t xml:space="preserve">additional complications to the ATEC process that is </w:t>
      </w:r>
      <w:r w:rsidR="00456C76">
        <w:t>successfully</w:t>
      </w:r>
      <w:r>
        <w:t xml:space="preserve"> manag</w:t>
      </w:r>
      <w:r w:rsidR="00456C76">
        <w:t>ing</w:t>
      </w:r>
      <w:r>
        <w:t xml:space="preserve"> </w:t>
      </w:r>
      <w:r w:rsidR="00A102C7">
        <w:t>time error</w:t>
      </w:r>
      <w:r w:rsidR="00456C76">
        <w:t xml:space="preserve"> in the West</w:t>
      </w:r>
      <w:r w:rsidRPr="00A56173">
        <w:t>.</w:t>
      </w:r>
    </w:p>
    <w:sectPr w:rsidR="00C41F4F" w:rsidRPr="00D270BD" w:rsidSect="0025541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F55D" w14:textId="77777777" w:rsidR="00C23662" w:rsidRDefault="00C23662" w:rsidP="00E60569">
      <w:r>
        <w:separator/>
      </w:r>
    </w:p>
    <w:p w14:paraId="4791BF76" w14:textId="77777777" w:rsidR="00C23662" w:rsidRDefault="00C23662" w:rsidP="00E60569"/>
  </w:endnote>
  <w:endnote w:type="continuationSeparator" w:id="0">
    <w:p w14:paraId="484922CA" w14:textId="77777777" w:rsidR="00C23662" w:rsidRDefault="00C23662" w:rsidP="00E60569">
      <w:r>
        <w:continuationSeparator/>
      </w:r>
    </w:p>
    <w:p w14:paraId="38C88284" w14:textId="77777777" w:rsidR="00C23662" w:rsidRDefault="00C23662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14AF1E08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07685870" wp14:editId="49157390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A465C3">
          <w:rPr>
            <w:b w:val="0"/>
            <w:sz w:val="22"/>
          </w:rPr>
          <w:t>4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9C2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8C40" w14:textId="77777777" w:rsidR="00C23662" w:rsidRDefault="00C23662" w:rsidP="00EA064E">
      <w:pPr>
        <w:spacing w:after="0"/>
      </w:pPr>
      <w:r>
        <w:separator/>
      </w:r>
    </w:p>
  </w:footnote>
  <w:footnote w:type="continuationSeparator" w:id="0">
    <w:p w14:paraId="02EC6ADB" w14:textId="77777777" w:rsidR="00C23662" w:rsidRDefault="00C23662" w:rsidP="00E60569">
      <w:r>
        <w:continuationSeparator/>
      </w:r>
    </w:p>
    <w:p w14:paraId="42CC0144" w14:textId="77777777" w:rsidR="00C23662" w:rsidRDefault="00C23662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4104" w14:textId="61175B38" w:rsidR="00E115FD" w:rsidRPr="000A4423" w:rsidRDefault="00A102C7" w:rsidP="000A4423">
    <w:pPr>
      <w:pStyle w:val="Header"/>
      <w:contextualSpacing w:val="0"/>
    </w:pPr>
    <w:r>
      <w:t>Justification Change: NAESB WEC-006 Standard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421D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FF41F7" wp14:editId="199274BA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13CDD" w14:textId="77777777" w:rsidR="00D727F8" w:rsidRDefault="00D727F8" w:rsidP="00E60569">
    <w:pPr>
      <w:pStyle w:val="Header"/>
      <w:contextualSpacing w:val="0"/>
    </w:pPr>
    <w:bookmarkStart w:id="1" w:name="_Hlk535242431"/>
    <w:bookmarkStart w:id="2" w:name="_Hlk535242432"/>
    <w:bookmarkStart w:id="3" w:name="_Hlk535242433"/>
    <w:bookmarkStart w:id="4" w:name="_Hlk535242435"/>
    <w:bookmarkStart w:id="5" w:name="_Hlk535242436"/>
    <w:bookmarkStart w:id="6" w:name="_Hlk535242437"/>
    <w:bookmarkStart w:id="7" w:name="_Hlk535242438"/>
    <w:bookmarkStart w:id="8" w:name="_Hlk535242439"/>
    <w:bookmarkStart w:id="9" w:name="_Hlk535242440"/>
    <w:r>
      <w:t xml:space="preserve">Justification Change: </w:t>
    </w:r>
  </w:p>
  <w:p w14:paraId="00D89419" w14:textId="77777777" w:rsidR="00F82512" w:rsidRDefault="00D727F8" w:rsidP="00E60569">
    <w:pPr>
      <w:pStyle w:val="Header"/>
      <w:contextualSpacing w:val="0"/>
    </w:pPr>
    <w:r>
      <w:t>NAESB WEC-006 Standard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0FB64433" w14:textId="5CBFC74B" w:rsidR="00F82512" w:rsidRPr="00761FA8" w:rsidRDefault="00A102C7" w:rsidP="00E60569">
    <w:pPr>
      <w:pStyle w:val="Header"/>
      <w:contextualSpacing w:val="0"/>
    </w:pPr>
    <w:r>
      <w:t xml:space="preserve">August </w:t>
    </w:r>
    <w:r w:rsidR="000A4423">
      <w:t>18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335"/>
    <w:multiLevelType w:val="hybridMultilevel"/>
    <w:tmpl w:val="A182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A527F2B"/>
    <w:multiLevelType w:val="hybridMultilevel"/>
    <w:tmpl w:val="BCA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55B1735"/>
    <w:multiLevelType w:val="hybridMultilevel"/>
    <w:tmpl w:val="E7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sDCyNDIyMTM0szRX0lEKTi0uzszPAykwrgUAPFchdCwAAAA="/>
  </w:docVars>
  <w:rsids>
    <w:rsidRoot w:val="00D727F8"/>
    <w:rsid w:val="000440D5"/>
    <w:rsid w:val="000A1755"/>
    <w:rsid w:val="000A4423"/>
    <w:rsid w:val="000E09BB"/>
    <w:rsid w:val="000F178F"/>
    <w:rsid w:val="000F614E"/>
    <w:rsid w:val="00107805"/>
    <w:rsid w:val="001636D2"/>
    <w:rsid w:val="00172548"/>
    <w:rsid w:val="001A1779"/>
    <w:rsid w:val="001B7CE9"/>
    <w:rsid w:val="001D400C"/>
    <w:rsid w:val="002122A7"/>
    <w:rsid w:val="002267AC"/>
    <w:rsid w:val="0022692D"/>
    <w:rsid w:val="00234538"/>
    <w:rsid w:val="00245949"/>
    <w:rsid w:val="0025166E"/>
    <w:rsid w:val="00255412"/>
    <w:rsid w:val="00276F70"/>
    <w:rsid w:val="002A340E"/>
    <w:rsid w:val="002A59FD"/>
    <w:rsid w:val="002B4DA5"/>
    <w:rsid w:val="002E1330"/>
    <w:rsid w:val="00323BC9"/>
    <w:rsid w:val="003817E6"/>
    <w:rsid w:val="003A7EC5"/>
    <w:rsid w:val="003D6FA2"/>
    <w:rsid w:val="003E1973"/>
    <w:rsid w:val="0043738A"/>
    <w:rsid w:val="00456C76"/>
    <w:rsid w:val="00473E2D"/>
    <w:rsid w:val="004D1F97"/>
    <w:rsid w:val="004D7A85"/>
    <w:rsid w:val="005101C5"/>
    <w:rsid w:val="00527972"/>
    <w:rsid w:val="00550DB3"/>
    <w:rsid w:val="005905F7"/>
    <w:rsid w:val="005C5028"/>
    <w:rsid w:val="00603CB7"/>
    <w:rsid w:val="00640848"/>
    <w:rsid w:val="006D1E92"/>
    <w:rsid w:val="007130D6"/>
    <w:rsid w:val="00732DCD"/>
    <w:rsid w:val="00761FA8"/>
    <w:rsid w:val="007A46E1"/>
    <w:rsid w:val="007B7780"/>
    <w:rsid w:val="007C51B6"/>
    <w:rsid w:val="008213A7"/>
    <w:rsid w:val="00827755"/>
    <w:rsid w:val="00876443"/>
    <w:rsid w:val="008E7488"/>
    <w:rsid w:val="008F3E53"/>
    <w:rsid w:val="00923910"/>
    <w:rsid w:val="00937FDD"/>
    <w:rsid w:val="009A4D48"/>
    <w:rsid w:val="009B19EE"/>
    <w:rsid w:val="009D2307"/>
    <w:rsid w:val="009D7A9A"/>
    <w:rsid w:val="009E040B"/>
    <w:rsid w:val="009E1D07"/>
    <w:rsid w:val="009F206B"/>
    <w:rsid w:val="00A102C7"/>
    <w:rsid w:val="00A323FE"/>
    <w:rsid w:val="00A465C3"/>
    <w:rsid w:val="00A56173"/>
    <w:rsid w:val="00A908C8"/>
    <w:rsid w:val="00B55A80"/>
    <w:rsid w:val="00B75380"/>
    <w:rsid w:val="00B9772D"/>
    <w:rsid w:val="00BA7DBE"/>
    <w:rsid w:val="00BB44CC"/>
    <w:rsid w:val="00BF118D"/>
    <w:rsid w:val="00BF79BD"/>
    <w:rsid w:val="00C05765"/>
    <w:rsid w:val="00C11B97"/>
    <w:rsid w:val="00C23662"/>
    <w:rsid w:val="00C41F4F"/>
    <w:rsid w:val="00C67879"/>
    <w:rsid w:val="00CF774D"/>
    <w:rsid w:val="00D21EAF"/>
    <w:rsid w:val="00D270BD"/>
    <w:rsid w:val="00D727F8"/>
    <w:rsid w:val="00DD7DD0"/>
    <w:rsid w:val="00E115FD"/>
    <w:rsid w:val="00E5288E"/>
    <w:rsid w:val="00E5719E"/>
    <w:rsid w:val="00E60569"/>
    <w:rsid w:val="00EA064E"/>
    <w:rsid w:val="00EA2394"/>
    <w:rsid w:val="00EC4B79"/>
    <w:rsid w:val="00F21CE3"/>
    <w:rsid w:val="00F82512"/>
    <w:rsid w:val="00F853EC"/>
    <w:rsid w:val="00F85934"/>
    <w:rsid w:val="00F8781A"/>
    <w:rsid w:val="00F9023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84B9"/>
  <w15:chartTrackingRefBased/>
  <w15:docId w15:val="{B27C0323-02D5-41C4-8421-C07F8F20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E92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2267AC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76F70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76F70"/>
    <w:pPr>
      <w:suppressAutoHyphens/>
      <w:spacing w:before="240"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A46E1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276F70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276F70"/>
    <w:rPr>
      <w:rFonts w:ascii="Lucida Sans" w:hAnsi="Lucida San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0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com/comm/OC/ReferenceDocumentsDL/Time_Monitoring_Reference_Document_v5.pdf" TargetMode="External"/><Relationship Id="rId13" Type="http://schemas.openxmlformats.org/officeDocument/2006/relationships/hyperlink" Target="https://www.wecc.org/_layouts/15/WopiFrame.aspx?sourcedoc=/Administrative/Wells%20-%20PII%20TE_April%202020.pdf&amp;action=default&amp;DefaultItemOpen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rc.com/FilingsOrders/ca/Canadian%20Filings%20and%20Orders%20DL/NEB%20BAL-004%20Filing%20for%20Retirement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rc.com/pa/Stand/Reliability%20Standards/BAL-004-WECC-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iso.com/Documents/RC0220.pdf" TargetMode="External"/><Relationship Id="rId14" Type="http://schemas.openxmlformats.org/officeDocument/2006/relationships/hyperlink" Target="https://www.wecc.org/_layouts/15/WopiFrame.aspx?sourcedoc=/Administrative/2020-04%20Western%20Interconnection%20Performance.pdf&amp;action=default&amp;DefaultItemOpe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3A7F1A1-01C8-49CA-A170-ED34FB3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BasicDocument.dotx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Tim</dc:creator>
  <cp:keywords/>
  <dc:description/>
  <cp:lastModifiedBy>Reynolds, Tim</cp:lastModifiedBy>
  <cp:revision>2</cp:revision>
  <cp:lastPrinted>2019-01-04T22:00:00Z</cp:lastPrinted>
  <dcterms:created xsi:type="dcterms:W3CDTF">2020-08-18T19:29:00Z</dcterms:created>
  <dcterms:modified xsi:type="dcterms:W3CDTF">2020-08-18T19:29:00Z</dcterms:modified>
</cp:coreProperties>
</file>