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559E7D3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 Wholesale Electric Quadrant</w:t>
      </w:r>
    </w:p>
    <w:p w14:paraId="2BD3EE26" w14:textId="4E32DCB0"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D339A3">
        <w:t xml:space="preserve">February </w:t>
      </w:r>
      <w:r w:rsidR="00222411">
        <w:t>15</w:t>
      </w:r>
      <w:r w:rsidR="00372AA2">
        <w:t>, 2023</w:t>
      </w:r>
      <w:r w:rsidR="00230ECA">
        <w:t xml:space="preserve"> WEQ BPS </w:t>
      </w:r>
      <w:r w:rsidR="00A856C9">
        <w:t>Meeti</w:t>
      </w:r>
      <w:r w:rsidR="00230ECA">
        <w:t>ng</w:t>
      </w:r>
    </w:p>
    <w:p w14:paraId="7C63E7B7" w14:textId="1F1EC40E"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D339A3">
        <w:t xml:space="preserve">February </w:t>
      </w:r>
      <w:r w:rsidR="00222411">
        <w:t>16</w:t>
      </w:r>
      <w:r w:rsidR="000807B7">
        <w:t>, 2023</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20163922" w14:textId="2F4FAF06" w:rsidR="00C44C62" w:rsidRDefault="00D339A3" w:rsidP="0063021A">
      <w:pPr>
        <w:widowControl w:val="0"/>
        <w:jc w:val="center"/>
        <w:outlineLvl w:val="2"/>
        <w:rPr>
          <w:b/>
          <w:bCs/>
        </w:rPr>
      </w:pPr>
      <w:r>
        <w:rPr>
          <w:b/>
          <w:bCs/>
        </w:rPr>
        <w:t>February</w:t>
      </w:r>
      <w:r w:rsidR="00E57152">
        <w:rPr>
          <w:b/>
          <w:bCs/>
        </w:rPr>
        <w:t xml:space="preserve"> </w:t>
      </w:r>
      <w:r w:rsidR="00952A69">
        <w:rPr>
          <w:b/>
          <w:bCs/>
        </w:rPr>
        <w:t>15</w:t>
      </w:r>
      <w:r w:rsidR="000807B7">
        <w:rPr>
          <w:b/>
          <w:bCs/>
        </w:rPr>
        <w:t>, 2023</w:t>
      </w:r>
      <w:r w:rsidR="00B70957">
        <w:rPr>
          <w:b/>
          <w:bCs/>
        </w:rPr>
        <w:t xml:space="preserve"> – </w:t>
      </w:r>
      <w:r w:rsidR="00370B79">
        <w:rPr>
          <w:b/>
          <w:bCs/>
        </w:rPr>
        <w:t>1</w:t>
      </w:r>
      <w:r w:rsidR="00952A69">
        <w:rPr>
          <w:b/>
          <w:bCs/>
        </w:rPr>
        <w:t>0</w:t>
      </w:r>
      <w:r w:rsidR="00F250F8">
        <w:rPr>
          <w:b/>
          <w:bCs/>
        </w:rPr>
        <w:t>:</w:t>
      </w:r>
      <w:r w:rsidR="00437FB7">
        <w:rPr>
          <w:b/>
          <w:bCs/>
        </w:rPr>
        <w:t>0</w:t>
      </w:r>
      <w:r w:rsidR="00F250F8">
        <w:rPr>
          <w:b/>
          <w:bCs/>
        </w:rPr>
        <w:t xml:space="preserve">0 </w:t>
      </w:r>
      <w:r w:rsidR="00952A69">
        <w:rPr>
          <w:b/>
          <w:bCs/>
        </w:rPr>
        <w:t>A</w:t>
      </w:r>
      <w:r w:rsidR="00F250F8">
        <w:rPr>
          <w:b/>
          <w:bCs/>
        </w:rPr>
        <w:t>M</w:t>
      </w:r>
      <w:r w:rsidR="00B70957">
        <w:rPr>
          <w:b/>
          <w:bCs/>
        </w:rPr>
        <w:t xml:space="preserve"> to </w:t>
      </w:r>
      <w:r w:rsidR="00952A69">
        <w:rPr>
          <w:b/>
          <w:bCs/>
        </w:rPr>
        <w:t>1</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65BC5005"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1F036C">
        <w:t xml:space="preserve">The agenda was adopted </w:t>
      </w:r>
      <w:r w:rsidR="003D1045">
        <w:t xml:space="preserve">on a motion </w:t>
      </w:r>
      <w:r w:rsidR="008345D2">
        <w:t xml:space="preserve">by Mr. </w:t>
      </w:r>
      <w:r w:rsidR="005C688C">
        <w:t>Brooks</w:t>
      </w:r>
      <w:r w:rsidR="00D8764F">
        <w:t xml:space="preserve">, seconded by </w:t>
      </w:r>
      <w:r w:rsidR="00B35CD0">
        <w:t xml:space="preserve">Mr. </w:t>
      </w:r>
      <w:r w:rsidR="00222411">
        <w:t>Wood.</w:t>
      </w:r>
    </w:p>
    <w:p w14:paraId="3F30554C" w14:textId="2FA87B58" w:rsidR="00370B79" w:rsidRDefault="00370B79" w:rsidP="008F22D4">
      <w:pPr>
        <w:spacing w:after="120"/>
        <w:jc w:val="both"/>
      </w:pPr>
      <w:r>
        <w:t xml:space="preserve">Mr. Phillips reviewed the draft minutes from the </w:t>
      </w:r>
      <w:r w:rsidR="00222411">
        <w:t>February 8</w:t>
      </w:r>
      <w:r w:rsidR="00372AA2">
        <w:t>, 2023</w:t>
      </w:r>
      <w:r>
        <w:t xml:space="preserve"> meeting.  </w:t>
      </w:r>
      <w:r w:rsidR="005965E2">
        <w:t>No modifications were offered</w:t>
      </w:r>
      <w:r>
        <w:t xml:space="preserve">.  Mr. Brooks moved, seconded by </w:t>
      </w:r>
      <w:r w:rsidR="00222411">
        <w:t>Mr. Wood</w:t>
      </w:r>
      <w:r>
        <w:t xml:space="preserve"> to adopt the minutes as final.  The motion passed a simple majority vote without opposition.  The final minutes from the meeting are available at the following link:</w:t>
      </w:r>
      <w:r w:rsidR="00F27BFF">
        <w:t xml:space="preserve"> </w:t>
      </w:r>
      <w:hyperlink r:id="rId8" w:history="1">
        <w:r w:rsidR="00222411" w:rsidRPr="00B247E0">
          <w:rPr>
            <w:rStyle w:val="Hyperlink"/>
          </w:rPr>
          <w:t>https://naesb.org//pdf4/weq_bps020823fm.docx</w:t>
        </w:r>
      </w:hyperlink>
      <w:r w:rsidR="00222411">
        <w:t xml:space="preserve">. </w:t>
      </w:r>
    </w:p>
    <w:p w14:paraId="41CCB7A0" w14:textId="6386EBF3" w:rsidR="00372AA2" w:rsidRDefault="00D339A3" w:rsidP="00372AA2">
      <w:pPr>
        <w:widowControl w:val="0"/>
        <w:numPr>
          <w:ilvl w:val="0"/>
          <w:numId w:val="11"/>
        </w:numPr>
        <w:tabs>
          <w:tab w:val="num" w:pos="1620"/>
          <w:tab w:val="num" w:pos="2160"/>
        </w:tabs>
        <w:spacing w:before="120" w:after="120"/>
        <w:jc w:val="both"/>
        <w:rPr>
          <w:b/>
          <w:bCs/>
        </w:rPr>
      </w:pPr>
      <w:r>
        <w:rPr>
          <w:b/>
          <w:bCs/>
        </w:rPr>
        <w:t>Finalize and Vote</w:t>
      </w:r>
      <w:r w:rsidR="00372AA2" w:rsidRPr="00372AA2">
        <w:rPr>
          <w:b/>
          <w:bCs/>
        </w:rPr>
        <w:t xml:space="preserve"> on </w:t>
      </w:r>
      <w:r>
        <w:rPr>
          <w:b/>
          <w:bCs/>
        </w:rPr>
        <w:t xml:space="preserve">a Recommendation in Support of </w:t>
      </w:r>
      <w:r w:rsidR="00372AA2" w:rsidRPr="00372AA2">
        <w:rPr>
          <w:b/>
          <w:bCs/>
        </w:rPr>
        <w:t>2023 WEQ Annual Plan 5.d – 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9" w:history="1">
        <w:r w:rsidR="00372AA2" w:rsidRPr="00372AA2">
          <w:rPr>
            <w:rStyle w:val="Hyperlink"/>
            <w:b/>
            <w:bCs/>
          </w:rPr>
          <w:t>Standards Request R22001</w:t>
        </w:r>
      </w:hyperlink>
      <w:r w:rsidR="00372AA2" w:rsidRPr="00372AA2">
        <w:rPr>
          <w:b/>
          <w:bCs/>
        </w:rPr>
        <w:t>)</w:t>
      </w:r>
    </w:p>
    <w:p w14:paraId="4BE1AFC2" w14:textId="32A4064E" w:rsidR="00FF5F0D" w:rsidRDefault="00372AA2" w:rsidP="00D339A3">
      <w:pPr>
        <w:widowControl w:val="0"/>
        <w:tabs>
          <w:tab w:val="num" w:pos="1620"/>
        </w:tabs>
        <w:spacing w:before="120" w:after="120"/>
        <w:jc w:val="both"/>
      </w:pPr>
      <w:r>
        <w:t xml:space="preserve">Mr. Phillips stated that </w:t>
      </w:r>
      <w:r w:rsidR="00D339A3">
        <w:t xml:space="preserve">during the last meeting, the participants had </w:t>
      </w:r>
      <w:r w:rsidR="00222411">
        <w:t>come close to finalizing a recommendation but still needed to reach a consensus regarding what if any language in the standards or the introduction would be included regarding emergency situations.  Mr. Phillips reminded the participants that in crafting language, the subcommittee needs to be careful so as to avoid any overlap between the business practices and reliability standards.</w:t>
      </w:r>
    </w:p>
    <w:p w14:paraId="5992B34E" w14:textId="098EF2E8" w:rsidR="00222411" w:rsidRDefault="00222411" w:rsidP="00D339A3">
      <w:pPr>
        <w:widowControl w:val="0"/>
        <w:tabs>
          <w:tab w:val="num" w:pos="1620"/>
        </w:tabs>
        <w:spacing w:before="120" w:after="120"/>
        <w:jc w:val="both"/>
      </w:pPr>
      <w:r>
        <w:t xml:space="preserve">Mr. Widergren stated that as part of </w:t>
      </w:r>
      <w:hyperlink r:id="rId10" w:history="1">
        <w:r w:rsidRPr="00222411">
          <w:rPr>
            <w:rStyle w:val="Hyperlink"/>
          </w:rPr>
          <w:t>comments</w:t>
        </w:r>
      </w:hyperlink>
      <w:r>
        <w:t xml:space="preserve"> submitted for the meeting, there was an additional proposal for language to be included as part of the introduction.  He explained that this language, proposed as Option 7, would indicate that common grid services can address a variety of operational objectives, which may include emergency services, while clarifying that emergency policies and procedures are beyond the scope of the standards.  Ms. </w:t>
      </w:r>
      <w:proofErr w:type="spellStart"/>
      <w:r>
        <w:t>Berdahl</w:t>
      </w:r>
      <w:proofErr w:type="spellEnd"/>
      <w:r>
        <w:t xml:space="preserve"> stated that BPA </w:t>
      </w:r>
      <w:r w:rsidR="000C458B">
        <w:t xml:space="preserve">held an internal discussion regarding the proposals and that while Option 7 may be a possibility, BPA’s first preference is for Option 5.  Ms. </w:t>
      </w:r>
      <w:proofErr w:type="spellStart"/>
      <w:r w:rsidR="000C458B">
        <w:t>Mendrala</w:t>
      </w:r>
      <w:proofErr w:type="spellEnd"/>
      <w:r w:rsidR="000C458B">
        <w:t xml:space="preserve"> voiced support for Option 1 or Option 5.  She stated that the standards should avoid any references to emergency situations, even high-level descriptions.  Mr. Wood also expressed support for Option 1 or Option 5.  He stated that if emergency situations are not going to be addressed within the standards language, then there should not be references to emergency situations as part of the introduction.  Mr. Wright stated that MISO supports Option 1 or Option 5.</w:t>
      </w:r>
    </w:p>
    <w:p w14:paraId="4C09601C" w14:textId="6AAE57D4" w:rsidR="000C458B" w:rsidRDefault="000C458B" w:rsidP="00D339A3">
      <w:pPr>
        <w:widowControl w:val="0"/>
        <w:tabs>
          <w:tab w:val="num" w:pos="1620"/>
        </w:tabs>
        <w:spacing w:before="120" w:after="120"/>
        <w:jc w:val="both"/>
      </w:pPr>
      <w:r>
        <w:t xml:space="preserve">Mr. Brown asked if the subcommittee should consider excluding standards related to </w:t>
      </w:r>
      <w:proofErr w:type="spellStart"/>
      <w:r>
        <w:t>blackstart</w:t>
      </w:r>
      <w:proofErr w:type="spellEnd"/>
      <w:r>
        <w:t xml:space="preserve"> grid service, as this type of service is used in an emergency situation.  Mr. Brooks noted that, as discussed during the previous meeting, a number of steps that would be taken as part of an emergency situation would fall into the category of energy grid service, whereas </w:t>
      </w:r>
      <w:proofErr w:type="spellStart"/>
      <w:r>
        <w:t>blackstart</w:t>
      </w:r>
      <w:proofErr w:type="spellEnd"/>
      <w:r>
        <w:t xml:space="preserve"> grid service is a grid service that is specifically transacted for in a commercial manner via a market mechanism.  Mr. Wood agreed, stating that </w:t>
      </w:r>
      <w:proofErr w:type="spellStart"/>
      <w:r>
        <w:t>blackstart</w:t>
      </w:r>
      <w:proofErr w:type="spellEnd"/>
      <w:r>
        <w:t xml:space="preserve"> grid service can be differentiated as it is not used to mitigate or prevent an emergency, like actions taken during emergency situations, </w:t>
      </w:r>
      <w:r>
        <w:lastRenderedPageBreak/>
        <w:t>but rather the service is called upon after an emergency is over to provide self-starting generation.</w:t>
      </w:r>
    </w:p>
    <w:p w14:paraId="3D6C4552" w14:textId="67560C63" w:rsidR="000C458B" w:rsidRDefault="000C458B" w:rsidP="00D339A3">
      <w:pPr>
        <w:widowControl w:val="0"/>
        <w:tabs>
          <w:tab w:val="num" w:pos="1620"/>
        </w:tabs>
        <w:spacing w:before="120" w:after="120"/>
        <w:jc w:val="both"/>
      </w:pPr>
      <w:r>
        <w:t xml:space="preserve">The participants discussed Option 5.  Mr. Phillips asked if the language would be redundant, given the existing language in the introduction and XXX-1.  Ms. </w:t>
      </w:r>
      <w:proofErr w:type="spellStart"/>
      <w:r>
        <w:t>Berdahl</w:t>
      </w:r>
      <w:proofErr w:type="spellEnd"/>
      <w:r>
        <w:t xml:space="preserve"> indicated that BPA supports Option 5 because it provides additional flexibility regarding an entity’s governing documents that is not as explicitly stated in the current introductory language.  Mr. Brooks expressed agreement.</w:t>
      </w:r>
    </w:p>
    <w:p w14:paraId="6B2618EA" w14:textId="0BC1BC7F" w:rsidR="000C458B" w:rsidRDefault="000C458B" w:rsidP="00D339A3">
      <w:pPr>
        <w:widowControl w:val="0"/>
        <w:tabs>
          <w:tab w:val="num" w:pos="1620"/>
        </w:tabs>
        <w:spacing w:before="120" w:after="120"/>
        <w:jc w:val="both"/>
      </w:pPr>
      <w:r>
        <w:t xml:space="preserve">Mr. Phillips noted that the discussion has centered around Option 1, Option 5, and Option 7.  He suggested the use of a straw poll to determine if </w:t>
      </w:r>
      <w:r w:rsidR="000520D5">
        <w:t>one of these options had a majority of support.  The straw poll showed five participants in support of Option 1, eight participants in support of Option 5, and no participants in support of Option 7.  Based on these results, the participants agreed to incorporate the language from Option 5 as part of the introduction.</w:t>
      </w:r>
    </w:p>
    <w:p w14:paraId="22691B3F" w14:textId="619CB94A" w:rsidR="000520D5" w:rsidRDefault="000520D5" w:rsidP="00D339A3">
      <w:pPr>
        <w:widowControl w:val="0"/>
        <w:tabs>
          <w:tab w:val="num" w:pos="1620"/>
        </w:tabs>
        <w:spacing w:before="120" w:after="120"/>
        <w:jc w:val="both"/>
      </w:pPr>
      <w:r>
        <w:t xml:space="preserve">Mr. Widergren reviewed the remainder of the proposed revisions included in the comments, noting that they were minor or to correct grammatical mistakes.  The participants agreed to incorporate the </w:t>
      </w:r>
      <w:hyperlink r:id="rId11" w:history="1">
        <w:r w:rsidRPr="000520D5">
          <w:rPr>
            <w:rStyle w:val="Hyperlink"/>
          </w:rPr>
          <w:t>proposed modifications</w:t>
        </w:r>
      </w:hyperlink>
      <w:r>
        <w:t>.</w:t>
      </w:r>
    </w:p>
    <w:p w14:paraId="547D2665" w14:textId="213CD690" w:rsidR="000520D5" w:rsidRDefault="000520D5" w:rsidP="00D339A3">
      <w:pPr>
        <w:widowControl w:val="0"/>
        <w:tabs>
          <w:tab w:val="num" w:pos="1620"/>
        </w:tabs>
        <w:spacing w:before="120" w:after="120"/>
        <w:jc w:val="both"/>
      </w:pPr>
      <w:r>
        <w:t xml:space="preserve">Mr. Wright reviewed the </w:t>
      </w:r>
      <w:hyperlink r:id="rId12" w:history="1">
        <w:r w:rsidRPr="000520D5">
          <w:rPr>
            <w:rStyle w:val="Hyperlink"/>
          </w:rPr>
          <w:t>comments</w:t>
        </w:r>
      </w:hyperlink>
      <w:r>
        <w:t xml:space="preserve"> submitted by MISO.  He stated that MISO is proposing revisions to the definition and standards language for energy grid service to clarify that a resource providing such services may provide energy or reduce consumption.  Mr. Brown stated that the participants had thoroughly discussed the definition over the course of several meetings and indicated that as written, energy grid service is meant to capture both generation and reduction in demand.  He explained that the participants opted to use the phrase “provide a quantity” as there was a determination that this phrase was broad enough to encompass both concepts.  Mr. Wright indicated that MISO is not opposed to moving forward with the definition in its current state.</w:t>
      </w:r>
    </w:p>
    <w:p w14:paraId="2834F31E" w14:textId="6B0082AB" w:rsidR="000520D5" w:rsidRDefault="000520D5" w:rsidP="00D339A3">
      <w:pPr>
        <w:widowControl w:val="0"/>
        <w:tabs>
          <w:tab w:val="num" w:pos="1620"/>
        </w:tabs>
        <w:spacing w:before="120" w:after="120"/>
        <w:jc w:val="both"/>
      </w:pPr>
      <w:r>
        <w:t xml:space="preserve">Mr. Wright asked if the standards should be modified to also capture that a market operator is one of the applicable entities for the standards.  Mr. Wood responded that the subcommittee determined to use the </w:t>
      </w:r>
      <w:r w:rsidR="00EF1B74">
        <w:t>NAESB defined term System Operator in order to be consistent with the WEQ-015, which addresses demand response.  He stated that if the subcommittee is going to modify the definition for this term, then there will also need to be a consistency check to ensure that the revision does not materially impact the use of the term in other standards.  Mr. Wright stated that MISO can support moving the recommendation forward without incorporating the market operator term.</w:t>
      </w:r>
    </w:p>
    <w:p w14:paraId="0DA1D382" w14:textId="1FCFF26E" w:rsidR="00EF1B74" w:rsidRDefault="00EF1B74" w:rsidP="00D339A3">
      <w:pPr>
        <w:widowControl w:val="0"/>
        <w:tabs>
          <w:tab w:val="num" w:pos="1620"/>
        </w:tabs>
        <w:spacing w:before="120" w:after="120"/>
        <w:jc w:val="both"/>
      </w:pPr>
      <w:r>
        <w:t xml:space="preserve">The subcommittee’s response to the comments submitted by MISO can be viewed at the following link: </w:t>
      </w:r>
      <w:hyperlink r:id="rId13" w:history="1">
        <w:r w:rsidRPr="00B247E0">
          <w:rPr>
            <w:rStyle w:val="Hyperlink"/>
          </w:rPr>
          <w:t>https://naesb.org//member_login_check.asp?doc=weq_bps021523a2.docx</w:t>
        </w:r>
      </w:hyperlink>
      <w:r>
        <w:t>.</w:t>
      </w:r>
    </w:p>
    <w:p w14:paraId="13FB7329" w14:textId="65CE24F5" w:rsidR="00EF1B74" w:rsidRDefault="00EF1B74" w:rsidP="00D339A3">
      <w:pPr>
        <w:widowControl w:val="0"/>
        <w:tabs>
          <w:tab w:val="num" w:pos="1620"/>
        </w:tabs>
        <w:spacing w:before="120" w:after="120"/>
        <w:jc w:val="both"/>
      </w:pPr>
      <w:r>
        <w:t>The participants performed a final review of the draft standards.  Mr. Phillips noted that the wording at the beginning of each section of the standards is formatted slightly different.  The participants made non-substantive changes to the language to ensure the standards were consistent.  Mr. Phillips asked if there were any additional revisions or modifications to the draft standards.  None were offered.</w:t>
      </w:r>
    </w:p>
    <w:p w14:paraId="306CBE52" w14:textId="5DE6F794" w:rsidR="00EF1B74" w:rsidRDefault="00EF1B74" w:rsidP="00D339A3">
      <w:pPr>
        <w:widowControl w:val="0"/>
        <w:tabs>
          <w:tab w:val="num" w:pos="1620"/>
        </w:tabs>
        <w:spacing w:before="120" w:after="120"/>
        <w:jc w:val="both"/>
      </w:pPr>
      <w:r>
        <w:t xml:space="preserve">Mr. Brooks moved, seconded by Mr. Wood, to adopt the draft standards as </w:t>
      </w:r>
      <w:hyperlink r:id="rId14" w:history="1">
        <w:r w:rsidRPr="00EF1B74">
          <w:rPr>
            <w:rStyle w:val="Hyperlink"/>
          </w:rPr>
          <w:t>revised</w:t>
        </w:r>
      </w:hyperlink>
      <w:r>
        <w:t xml:space="preserve"> during the meeting and distribute for a formal comment period.  The motion passed a simple majority vote without opposition.</w:t>
      </w:r>
    </w:p>
    <w:p w14:paraId="2ACDCD8C" w14:textId="0BF15362" w:rsidR="006073F0" w:rsidRDefault="00EF1B74" w:rsidP="00D339A3">
      <w:pPr>
        <w:widowControl w:val="0"/>
        <w:tabs>
          <w:tab w:val="num" w:pos="1620"/>
        </w:tabs>
        <w:spacing w:before="120" w:after="120"/>
        <w:jc w:val="both"/>
      </w:pPr>
      <w:r>
        <w:t xml:space="preserve">Mr. Phillips asked Ms. Trum, prior to sending out the recommendation for formal comment, to perform a </w:t>
      </w:r>
      <w:r w:rsidR="00952A69">
        <w:t>final review to ensure the proposed standards language is correctly formatted, including redlining all new proposed standards language.  The proposed standards as distributed for formal comment can be viewed at the following link:</w:t>
      </w:r>
      <w:r w:rsidR="0072758F">
        <w:t xml:space="preserve"> </w:t>
      </w:r>
      <w:hyperlink r:id="rId15" w:history="1">
        <w:r w:rsidR="0072758F" w:rsidRPr="00B247E0">
          <w:rPr>
            <w:rStyle w:val="Hyperlink"/>
          </w:rPr>
          <w:t>https://naesb.org/member_login_check.asp?doc=weq_2023_api_5d_R22001_rec_021523_attachment.docx</w:t>
        </w:r>
      </w:hyperlink>
      <w:r w:rsidR="0072758F">
        <w:t xml:space="preserve"> </w:t>
      </w:r>
    </w:p>
    <w:p w14:paraId="50155E89" w14:textId="3DE76956" w:rsidR="0026341B" w:rsidRDefault="005C688C" w:rsidP="004B32C5">
      <w:pPr>
        <w:widowControl w:val="0"/>
        <w:numPr>
          <w:ilvl w:val="0"/>
          <w:numId w:val="11"/>
        </w:numPr>
        <w:tabs>
          <w:tab w:val="left" w:pos="1440"/>
        </w:tabs>
        <w:spacing w:before="120" w:after="120"/>
        <w:jc w:val="both"/>
        <w:rPr>
          <w:b/>
          <w:bCs/>
        </w:rPr>
      </w:pPr>
      <w:r>
        <w:rPr>
          <w:b/>
          <w:bCs/>
        </w:rPr>
        <w:t>Identify N</w:t>
      </w:r>
      <w:r w:rsidR="0026341B">
        <w:rPr>
          <w:b/>
          <w:bCs/>
        </w:rPr>
        <w:t>ext Steps</w:t>
      </w:r>
      <w:r>
        <w:rPr>
          <w:b/>
          <w:bCs/>
        </w:rPr>
        <w:t xml:space="preserve"> and</w:t>
      </w:r>
      <w:r w:rsidR="0026341B">
        <w:rPr>
          <w:b/>
          <w:bCs/>
        </w:rPr>
        <w:t xml:space="preserve"> Action Items</w:t>
      </w:r>
    </w:p>
    <w:p w14:paraId="6D7697C0" w14:textId="7FB699CB" w:rsidR="00E72856" w:rsidRDefault="00E72856" w:rsidP="00F979E4">
      <w:pPr>
        <w:widowControl w:val="0"/>
        <w:tabs>
          <w:tab w:val="left" w:pos="1440"/>
          <w:tab w:val="num" w:pos="1620"/>
          <w:tab w:val="num" w:pos="2160"/>
        </w:tabs>
        <w:spacing w:before="120" w:after="120"/>
        <w:jc w:val="both"/>
        <w:rPr>
          <w:bCs/>
        </w:rPr>
      </w:pPr>
      <w:r>
        <w:rPr>
          <w:bCs/>
        </w:rPr>
        <w:t xml:space="preserve">Mr. Phillips stated that </w:t>
      </w:r>
      <w:r w:rsidR="00952A69">
        <w:rPr>
          <w:bCs/>
        </w:rPr>
        <w:t>the next meeting of the subcommittee will be held on March 1, 2023 to discuss the remaining annual plan items assigned to the WEQ BPS.  He indicated that the subcommittee will also hold a meeting on March 21, 2023 to review any formal comments submitted regarding the recommendation and, if needed, develop additional proposed modifications in response.</w:t>
      </w:r>
    </w:p>
    <w:p w14:paraId="53CA196C" w14:textId="4077478B" w:rsidR="00996F77" w:rsidRDefault="00184FD1" w:rsidP="00184FD1">
      <w:pPr>
        <w:widowControl w:val="0"/>
        <w:numPr>
          <w:ilvl w:val="0"/>
          <w:numId w:val="11"/>
        </w:numPr>
        <w:tabs>
          <w:tab w:val="left" w:pos="1440"/>
        </w:tabs>
        <w:spacing w:after="120"/>
        <w:ind w:left="0" w:firstLine="0"/>
        <w:jc w:val="both"/>
        <w:rPr>
          <w:b/>
          <w:bCs/>
        </w:rPr>
      </w:pPr>
      <w:r>
        <w:rPr>
          <w:b/>
          <w:bCs/>
        </w:rPr>
        <w:t>Other Business</w:t>
      </w:r>
    </w:p>
    <w:p w14:paraId="7B118CCB" w14:textId="527A63E4" w:rsidR="00F27BFF" w:rsidRDefault="009A78CE" w:rsidP="00184FD1">
      <w:pPr>
        <w:widowControl w:val="0"/>
        <w:tabs>
          <w:tab w:val="left" w:pos="1440"/>
        </w:tabs>
        <w:spacing w:after="120"/>
        <w:jc w:val="both"/>
      </w:pPr>
      <w:r>
        <w:t>There was no other business discussed.</w:t>
      </w:r>
    </w:p>
    <w:p w14:paraId="3691BDEB" w14:textId="71C0E59A" w:rsidR="00171CE0" w:rsidRDefault="00C44C62" w:rsidP="00184FD1">
      <w:pPr>
        <w:widowControl w:val="0"/>
        <w:numPr>
          <w:ilvl w:val="0"/>
          <w:numId w:val="11"/>
        </w:numPr>
        <w:tabs>
          <w:tab w:val="left" w:pos="1440"/>
        </w:tabs>
        <w:spacing w:after="120"/>
        <w:ind w:left="0" w:firstLine="0"/>
        <w:jc w:val="both"/>
        <w:rPr>
          <w:b/>
          <w:bCs/>
        </w:rPr>
      </w:pPr>
      <w:r w:rsidRPr="00A651AC">
        <w:rPr>
          <w:b/>
          <w:bCs/>
        </w:rPr>
        <w:lastRenderedPageBreak/>
        <w:t>Adjourn</w:t>
      </w:r>
    </w:p>
    <w:p w14:paraId="102FB5CB" w14:textId="0C3DA2D3" w:rsidR="000D609A" w:rsidRPr="000D609A" w:rsidRDefault="000D609A" w:rsidP="00184FD1">
      <w:pPr>
        <w:widowControl w:val="0"/>
        <w:tabs>
          <w:tab w:val="left" w:pos="1440"/>
        </w:tabs>
        <w:spacing w:after="120"/>
        <w:jc w:val="both"/>
        <w:rPr>
          <w:bCs/>
        </w:rPr>
      </w:pPr>
      <w:r>
        <w:rPr>
          <w:bCs/>
        </w:rPr>
        <w:t>The meet</w:t>
      </w:r>
      <w:r w:rsidR="00D876BE">
        <w:rPr>
          <w:bCs/>
        </w:rPr>
        <w:t xml:space="preserve">ing adjourned </w:t>
      </w:r>
      <w:r w:rsidR="001D36F7">
        <w:rPr>
          <w:bCs/>
        </w:rPr>
        <w:t>at</w:t>
      </w:r>
      <w:r w:rsidR="00F27BFF">
        <w:rPr>
          <w:bCs/>
        </w:rPr>
        <w:t xml:space="preserve"> </w:t>
      </w:r>
      <w:r w:rsidR="00952A69">
        <w:rPr>
          <w:bCs/>
        </w:rPr>
        <w:t>12:01</w:t>
      </w:r>
      <w:r w:rsidR="00F27BFF">
        <w:rPr>
          <w:bCs/>
        </w:rPr>
        <w:t xml:space="preserve"> </w:t>
      </w:r>
      <w:r w:rsidR="009D1F6F">
        <w:rPr>
          <w:bCs/>
        </w:rPr>
        <w:t>PM</w:t>
      </w:r>
      <w:r w:rsidR="00FF2568">
        <w:rPr>
          <w:bCs/>
        </w:rPr>
        <w:t xml:space="preserve"> Central </w:t>
      </w:r>
      <w:r w:rsidR="00952A69">
        <w:rPr>
          <w:bCs/>
        </w:rPr>
        <w:t>on a motion by Mr. Brooks, seconded by Mr. Wood.</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FE1840" w:rsidRPr="00286562" w14:paraId="6307C303" w14:textId="77777777" w:rsidTr="001262CB">
        <w:tc>
          <w:tcPr>
            <w:tcW w:w="1998" w:type="dxa"/>
            <w:tcMar>
              <w:top w:w="0" w:type="dxa"/>
              <w:left w:w="108" w:type="dxa"/>
              <w:bottom w:w="0" w:type="dxa"/>
              <w:right w:w="108" w:type="dxa"/>
            </w:tcMar>
          </w:tcPr>
          <w:p w14:paraId="78437699" w14:textId="3395960B" w:rsidR="00FE1840" w:rsidRPr="006073F0" w:rsidRDefault="00FE1840" w:rsidP="00A55C8D">
            <w:pPr>
              <w:keepNext/>
              <w:keepLines/>
              <w:widowControl w:val="0"/>
              <w:spacing w:before="120"/>
              <w:rPr>
                <w:bCs/>
              </w:rPr>
            </w:pPr>
            <w:r w:rsidRPr="006073F0">
              <w:rPr>
                <w:bCs/>
              </w:rPr>
              <w:t>Rebecca</w:t>
            </w:r>
          </w:p>
        </w:tc>
        <w:tc>
          <w:tcPr>
            <w:tcW w:w="3240" w:type="dxa"/>
            <w:tcMar>
              <w:top w:w="0" w:type="dxa"/>
              <w:left w:w="108" w:type="dxa"/>
              <w:bottom w:w="0" w:type="dxa"/>
              <w:right w:w="108" w:type="dxa"/>
            </w:tcMar>
          </w:tcPr>
          <w:p w14:paraId="4F29C1F8" w14:textId="3694701F" w:rsidR="00FE1840" w:rsidRPr="006073F0" w:rsidRDefault="00FE1840" w:rsidP="00A55C8D">
            <w:pPr>
              <w:keepNext/>
              <w:keepLines/>
              <w:widowControl w:val="0"/>
              <w:spacing w:before="120"/>
              <w:rPr>
                <w:bCs/>
              </w:rPr>
            </w:pPr>
            <w:proofErr w:type="spellStart"/>
            <w:r w:rsidRPr="006073F0">
              <w:rPr>
                <w:bCs/>
              </w:rPr>
              <w:t>Berdahl</w:t>
            </w:r>
            <w:proofErr w:type="spellEnd"/>
          </w:p>
        </w:tc>
        <w:tc>
          <w:tcPr>
            <w:tcW w:w="3870" w:type="dxa"/>
            <w:tcMar>
              <w:top w:w="0" w:type="dxa"/>
              <w:left w:w="108" w:type="dxa"/>
              <w:bottom w:w="0" w:type="dxa"/>
              <w:right w:w="108" w:type="dxa"/>
            </w:tcMar>
          </w:tcPr>
          <w:p w14:paraId="100320A3" w14:textId="2E4CD660" w:rsidR="00FE1840" w:rsidRPr="006073F0" w:rsidRDefault="00FE1840" w:rsidP="00A55C8D">
            <w:pPr>
              <w:keepNext/>
              <w:keepLines/>
              <w:widowControl w:val="0"/>
              <w:spacing w:before="120"/>
              <w:rPr>
                <w:bCs/>
              </w:rPr>
            </w:pPr>
            <w:r w:rsidRPr="006073F0">
              <w:rPr>
                <w:bCs/>
              </w:rPr>
              <w:t>BPA</w:t>
            </w:r>
          </w:p>
        </w:tc>
      </w:tr>
      <w:tr w:rsidR="006073F0" w:rsidRPr="00286562" w14:paraId="091A39D3" w14:textId="77777777" w:rsidTr="001262CB">
        <w:tc>
          <w:tcPr>
            <w:tcW w:w="1998" w:type="dxa"/>
            <w:tcMar>
              <w:top w:w="0" w:type="dxa"/>
              <w:left w:w="108" w:type="dxa"/>
              <w:bottom w:w="0" w:type="dxa"/>
              <w:right w:w="108" w:type="dxa"/>
            </w:tcMar>
          </w:tcPr>
          <w:p w14:paraId="410CB998" w14:textId="08DD90BD" w:rsidR="006073F0" w:rsidRPr="006073F0" w:rsidRDefault="006073F0" w:rsidP="00A55C8D">
            <w:pPr>
              <w:keepNext/>
              <w:keepLines/>
              <w:widowControl w:val="0"/>
              <w:spacing w:before="120"/>
              <w:rPr>
                <w:bCs/>
              </w:rPr>
            </w:pPr>
            <w:r>
              <w:rPr>
                <w:bCs/>
              </w:rPr>
              <w:t>Tanner</w:t>
            </w:r>
          </w:p>
        </w:tc>
        <w:tc>
          <w:tcPr>
            <w:tcW w:w="3240" w:type="dxa"/>
            <w:tcMar>
              <w:top w:w="0" w:type="dxa"/>
              <w:left w:w="108" w:type="dxa"/>
              <w:bottom w:w="0" w:type="dxa"/>
              <w:right w:w="108" w:type="dxa"/>
            </w:tcMar>
          </w:tcPr>
          <w:p w14:paraId="2038CF17" w14:textId="6E90409D" w:rsidR="006073F0" w:rsidRPr="006073F0" w:rsidRDefault="006073F0" w:rsidP="00A55C8D">
            <w:pPr>
              <w:keepNext/>
              <w:keepLines/>
              <w:widowControl w:val="0"/>
              <w:spacing w:before="120"/>
              <w:rPr>
                <w:bCs/>
              </w:rPr>
            </w:pPr>
            <w:r>
              <w:rPr>
                <w:bCs/>
              </w:rPr>
              <w:t>Brier</w:t>
            </w:r>
          </w:p>
        </w:tc>
        <w:tc>
          <w:tcPr>
            <w:tcW w:w="3870" w:type="dxa"/>
            <w:tcMar>
              <w:top w:w="0" w:type="dxa"/>
              <w:left w:w="108" w:type="dxa"/>
              <w:bottom w:w="0" w:type="dxa"/>
              <w:right w:w="108" w:type="dxa"/>
            </w:tcMar>
          </w:tcPr>
          <w:p w14:paraId="3E6D7B26" w14:textId="466DAA89" w:rsidR="006073F0" w:rsidRPr="006073F0" w:rsidRDefault="006073F0" w:rsidP="00A55C8D">
            <w:pPr>
              <w:keepNext/>
              <w:keepLines/>
              <w:widowControl w:val="0"/>
              <w:spacing w:before="120"/>
              <w:rPr>
                <w:bCs/>
              </w:rPr>
            </w:pPr>
            <w:r>
              <w:rPr>
                <w:bCs/>
              </w:rPr>
              <w:t>BPA</w:t>
            </w:r>
          </w:p>
        </w:tc>
      </w:tr>
      <w:tr w:rsidR="0074610C" w:rsidRPr="00286562" w14:paraId="70664519" w14:textId="77777777" w:rsidTr="001262CB">
        <w:tc>
          <w:tcPr>
            <w:tcW w:w="1998" w:type="dxa"/>
            <w:tcMar>
              <w:top w:w="0" w:type="dxa"/>
              <w:left w:w="108" w:type="dxa"/>
              <w:bottom w:w="0" w:type="dxa"/>
              <w:right w:w="108" w:type="dxa"/>
            </w:tcMar>
          </w:tcPr>
          <w:p w14:paraId="17EE4765" w14:textId="25F81189" w:rsidR="0074610C" w:rsidRPr="006073F0" w:rsidRDefault="0074610C" w:rsidP="00A55C8D">
            <w:pPr>
              <w:keepNext/>
              <w:keepLines/>
              <w:widowControl w:val="0"/>
              <w:spacing w:before="120"/>
              <w:rPr>
                <w:bCs/>
              </w:rPr>
            </w:pPr>
            <w:r w:rsidRPr="006073F0">
              <w:rPr>
                <w:bCs/>
              </w:rPr>
              <w:t>Dick</w:t>
            </w:r>
          </w:p>
        </w:tc>
        <w:tc>
          <w:tcPr>
            <w:tcW w:w="3240" w:type="dxa"/>
            <w:tcMar>
              <w:top w:w="0" w:type="dxa"/>
              <w:left w:w="108" w:type="dxa"/>
              <w:bottom w:w="0" w:type="dxa"/>
              <w:right w:w="108" w:type="dxa"/>
            </w:tcMar>
          </w:tcPr>
          <w:p w14:paraId="2B35B985" w14:textId="45E58EBE" w:rsidR="0074610C" w:rsidRPr="006073F0" w:rsidRDefault="0074610C" w:rsidP="00A55C8D">
            <w:pPr>
              <w:keepNext/>
              <w:keepLines/>
              <w:widowControl w:val="0"/>
              <w:spacing w:before="120"/>
              <w:rPr>
                <w:bCs/>
              </w:rPr>
            </w:pPr>
            <w:r w:rsidRPr="006073F0">
              <w:rPr>
                <w:bCs/>
              </w:rPr>
              <w:t>Brooks</w:t>
            </w:r>
          </w:p>
        </w:tc>
        <w:tc>
          <w:tcPr>
            <w:tcW w:w="3870" w:type="dxa"/>
            <w:tcMar>
              <w:top w:w="0" w:type="dxa"/>
              <w:left w:w="108" w:type="dxa"/>
              <w:bottom w:w="0" w:type="dxa"/>
              <w:right w:w="108" w:type="dxa"/>
            </w:tcMar>
          </w:tcPr>
          <w:p w14:paraId="471AF643" w14:textId="61B50145" w:rsidR="0074610C" w:rsidRPr="006073F0" w:rsidRDefault="0074610C" w:rsidP="00A55C8D">
            <w:pPr>
              <w:keepNext/>
              <w:keepLines/>
              <w:widowControl w:val="0"/>
              <w:spacing w:before="120"/>
              <w:rPr>
                <w:bCs/>
              </w:rPr>
            </w:pPr>
            <w:r w:rsidRPr="006073F0">
              <w:rPr>
                <w:bCs/>
              </w:rPr>
              <w:t xml:space="preserve">Reliable Energy Analytics </w:t>
            </w:r>
          </w:p>
        </w:tc>
      </w:tr>
      <w:tr w:rsidR="00F27BFF" w:rsidRPr="00286562" w14:paraId="187BCED5" w14:textId="77777777" w:rsidTr="001262CB">
        <w:tc>
          <w:tcPr>
            <w:tcW w:w="1998" w:type="dxa"/>
            <w:tcMar>
              <w:top w:w="0" w:type="dxa"/>
              <w:left w:w="108" w:type="dxa"/>
              <w:bottom w:w="0" w:type="dxa"/>
              <w:right w:w="108" w:type="dxa"/>
            </w:tcMar>
          </w:tcPr>
          <w:p w14:paraId="4B1B2F73" w14:textId="7264C390" w:rsidR="00F27BFF" w:rsidRPr="006073F0" w:rsidRDefault="00F27BFF" w:rsidP="00A55C8D">
            <w:pPr>
              <w:keepNext/>
              <w:keepLines/>
              <w:widowControl w:val="0"/>
              <w:spacing w:before="120"/>
              <w:rPr>
                <w:bCs/>
              </w:rPr>
            </w:pPr>
            <w:r w:rsidRPr="006073F0">
              <w:rPr>
                <w:bCs/>
              </w:rPr>
              <w:t>Rich</w:t>
            </w:r>
          </w:p>
        </w:tc>
        <w:tc>
          <w:tcPr>
            <w:tcW w:w="3240" w:type="dxa"/>
            <w:tcMar>
              <w:top w:w="0" w:type="dxa"/>
              <w:left w:w="108" w:type="dxa"/>
              <w:bottom w:w="0" w:type="dxa"/>
              <w:right w:w="108" w:type="dxa"/>
            </w:tcMar>
          </w:tcPr>
          <w:p w14:paraId="6CF81AFA" w14:textId="5AC1DCD9" w:rsidR="00F27BFF" w:rsidRPr="006073F0" w:rsidRDefault="00F27BFF" w:rsidP="00A55C8D">
            <w:pPr>
              <w:keepNext/>
              <w:keepLines/>
              <w:widowControl w:val="0"/>
              <w:spacing w:before="120"/>
              <w:rPr>
                <w:bCs/>
              </w:rPr>
            </w:pPr>
            <w:r w:rsidRPr="006073F0">
              <w:rPr>
                <w:bCs/>
              </w:rPr>
              <w:t>Brown</w:t>
            </w:r>
          </w:p>
        </w:tc>
        <w:tc>
          <w:tcPr>
            <w:tcW w:w="3870" w:type="dxa"/>
            <w:tcMar>
              <w:top w:w="0" w:type="dxa"/>
              <w:left w:w="108" w:type="dxa"/>
              <w:bottom w:w="0" w:type="dxa"/>
              <w:right w:w="108" w:type="dxa"/>
            </w:tcMar>
          </w:tcPr>
          <w:p w14:paraId="052FDE9D" w14:textId="7FF0A6B5" w:rsidR="00F27BFF" w:rsidRPr="006073F0" w:rsidRDefault="00F27BFF" w:rsidP="00A55C8D">
            <w:pPr>
              <w:keepNext/>
              <w:keepLines/>
              <w:widowControl w:val="0"/>
              <w:spacing w:before="120"/>
              <w:rPr>
                <w:bCs/>
              </w:rPr>
            </w:pPr>
            <w:r w:rsidRPr="006073F0">
              <w:rPr>
                <w:bCs/>
              </w:rPr>
              <w:t>Lawrence Berkeley National Laboratory</w:t>
            </w:r>
          </w:p>
        </w:tc>
      </w:tr>
      <w:tr w:rsidR="00952A69" w:rsidRPr="00286562" w14:paraId="5B81C36F" w14:textId="77777777" w:rsidTr="001262CB">
        <w:tc>
          <w:tcPr>
            <w:tcW w:w="1998" w:type="dxa"/>
            <w:tcMar>
              <w:top w:w="0" w:type="dxa"/>
              <w:left w:w="108" w:type="dxa"/>
              <w:bottom w:w="0" w:type="dxa"/>
              <w:right w:w="108" w:type="dxa"/>
            </w:tcMar>
          </w:tcPr>
          <w:p w14:paraId="27BE2DF6" w14:textId="5E25680B" w:rsidR="00952A69" w:rsidRPr="006073F0" w:rsidRDefault="00952A69" w:rsidP="00A55C8D">
            <w:pPr>
              <w:keepNext/>
              <w:keepLines/>
              <w:widowControl w:val="0"/>
              <w:spacing w:before="120"/>
              <w:rPr>
                <w:bCs/>
              </w:rPr>
            </w:pPr>
            <w:r>
              <w:rPr>
                <w:bCs/>
              </w:rPr>
              <w:t>Cheryl</w:t>
            </w:r>
          </w:p>
        </w:tc>
        <w:tc>
          <w:tcPr>
            <w:tcW w:w="3240" w:type="dxa"/>
            <w:tcMar>
              <w:top w:w="0" w:type="dxa"/>
              <w:left w:w="108" w:type="dxa"/>
              <w:bottom w:w="0" w:type="dxa"/>
              <w:right w:w="108" w:type="dxa"/>
            </w:tcMar>
          </w:tcPr>
          <w:p w14:paraId="45F60963" w14:textId="3CB5F5D0" w:rsidR="00952A69" w:rsidRPr="006073F0" w:rsidRDefault="00952A69" w:rsidP="00A55C8D">
            <w:pPr>
              <w:keepNext/>
              <w:keepLines/>
              <w:widowControl w:val="0"/>
              <w:spacing w:before="120"/>
              <w:rPr>
                <w:bCs/>
              </w:rPr>
            </w:pPr>
            <w:proofErr w:type="spellStart"/>
            <w:r>
              <w:rPr>
                <w:bCs/>
              </w:rPr>
              <w:t>Mendrala</w:t>
            </w:r>
            <w:proofErr w:type="spellEnd"/>
          </w:p>
        </w:tc>
        <w:tc>
          <w:tcPr>
            <w:tcW w:w="3870" w:type="dxa"/>
            <w:tcMar>
              <w:top w:w="0" w:type="dxa"/>
              <w:left w:w="108" w:type="dxa"/>
              <w:bottom w:w="0" w:type="dxa"/>
              <w:right w:w="108" w:type="dxa"/>
            </w:tcMar>
          </w:tcPr>
          <w:p w14:paraId="0AD2FEB3" w14:textId="233F7721" w:rsidR="00952A69" w:rsidRPr="006073F0" w:rsidRDefault="00952A69" w:rsidP="00A55C8D">
            <w:pPr>
              <w:keepNext/>
              <w:keepLines/>
              <w:widowControl w:val="0"/>
              <w:spacing w:before="120"/>
              <w:rPr>
                <w:bCs/>
              </w:rPr>
            </w:pPr>
            <w:r>
              <w:rPr>
                <w:bCs/>
              </w:rPr>
              <w:t>ISO-New England</w:t>
            </w:r>
          </w:p>
        </w:tc>
      </w:tr>
      <w:tr w:rsidR="00EA28F0" w:rsidRPr="00286562" w14:paraId="23E1C061" w14:textId="77777777" w:rsidTr="001262CB">
        <w:tc>
          <w:tcPr>
            <w:tcW w:w="1998" w:type="dxa"/>
            <w:tcMar>
              <w:top w:w="0" w:type="dxa"/>
              <w:left w:w="108" w:type="dxa"/>
              <w:bottom w:w="0" w:type="dxa"/>
              <w:right w:w="108" w:type="dxa"/>
            </w:tcMar>
          </w:tcPr>
          <w:p w14:paraId="3C5E8765" w14:textId="746BA219" w:rsidR="00EA28F0" w:rsidRPr="00952A69" w:rsidRDefault="00EA28F0" w:rsidP="00A55C8D">
            <w:pPr>
              <w:keepNext/>
              <w:keepLines/>
              <w:widowControl w:val="0"/>
              <w:spacing w:before="120"/>
              <w:rPr>
                <w:bCs/>
              </w:rPr>
            </w:pPr>
            <w:r w:rsidRPr="00952A69">
              <w:rPr>
                <w:bCs/>
              </w:rPr>
              <w:t>Joshua</w:t>
            </w:r>
          </w:p>
        </w:tc>
        <w:tc>
          <w:tcPr>
            <w:tcW w:w="3240" w:type="dxa"/>
            <w:tcMar>
              <w:top w:w="0" w:type="dxa"/>
              <w:left w:w="108" w:type="dxa"/>
              <w:bottom w:w="0" w:type="dxa"/>
              <w:right w:w="108" w:type="dxa"/>
            </w:tcMar>
          </w:tcPr>
          <w:p w14:paraId="117D0E94" w14:textId="5D650685" w:rsidR="00EA28F0" w:rsidRPr="00952A69" w:rsidRDefault="00EA28F0" w:rsidP="00A55C8D">
            <w:pPr>
              <w:keepNext/>
              <w:keepLines/>
              <w:widowControl w:val="0"/>
              <w:spacing w:before="120"/>
              <w:rPr>
                <w:bCs/>
              </w:rPr>
            </w:pPr>
            <w:r w:rsidRPr="00952A69">
              <w:rPr>
                <w:bCs/>
              </w:rPr>
              <w:t>Phillips</w:t>
            </w:r>
          </w:p>
        </w:tc>
        <w:tc>
          <w:tcPr>
            <w:tcW w:w="3870" w:type="dxa"/>
            <w:tcMar>
              <w:top w:w="0" w:type="dxa"/>
              <w:left w:w="108" w:type="dxa"/>
              <w:bottom w:w="0" w:type="dxa"/>
              <w:right w:w="108" w:type="dxa"/>
            </w:tcMar>
          </w:tcPr>
          <w:p w14:paraId="05A4F1ED" w14:textId="77DDEBE2" w:rsidR="00EA28F0" w:rsidRPr="00952A69" w:rsidRDefault="00EA28F0" w:rsidP="00A55C8D">
            <w:pPr>
              <w:keepNext/>
              <w:keepLines/>
              <w:widowControl w:val="0"/>
              <w:spacing w:before="120"/>
              <w:rPr>
                <w:bCs/>
              </w:rPr>
            </w:pPr>
            <w:r w:rsidRPr="00952A69">
              <w:rPr>
                <w:bCs/>
              </w:rPr>
              <w:t>S</w:t>
            </w:r>
            <w:r w:rsidR="00184FD1" w:rsidRPr="00952A69">
              <w:rPr>
                <w:bCs/>
              </w:rPr>
              <w:t xml:space="preserve">outhwest </w:t>
            </w:r>
            <w:r w:rsidRPr="00952A69">
              <w:rPr>
                <w:bCs/>
              </w:rPr>
              <w:t>P</w:t>
            </w:r>
            <w:r w:rsidR="00184FD1" w:rsidRPr="00952A69">
              <w:rPr>
                <w:bCs/>
              </w:rPr>
              <w:t xml:space="preserve">ower </w:t>
            </w:r>
            <w:r w:rsidRPr="00952A69">
              <w:rPr>
                <w:bCs/>
              </w:rPr>
              <w:t>P</w:t>
            </w:r>
            <w:r w:rsidR="00184FD1" w:rsidRPr="00952A69">
              <w:rPr>
                <w:bCs/>
              </w:rPr>
              <w:t>ool</w:t>
            </w:r>
          </w:p>
        </w:tc>
      </w:tr>
      <w:tr w:rsidR="00C24193" w:rsidRPr="00286562" w14:paraId="2F81B734" w14:textId="77777777" w:rsidTr="001262CB">
        <w:tc>
          <w:tcPr>
            <w:tcW w:w="1998" w:type="dxa"/>
            <w:tcMar>
              <w:top w:w="0" w:type="dxa"/>
              <w:left w:w="108" w:type="dxa"/>
              <w:bottom w:w="0" w:type="dxa"/>
              <w:right w:w="108" w:type="dxa"/>
            </w:tcMar>
          </w:tcPr>
          <w:p w14:paraId="5B841BE6" w14:textId="696461AC" w:rsidR="00C24193" w:rsidRPr="00952A69" w:rsidRDefault="00C24193" w:rsidP="00A55C8D">
            <w:pPr>
              <w:keepNext/>
              <w:keepLines/>
              <w:widowControl w:val="0"/>
              <w:spacing w:before="120"/>
              <w:rPr>
                <w:bCs/>
              </w:rPr>
            </w:pPr>
            <w:r w:rsidRPr="00952A69">
              <w:rPr>
                <w:bCs/>
              </w:rPr>
              <w:t>Ron</w:t>
            </w:r>
          </w:p>
        </w:tc>
        <w:tc>
          <w:tcPr>
            <w:tcW w:w="3240" w:type="dxa"/>
            <w:tcMar>
              <w:top w:w="0" w:type="dxa"/>
              <w:left w:w="108" w:type="dxa"/>
              <w:bottom w:w="0" w:type="dxa"/>
              <w:right w:w="108" w:type="dxa"/>
            </w:tcMar>
          </w:tcPr>
          <w:p w14:paraId="762F2496" w14:textId="6CB4C4D1" w:rsidR="00C24193" w:rsidRPr="00952A69" w:rsidRDefault="00C24193" w:rsidP="00A55C8D">
            <w:pPr>
              <w:keepNext/>
              <w:keepLines/>
              <w:widowControl w:val="0"/>
              <w:spacing w:before="120"/>
              <w:rPr>
                <w:bCs/>
              </w:rPr>
            </w:pPr>
            <w:r w:rsidRPr="00952A69">
              <w:rPr>
                <w:bCs/>
              </w:rPr>
              <w:t>Robinson</w:t>
            </w:r>
          </w:p>
        </w:tc>
        <w:tc>
          <w:tcPr>
            <w:tcW w:w="3870" w:type="dxa"/>
            <w:tcMar>
              <w:top w:w="0" w:type="dxa"/>
              <w:left w:w="108" w:type="dxa"/>
              <w:bottom w:w="0" w:type="dxa"/>
              <w:right w:w="108" w:type="dxa"/>
            </w:tcMar>
          </w:tcPr>
          <w:p w14:paraId="099B8D20" w14:textId="6FAFA255" w:rsidR="00C24193" w:rsidRPr="00952A69" w:rsidRDefault="00C24193" w:rsidP="00A55C8D">
            <w:pPr>
              <w:keepNext/>
              <w:keepLines/>
              <w:widowControl w:val="0"/>
              <w:spacing w:before="120"/>
              <w:rPr>
                <w:bCs/>
              </w:rPr>
            </w:pPr>
            <w:r w:rsidRPr="00952A69">
              <w:rPr>
                <w:bCs/>
              </w:rPr>
              <w:t>TVA</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952A69" w:rsidRDefault="00BE24C3" w:rsidP="00A55C8D">
            <w:pPr>
              <w:keepNext/>
              <w:keepLines/>
              <w:widowControl w:val="0"/>
              <w:spacing w:before="120"/>
              <w:rPr>
                <w:bCs/>
              </w:rPr>
            </w:pPr>
            <w:r w:rsidRPr="00952A69">
              <w:rPr>
                <w:bCs/>
              </w:rPr>
              <w:t>Caroline</w:t>
            </w:r>
          </w:p>
        </w:tc>
        <w:tc>
          <w:tcPr>
            <w:tcW w:w="3240" w:type="dxa"/>
            <w:tcMar>
              <w:top w:w="0" w:type="dxa"/>
              <w:left w:w="108" w:type="dxa"/>
              <w:bottom w:w="0" w:type="dxa"/>
              <w:right w:w="108" w:type="dxa"/>
            </w:tcMar>
            <w:hideMark/>
          </w:tcPr>
          <w:p w14:paraId="3166FE36" w14:textId="77777777" w:rsidR="00BE24C3" w:rsidRPr="00952A69" w:rsidRDefault="00BE24C3" w:rsidP="00A55C8D">
            <w:pPr>
              <w:keepNext/>
              <w:keepLines/>
              <w:widowControl w:val="0"/>
              <w:spacing w:before="120"/>
              <w:rPr>
                <w:bCs/>
              </w:rPr>
            </w:pPr>
            <w:r w:rsidRPr="00952A69">
              <w:rPr>
                <w:bCs/>
              </w:rPr>
              <w:t>Trum</w:t>
            </w:r>
          </w:p>
        </w:tc>
        <w:tc>
          <w:tcPr>
            <w:tcW w:w="3870" w:type="dxa"/>
            <w:tcMar>
              <w:top w:w="0" w:type="dxa"/>
              <w:left w:w="108" w:type="dxa"/>
              <w:bottom w:w="0" w:type="dxa"/>
              <w:right w:w="108" w:type="dxa"/>
            </w:tcMar>
            <w:hideMark/>
          </w:tcPr>
          <w:p w14:paraId="57332193" w14:textId="77777777" w:rsidR="00BE24C3" w:rsidRPr="00952A69" w:rsidRDefault="00BE24C3" w:rsidP="00A55C8D">
            <w:pPr>
              <w:keepNext/>
              <w:keepLines/>
              <w:widowControl w:val="0"/>
              <w:spacing w:before="120"/>
              <w:rPr>
                <w:bCs/>
              </w:rPr>
            </w:pPr>
            <w:r w:rsidRPr="00952A69">
              <w:rPr>
                <w:bCs/>
              </w:rPr>
              <w:t>NAESB</w:t>
            </w:r>
          </w:p>
        </w:tc>
      </w:tr>
      <w:tr w:rsidR="006073F0" w:rsidRPr="00286562" w14:paraId="51EB03B3" w14:textId="77777777" w:rsidTr="001262CB">
        <w:tc>
          <w:tcPr>
            <w:tcW w:w="1998" w:type="dxa"/>
            <w:tcMar>
              <w:top w:w="0" w:type="dxa"/>
              <w:left w:w="108" w:type="dxa"/>
              <w:bottom w:w="0" w:type="dxa"/>
              <w:right w:w="108" w:type="dxa"/>
            </w:tcMar>
          </w:tcPr>
          <w:p w14:paraId="5338A5DE" w14:textId="0F646A66" w:rsidR="006073F0" w:rsidRPr="00952A69" w:rsidRDefault="006073F0" w:rsidP="00A55C8D">
            <w:pPr>
              <w:keepNext/>
              <w:keepLines/>
              <w:widowControl w:val="0"/>
              <w:spacing w:before="120"/>
              <w:rPr>
                <w:bCs/>
              </w:rPr>
            </w:pPr>
            <w:r w:rsidRPr="00952A69">
              <w:rPr>
                <w:bCs/>
              </w:rPr>
              <w:t>Bobbi</w:t>
            </w:r>
          </w:p>
        </w:tc>
        <w:tc>
          <w:tcPr>
            <w:tcW w:w="3240" w:type="dxa"/>
            <w:tcMar>
              <w:top w:w="0" w:type="dxa"/>
              <w:left w:w="108" w:type="dxa"/>
              <w:bottom w:w="0" w:type="dxa"/>
              <w:right w:w="108" w:type="dxa"/>
            </w:tcMar>
          </w:tcPr>
          <w:p w14:paraId="3F4006CC" w14:textId="301A60C2" w:rsidR="006073F0" w:rsidRPr="00952A69" w:rsidRDefault="006073F0" w:rsidP="00A55C8D">
            <w:pPr>
              <w:keepNext/>
              <w:keepLines/>
              <w:widowControl w:val="0"/>
              <w:spacing w:before="120"/>
              <w:rPr>
                <w:bCs/>
              </w:rPr>
            </w:pPr>
            <w:r w:rsidRPr="00952A69">
              <w:rPr>
                <w:bCs/>
              </w:rPr>
              <w:t>Welch</w:t>
            </w:r>
          </w:p>
        </w:tc>
        <w:tc>
          <w:tcPr>
            <w:tcW w:w="3870" w:type="dxa"/>
            <w:tcMar>
              <w:top w:w="0" w:type="dxa"/>
              <w:left w:w="108" w:type="dxa"/>
              <w:bottom w:w="0" w:type="dxa"/>
              <w:right w:w="108" w:type="dxa"/>
            </w:tcMar>
          </w:tcPr>
          <w:p w14:paraId="16518F16" w14:textId="24AD09D9" w:rsidR="006073F0" w:rsidRPr="00952A69" w:rsidRDefault="006073F0" w:rsidP="00A55C8D">
            <w:pPr>
              <w:keepNext/>
              <w:keepLines/>
              <w:widowControl w:val="0"/>
              <w:spacing w:before="120"/>
              <w:rPr>
                <w:bCs/>
              </w:rPr>
            </w:pPr>
            <w:r w:rsidRPr="00952A69">
              <w:rPr>
                <w:bCs/>
              </w:rPr>
              <w:t>MISO</w:t>
            </w:r>
          </w:p>
        </w:tc>
      </w:tr>
      <w:tr w:rsidR="00FA5423" w:rsidRPr="00286562" w14:paraId="14CC77AE" w14:textId="77777777" w:rsidTr="001262CB">
        <w:tc>
          <w:tcPr>
            <w:tcW w:w="1998" w:type="dxa"/>
            <w:tcMar>
              <w:top w:w="0" w:type="dxa"/>
              <w:left w:w="108" w:type="dxa"/>
              <w:bottom w:w="0" w:type="dxa"/>
              <w:right w:w="108" w:type="dxa"/>
            </w:tcMar>
          </w:tcPr>
          <w:p w14:paraId="3FAAACFD" w14:textId="2CE8D389" w:rsidR="00FA5423" w:rsidRPr="00952A69" w:rsidRDefault="00FA5423" w:rsidP="00A55C8D">
            <w:pPr>
              <w:keepNext/>
              <w:keepLines/>
              <w:widowControl w:val="0"/>
              <w:spacing w:before="120"/>
              <w:rPr>
                <w:bCs/>
              </w:rPr>
            </w:pPr>
            <w:r w:rsidRPr="00952A69">
              <w:rPr>
                <w:bCs/>
              </w:rPr>
              <w:t>Steve</w:t>
            </w:r>
          </w:p>
        </w:tc>
        <w:tc>
          <w:tcPr>
            <w:tcW w:w="3240" w:type="dxa"/>
            <w:tcMar>
              <w:top w:w="0" w:type="dxa"/>
              <w:left w:w="108" w:type="dxa"/>
              <w:bottom w:w="0" w:type="dxa"/>
              <w:right w:w="108" w:type="dxa"/>
            </w:tcMar>
          </w:tcPr>
          <w:p w14:paraId="11BB4B5E" w14:textId="6C49FD61" w:rsidR="00FA5423" w:rsidRPr="00952A69" w:rsidRDefault="00FA5423" w:rsidP="00A55C8D">
            <w:pPr>
              <w:keepNext/>
              <w:keepLines/>
              <w:widowControl w:val="0"/>
              <w:spacing w:before="120"/>
              <w:rPr>
                <w:bCs/>
              </w:rPr>
            </w:pPr>
            <w:r w:rsidRPr="00952A69">
              <w:rPr>
                <w:bCs/>
              </w:rPr>
              <w:t>Widergr</w:t>
            </w:r>
            <w:r w:rsidR="00402A50" w:rsidRPr="00952A69">
              <w:rPr>
                <w:bCs/>
              </w:rPr>
              <w:t>e</w:t>
            </w:r>
            <w:r w:rsidRPr="00952A69">
              <w:rPr>
                <w:bCs/>
              </w:rPr>
              <w:t>n</w:t>
            </w:r>
          </w:p>
        </w:tc>
        <w:tc>
          <w:tcPr>
            <w:tcW w:w="3870" w:type="dxa"/>
            <w:tcMar>
              <w:top w:w="0" w:type="dxa"/>
              <w:left w:w="108" w:type="dxa"/>
              <w:bottom w:w="0" w:type="dxa"/>
              <w:right w:w="108" w:type="dxa"/>
            </w:tcMar>
          </w:tcPr>
          <w:p w14:paraId="59470660" w14:textId="44E4659B" w:rsidR="00FA5423" w:rsidRPr="00952A69" w:rsidRDefault="00FA5423" w:rsidP="00A55C8D">
            <w:pPr>
              <w:keepNext/>
              <w:keepLines/>
              <w:widowControl w:val="0"/>
              <w:spacing w:before="120"/>
              <w:rPr>
                <w:bCs/>
              </w:rPr>
            </w:pPr>
            <w:r w:rsidRPr="00952A69">
              <w:rPr>
                <w:bCs/>
              </w:rPr>
              <w:t>Pacific Northwest National Laboratory</w:t>
            </w:r>
          </w:p>
        </w:tc>
      </w:tr>
      <w:tr w:rsidR="00FE1840" w:rsidRPr="00286562" w14:paraId="427DC759" w14:textId="77777777" w:rsidTr="001262CB">
        <w:tc>
          <w:tcPr>
            <w:tcW w:w="1998" w:type="dxa"/>
            <w:tcMar>
              <w:top w:w="0" w:type="dxa"/>
              <w:left w:w="108" w:type="dxa"/>
              <w:bottom w:w="0" w:type="dxa"/>
              <w:right w:w="108" w:type="dxa"/>
            </w:tcMar>
          </w:tcPr>
          <w:p w14:paraId="63CD52FB" w14:textId="35031F6A" w:rsidR="00FE1840" w:rsidRPr="00952A69" w:rsidRDefault="00FE1840" w:rsidP="00A55C8D">
            <w:pPr>
              <w:keepNext/>
              <w:keepLines/>
              <w:widowControl w:val="0"/>
              <w:spacing w:before="120"/>
              <w:rPr>
                <w:bCs/>
              </w:rPr>
            </w:pPr>
            <w:r w:rsidRPr="00952A69">
              <w:rPr>
                <w:bCs/>
              </w:rPr>
              <w:t xml:space="preserve">JT </w:t>
            </w:r>
          </w:p>
        </w:tc>
        <w:tc>
          <w:tcPr>
            <w:tcW w:w="3240" w:type="dxa"/>
            <w:tcMar>
              <w:top w:w="0" w:type="dxa"/>
              <w:left w:w="108" w:type="dxa"/>
              <w:bottom w:w="0" w:type="dxa"/>
              <w:right w:w="108" w:type="dxa"/>
            </w:tcMar>
          </w:tcPr>
          <w:p w14:paraId="56F557CD" w14:textId="4D0D9BD2" w:rsidR="00FE1840" w:rsidRPr="00952A69" w:rsidRDefault="00FE1840" w:rsidP="00A55C8D">
            <w:pPr>
              <w:keepNext/>
              <w:keepLines/>
              <w:widowControl w:val="0"/>
              <w:spacing w:before="120"/>
              <w:rPr>
                <w:bCs/>
              </w:rPr>
            </w:pPr>
            <w:r w:rsidRPr="00952A69">
              <w:rPr>
                <w:bCs/>
              </w:rPr>
              <w:t>Wood</w:t>
            </w:r>
          </w:p>
        </w:tc>
        <w:tc>
          <w:tcPr>
            <w:tcW w:w="3870" w:type="dxa"/>
            <w:tcMar>
              <w:top w:w="0" w:type="dxa"/>
              <w:left w:w="108" w:type="dxa"/>
              <w:bottom w:w="0" w:type="dxa"/>
              <w:right w:w="108" w:type="dxa"/>
            </w:tcMar>
          </w:tcPr>
          <w:p w14:paraId="1D362D8A" w14:textId="66238F22" w:rsidR="00FE1840" w:rsidRPr="00952A69" w:rsidRDefault="00FE1840" w:rsidP="00A55C8D">
            <w:pPr>
              <w:keepNext/>
              <w:keepLines/>
              <w:widowControl w:val="0"/>
              <w:spacing w:before="120"/>
              <w:rPr>
                <w:bCs/>
              </w:rPr>
            </w:pPr>
            <w:r w:rsidRPr="00952A69">
              <w:rPr>
                <w:bCs/>
              </w:rPr>
              <w:t>Southern Company</w:t>
            </w:r>
          </w:p>
        </w:tc>
      </w:tr>
      <w:tr w:rsidR="006073F0" w:rsidRPr="00286562" w14:paraId="2D2E7D02" w14:textId="77777777" w:rsidTr="001262CB">
        <w:tc>
          <w:tcPr>
            <w:tcW w:w="1998" w:type="dxa"/>
            <w:tcMar>
              <w:top w:w="0" w:type="dxa"/>
              <w:left w:w="108" w:type="dxa"/>
              <w:bottom w:w="0" w:type="dxa"/>
              <w:right w:w="108" w:type="dxa"/>
            </w:tcMar>
          </w:tcPr>
          <w:p w14:paraId="49B60826" w14:textId="06BC357E" w:rsidR="006073F0" w:rsidRPr="00952A69" w:rsidRDefault="006073F0" w:rsidP="00A55C8D">
            <w:pPr>
              <w:keepNext/>
              <w:keepLines/>
              <w:widowControl w:val="0"/>
              <w:spacing w:before="120"/>
              <w:rPr>
                <w:bCs/>
              </w:rPr>
            </w:pPr>
            <w:r w:rsidRPr="00952A69">
              <w:rPr>
                <w:bCs/>
              </w:rPr>
              <w:t>Terry</w:t>
            </w:r>
          </w:p>
        </w:tc>
        <w:tc>
          <w:tcPr>
            <w:tcW w:w="3240" w:type="dxa"/>
            <w:tcMar>
              <w:top w:w="0" w:type="dxa"/>
              <w:left w:w="108" w:type="dxa"/>
              <w:bottom w:w="0" w:type="dxa"/>
              <w:right w:w="108" w:type="dxa"/>
            </w:tcMar>
          </w:tcPr>
          <w:p w14:paraId="67637E35" w14:textId="1C65C12F" w:rsidR="006073F0" w:rsidRPr="00952A69" w:rsidRDefault="006073F0" w:rsidP="00A55C8D">
            <w:pPr>
              <w:keepNext/>
              <w:keepLines/>
              <w:widowControl w:val="0"/>
              <w:spacing w:before="120"/>
              <w:rPr>
                <w:bCs/>
              </w:rPr>
            </w:pPr>
            <w:r w:rsidRPr="00952A69">
              <w:rPr>
                <w:bCs/>
              </w:rPr>
              <w:t>Wright</w:t>
            </w:r>
          </w:p>
        </w:tc>
        <w:tc>
          <w:tcPr>
            <w:tcW w:w="3870" w:type="dxa"/>
            <w:tcMar>
              <w:top w:w="0" w:type="dxa"/>
              <w:left w:w="108" w:type="dxa"/>
              <w:bottom w:w="0" w:type="dxa"/>
              <w:right w:w="108" w:type="dxa"/>
            </w:tcMar>
          </w:tcPr>
          <w:p w14:paraId="6EEDA060" w14:textId="4485CD0B" w:rsidR="006073F0" w:rsidRPr="00952A69" w:rsidRDefault="006073F0" w:rsidP="00A55C8D">
            <w:pPr>
              <w:keepNext/>
              <w:keepLines/>
              <w:widowControl w:val="0"/>
              <w:spacing w:before="120"/>
              <w:rPr>
                <w:bCs/>
              </w:rPr>
            </w:pPr>
            <w:r w:rsidRPr="00952A69">
              <w:rPr>
                <w:bCs/>
              </w:rPr>
              <w:t>MISO</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6"/>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CE6D" w14:textId="77777777" w:rsidR="00B81444" w:rsidRDefault="00B81444">
      <w:r>
        <w:separator/>
      </w:r>
    </w:p>
  </w:endnote>
  <w:endnote w:type="continuationSeparator" w:id="0">
    <w:p w14:paraId="7B4B8FA0" w14:textId="77777777" w:rsidR="00B81444" w:rsidRDefault="00B8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1B4DAEA9" w:rsidR="00F7176E" w:rsidRPr="00176FB9" w:rsidRDefault="00F7176E" w:rsidP="005E6421">
    <w:pPr>
      <w:pStyle w:val="Footer"/>
      <w:pBdr>
        <w:top w:val="single" w:sz="12" w:space="1" w:color="auto"/>
      </w:pBdr>
      <w:jc w:val="right"/>
      <w:rPr>
        <w:sz w:val="18"/>
        <w:szCs w:val="18"/>
      </w:rPr>
    </w:pPr>
    <w:r>
      <w:rPr>
        <w:sz w:val="18"/>
        <w:szCs w:val="18"/>
      </w:rPr>
      <w:t xml:space="preserve">WEQ BPS Draft Meeting Minutes </w:t>
    </w:r>
    <w:r w:rsidRPr="00176FB9">
      <w:rPr>
        <w:sz w:val="18"/>
        <w:szCs w:val="18"/>
      </w:rPr>
      <w:t>–</w:t>
    </w:r>
    <w:r w:rsidR="0038023A">
      <w:rPr>
        <w:sz w:val="18"/>
        <w:szCs w:val="18"/>
      </w:rPr>
      <w:t xml:space="preserve"> </w:t>
    </w:r>
    <w:r w:rsidR="00E336A1">
      <w:rPr>
        <w:sz w:val="18"/>
        <w:szCs w:val="18"/>
      </w:rPr>
      <w:t xml:space="preserve">February </w:t>
    </w:r>
    <w:r w:rsidR="00952A69">
      <w:rPr>
        <w:sz w:val="18"/>
        <w:szCs w:val="18"/>
      </w:rPr>
      <w:t>15</w:t>
    </w:r>
    <w:r w:rsidR="005A426A">
      <w:rPr>
        <w:sz w:val="18"/>
        <w:szCs w:val="18"/>
      </w:rPr>
      <w:t>,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48B5" w14:textId="77777777" w:rsidR="00B81444" w:rsidRDefault="00B81444">
      <w:r>
        <w:separator/>
      </w:r>
    </w:p>
  </w:footnote>
  <w:footnote w:type="continuationSeparator" w:id="0">
    <w:p w14:paraId="728D61FD" w14:textId="77777777" w:rsidR="00B81444" w:rsidRDefault="00B8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221B"/>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C3A"/>
    <w:rsid w:val="00CE7CDB"/>
    <w:rsid w:val="00CE7D18"/>
    <w:rsid w:val="00CF053E"/>
    <w:rsid w:val="00CF061E"/>
    <w:rsid w:val="00CF063E"/>
    <w:rsid w:val="00CF09A2"/>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20823fm.docx" TargetMode="External"/><Relationship Id="rId13" Type="http://schemas.openxmlformats.org/officeDocument/2006/relationships/hyperlink" Target="https://naesb.org//member_login_check.asp?doc=weq_bps021523a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021523w2.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bps021523a3.docx" TargetMode="External"/><Relationship Id="rId5" Type="http://schemas.openxmlformats.org/officeDocument/2006/relationships/webSettings" Target="webSettings.xml"/><Relationship Id="rId15" Type="http://schemas.openxmlformats.org/officeDocument/2006/relationships/hyperlink" Target="https://naesb.org/member_login_check.asp?doc=weq_2023_api_5d_R22001_rec_021523_attachment.docx" TargetMode="External"/><Relationship Id="rId10" Type="http://schemas.openxmlformats.org/officeDocument/2006/relationships/hyperlink" Target="https://naesb.org/member_login_check.asp?doc=weq_bps021523w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esb.org/pdf4/r22001.doc" TargetMode="External"/><Relationship Id="rId14" Type="http://schemas.openxmlformats.org/officeDocument/2006/relationships/hyperlink" Target="https://naesb.org/member_login_check.asp?doc=weq_bps021523a1.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8989</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3</cp:revision>
  <cp:lastPrinted>2012-04-04T10:38:00Z</cp:lastPrinted>
  <dcterms:created xsi:type="dcterms:W3CDTF">2023-02-16T20:47:00Z</dcterms:created>
  <dcterms:modified xsi:type="dcterms:W3CDTF">2023-02-16T22:04:00Z</dcterms:modified>
</cp:coreProperties>
</file>