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B3FF" w14:textId="097BA885" w:rsidR="00355A67" w:rsidRDefault="00355A67" w:rsidP="00355A67">
      <w:pPr>
        <w:pStyle w:val="Heading1"/>
        <w:jc w:val="center"/>
      </w:pPr>
      <w:r>
        <w:t>NAESB Annual Plan Proposal for 2020</w:t>
      </w:r>
    </w:p>
    <w:p w14:paraId="28215569" w14:textId="67FCA239" w:rsidR="00A96FEC" w:rsidRDefault="006616E9" w:rsidP="006616E9">
      <w:pPr>
        <w:pStyle w:val="Heading1"/>
      </w:pPr>
      <w:r>
        <w:t>Contact Information</w:t>
      </w:r>
    </w:p>
    <w:tbl>
      <w:tblPr>
        <w:tblStyle w:val="TableGrid"/>
        <w:tblW w:w="0" w:type="auto"/>
        <w:tblLook w:val="04A0" w:firstRow="1" w:lastRow="0" w:firstColumn="1" w:lastColumn="0" w:noHBand="0" w:noVBand="1"/>
      </w:tblPr>
      <w:tblGrid>
        <w:gridCol w:w="2425"/>
        <w:gridCol w:w="4140"/>
      </w:tblGrid>
      <w:tr w:rsidR="00355A67" w14:paraId="7EE5441E" w14:textId="77777777" w:rsidTr="00355A67">
        <w:tc>
          <w:tcPr>
            <w:tcW w:w="2425" w:type="dxa"/>
          </w:tcPr>
          <w:p w14:paraId="3E0142D6" w14:textId="5B4E0BB3" w:rsidR="00355A67" w:rsidRDefault="00355A67" w:rsidP="00355A67">
            <w:r>
              <w:t>Name</w:t>
            </w:r>
          </w:p>
        </w:tc>
        <w:tc>
          <w:tcPr>
            <w:tcW w:w="4140" w:type="dxa"/>
          </w:tcPr>
          <w:p w14:paraId="516DDDDD" w14:textId="473D63CB" w:rsidR="00355A67" w:rsidRDefault="00355A67" w:rsidP="00355A67">
            <w:r>
              <w:t>Dick Brooks</w:t>
            </w:r>
          </w:p>
        </w:tc>
      </w:tr>
      <w:tr w:rsidR="00355A67" w14:paraId="185A79C4" w14:textId="77777777" w:rsidTr="00355A67">
        <w:tc>
          <w:tcPr>
            <w:tcW w:w="2425" w:type="dxa"/>
          </w:tcPr>
          <w:p w14:paraId="3C1F5B43" w14:textId="7A75A6B1" w:rsidR="00355A67" w:rsidRDefault="00355A67" w:rsidP="00355A67">
            <w:r>
              <w:t>Company</w:t>
            </w:r>
          </w:p>
        </w:tc>
        <w:tc>
          <w:tcPr>
            <w:tcW w:w="4140" w:type="dxa"/>
          </w:tcPr>
          <w:p w14:paraId="19FCF548" w14:textId="1F03CD25" w:rsidR="00355A67" w:rsidRDefault="00355A67" w:rsidP="00355A67">
            <w:r>
              <w:t>Reliable Energy Analytics LLC</w:t>
            </w:r>
          </w:p>
        </w:tc>
      </w:tr>
      <w:tr w:rsidR="00355A67" w14:paraId="1CDAC914" w14:textId="77777777" w:rsidTr="00355A67">
        <w:tc>
          <w:tcPr>
            <w:tcW w:w="2425" w:type="dxa"/>
          </w:tcPr>
          <w:p w14:paraId="3C733520" w14:textId="20761419" w:rsidR="00355A67" w:rsidRDefault="00355A67" w:rsidP="00355A67">
            <w:r>
              <w:t>Telephone</w:t>
            </w:r>
          </w:p>
        </w:tc>
        <w:tc>
          <w:tcPr>
            <w:tcW w:w="4140" w:type="dxa"/>
          </w:tcPr>
          <w:p w14:paraId="2AC9DAC7" w14:textId="0C9C5055" w:rsidR="00355A67" w:rsidRDefault="00355A67" w:rsidP="00355A67">
            <w:r>
              <w:t>+1 978-696-1788</w:t>
            </w:r>
          </w:p>
        </w:tc>
      </w:tr>
      <w:tr w:rsidR="00355A67" w14:paraId="73401949" w14:textId="77777777" w:rsidTr="00355A67">
        <w:tc>
          <w:tcPr>
            <w:tcW w:w="2425" w:type="dxa"/>
          </w:tcPr>
          <w:p w14:paraId="1060D45E" w14:textId="11B635FD" w:rsidR="00355A67" w:rsidRDefault="00355A67" w:rsidP="00355A67">
            <w:r>
              <w:t>Email</w:t>
            </w:r>
          </w:p>
        </w:tc>
        <w:tc>
          <w:tcPr>
            <w:tcW w:w="4140" w:type="dxa"/>
          </w:tcPr>
          <w:p w14:paraId="6DBFD44A" w14:textId="4BAA1547" w:rsidR="00355A67" w:rsidRDefault="00355A67" w:rsidP="00355A67">
            <w:hyperlink r:id="rId5" w:history="1">
              <w:r w:rsidRPr="0057382D">
                <w:rPr>
                  <w:rStyle w:val="Hyperlink"/>
                </w:rPr>
                <w:t>dick@reliableenergyanalytics.com</w:t>
              </w:r>
            </w:hyperlink>
          </w:p>
        </w:tc>
      </w:tr>
      <w:tr w:rsidR="00355A67" w14:paraId="25DAB800" w14:textId="77777777" w:rsidTr="00355A67">
        <w:tc>
          <w:tcPr>
            <w:tcW w:w="2425" w:type="dxa"/>
          </w:tcPr>
          <w:p w14:paraId="7D16EFD7" w14:textId="09F57D5C" w:rsidR="00355A67" w:rsidRDefault="00355A67" w:rsidP="00355A67">
            <w:r>
              <w:t>Website</w:t>
            </w:r>
          </w:p>
        </w:tc>
        <w:tc>
          <w:tcPr>
            <w:tcW w:w="4140" w:type="dxa"/>
          </w:tcPr>
          <w:p w14:paraId="73FC01B7" w14:textId="4719502D" w:rsidR="00355A67" w:rsidRDefault="00355A67" w:rsidP="00355A67">
            <w:hyperlink r:id="rId6" w:history="1">
              <w:r w:rsidRPr="0057382D">
                <w:rPr>
                  <w:rStyle w:val="Hyperlink"/>
                </w:rPr>
                <w:t>https://reliableenergyanalytics.com/</w:t>
              </w:r>
            </w:hyperlink>
            <w:r>
              <w:t xml:space="preserve"> </w:t>
            </w:r>
          </w:p>
        </w:tc>
      </w:tr>
      <w:tr w:rsidR="00355A67" w14:paraId="542D5E0E" w14:textId="77777777" w:rsidTr="00355A67">
        <w:tc>
          <w:tcPr>
            <w:tcW w:w="2425" w:type="dxa"/>
          </w:tcPr>
          <w:p w14:paraId="52D1AED7" w14:textId="159A9104" w:rsidR="00355A67" w:rsidRDefault="00355A67" w:rsidP="00355A67">
            <w:r>
              <w:t>Quadrant Affiliation</w:t>
            </w:r>
          </w:p>
        </w:tc>
        <w:tc>
          <w:tcPr>
            <w:tcW w:w="4140" w:type="dxa"/>
          </w:tcPr>
          <w:p w14:paraId="512D5BF3" w14:textId="675CF96C" w:rsidR="00355A67" w:rsidRDefault="00355A67" w:rsidP="00355A67">
            <w:r>
              <w:t>Wholesale Electric</w:t>
            </w:r>
          </w:p>
        </w:tc>
      </w:tr>
      <w:tr w:rsidR="00355A67" w14:paraId="2F3F08DE" w14:textId="77777777" w:rsidTr="00355A67">
        <w:tc>
          <w:tcPr>
            <w:tcW w:w="2425" w:type="dxa"/>
          </w:tcPr>
          <w:p w14:paraId="6B7E24B0" w14:textId="315C0243" w:rsidR="00355A67" w:rsidRDefault="00355A67" w:rsidP="00355A67">
            <w:r>
              <w:t>Segment Affiliation</w:t>
            </w:r>
          </w:p>
        </w:tc>
        <w:tc>
          <w:tcPr>
            <w:tcW w:w="4140" w:type="dxa"/>
          </w:tcPr>
          <w:p w14:paraId="61525977" w14:textId="7294266A" w:rsidR="00355A67" w:rsidRDefault="00355A67" w:rsidP="00355A67">
            <w:r>
              <w:t>Technology/Services</w:t>
            </w:r>
          </w:p>
        </w:tc>
      </w:tr>
    </w:tbl>
    <w:p w14:paraId="1F0345E2" w14:textId="0D1BE5D1" w:rsidR="006616E9" w:rsidRDefault="006616E9" w:rsidP="006616E9">
      <w:r w:rsidRPr="00355A67">
        <w:rPr>
          <w:rStyle w:val="Heading1Char"/>
        </w:rPr>
        <w:t>Proposa</w:t>
      </w:r>
      <w:r w:rsidR="00355A67" w:rsidRPr="00355A67">
        <w:rPr>
          <w:rStyle w:val="Heading1Char"/>
        </w:rPr>
        <w:t>l Type</w:t>
      </w:r>
      <w:r>
        <w:t>: New Plan Item</w:t>
      </w:r>
      <w:r w:rsidR="006659C0">
        <w:t xml:space="preserve"> for 2020</w:t>
      </w:r>
    </w:p>
    <w:p w14:paraId="5F0B0254" w14:textId="60565B8B" w:rsidR="006616E9" w:rsidRDefault="006616E9" w:rsidP="006616E9">
      <w:r w:rsidRPr="00355A67">
        <w:rPr>
          <w:rStyle w:val="Heading1Char"/>
        </w:rPr>
        <w:t>Quadrant Affected</w:t>
      </w:r>
      <w:r>
        <w:t>: WEQ</w:t>
      </w:r>
    </w:p>
    <w:p w14:paraId="6C02D29D" w14:textId="7E02E709" w:rsidR="006616E9" w:rsidRDefault="006616E9" w:rsidP="006616E9">
      <w:pPr>
        <w:pStyle w:val="Heading1"/>
      </w:pPr>
      <w:r>
        <w:t>Description</w:t>
      </w:r>
    </w:p>
    <w:p w14:paraId="38B74130" w14:textId="23731DB3" w:rsidR="00D75A1E" w:rsidRDefault="00355A67" w:rsidP="006616E9">
      <w:r>
        <w:t xml:space="preserve">This proposal </w:t>
      </w:r>
      <w:r w:rsidR="009B350F">
        <w:t>recommends</w:t>
      </w:r>
      <w:r>
        <w:t xml:space="preserve"> </w:t>
      </w:r>
      <w:r w:rsidR="009B350F" w:rsidRPr="00BF73F6">
        <w:rPr>
          <w:u w:val="single"/>
        </w:rPr>
        <w:t>enhancements</w:t>
      </w:r>
      <w:r w:rsidRPr="00BF73F6">
        <w:rPr>
          <w:u w:val="single"/>
        </w:rPr>
        <w:t xml:space="preserve"> </w:t>
      </w:r>
      <w:r w:rsidR="009B350F" w:rsidRPr="00BF73F6">
        <w:rPr>
          <w:u w:val="single"/>
        </w:rPr>
        <w:t>to</w:t>
      </w:r>
      <w:r w:rsidRPr="00BF73F6">
        <w:rPr>
          <w:u w:val="single"/>
        </w:rPr>
        <w:t xml:space="preserve"> </w:t>
      </w:r>
      <w:r w:rsidR="009B350F" w:rsidRPr="00BF73F6">
        <w:rPr>
          <w:u w:val="single"/>
        </w:rPr>
        <w:t>wholesale electricity markets</w:t>
      </w:r>
      <w:r w:rsidR="009B350F">
        <w:t xml:space="preserve"> </w:t>
      </w:r>
      <w:r>
        <w:t xml:space="preserve">to </w:t>
      </w:r>
      <w:r w:rsidR="00BF73F6">
        <w:t>integrate</w:t>
      </w:r>
      <w:r w:rsidR="009B350F">
        <w:t xml:space="preserve"> the acquisition of</w:t>
      </w:r>
      <w:r>
        <w:t xml:space="preserve"> long term </w:t>
      </w:r>
      <w:r w:rsidR="009B350F">
        <w:t xml:space="preserve">“Green” </w:t>
      </w:r>
      <w:r>
        <w:t>electricity suppl</w:t>
      </w:r>
      <w:r w:rsidR="009B350F">
        <w:t>y</w:t>
      </w:r>
      <w:r>
        <w:t>, using a market</w:t>
      </w:r>
      <w:r w:rsidR="00D75A1E">
        <w:t>-</w:t>
      </w:r>
      <w:r>
        <w:t>based</w:t>
      </w:r>
      <w:r w:rsidR="009B350F">
        <w:t xml:space="preserve"> approach</w:t>
      </w:r>
      <w:r w:rsidR="00BF73F6">
        <w:t>, co-optimized with the acquisition of grid services needed by a NERC Balancing Authority for system reliability purposes</w:t>
      </w:r>
      <w:r w:rsidR="00824C4B">
        <w:t xml:space="preserve"> while accommodating the transitioning fuel mix of supply resources and rapid decentralization of supply emanating from Distributed Energy Resources</w:t>
      </w:r>
      <w:r w:rsidR="00D75A1E">
        <w:t xml:space="preserve">. The following objectives </w:t>
      </w:r>
      <w:r w:rsidR="003051DB">
        <w:t xml:space="preserve">are </w:t>
      </w:r>
      <w:r w:rsidR="00D75A1E">
        <w:t>in scope:</w:t>
      </w:r>
    </w:p>
    <w:p w14:paraId="714779B0" w14:textId="4BCC9D35" w:rsidR="00D75A1E" w:rsidRDefault="00D75A1E" w:rsidP="00D75A1E">
      <w:pPr>
        <w:pStyle w:val="ListParagraph"/>
        <w:numPr>
          <w:ilvl w:val="0"/>
          <w:numId w:val="1"/>
        </w:numPr>
      </w:pPr>
      <w:r>
        <w:t>S</w:t>
      </w:r>
      <w:r w:rsidR="00355A67">
        <w:t xml:space="preserve">atisfies State based energy targets </w:t>
      </w:r>
      <w:r>
        <w:t xml:space="preserve">for Renewable Portfolio Standards </w:t>
      </w:r>
      <w:r w:rsidR="00355A67">
        <w:t xml:space="preserve">and </w:t>
      </w:r>
      <w:r>
        <w:t>other environmental goals</w:t>
      </w:r>
      <w:r w:rsidR="009B350F">
        <w:t xml:space="preserve"> using a market-based approach as an alternative to existing RFP purchases using long-term “green” energy contracts purchased by State agencies</w:t>
      </w:r>
    </w:p>
    <w:p w14:paraId="73A1B832" w14:textId="49A97B95" w:rsidR="00355A67" w:rsidRDefault="00D75A1E" w:rsidP="00D75A1E">
      <w:pPr>
        <w:pStyle w:val="ListParagraph"/>
        <w:numPr>
          <w:ilvl w:val="0"/>
          <w:numId w:val="1"/>
        </w:numPr>
      </w:pPr>
      <w:r>
        <w:t xml:space="preserve">Enable </w:t>
      </w:r>
      <w:r w:rsidR="00355A67">
        <w:t>“Green Buyers” (</w:t>
      </w:r>
      <w:r w:rsidR="003051DB">
        <w:t>C</w:t>
      </w:r>
      <w:r w:rsidR="00355A67">
        <w:t>onsumers) and their Green Generator partners to engage in</w:t>
      </w:r>
      <w:r>
        <w:t xml:space="preserve"> long term energy contracts (i.e. PPA)</w:t>
      </w:r>
      <w:r w:rsidR="003051DB">
        <w:t xml:space="preserve"> within wholesale energy markets</w:t>
      </w:r>
      <w:r>
        <w:t xml:space="preserve">, using standard data elements </w:t>
      </w:r>
      <w:r w:rsidR="009B350F">
        <w:t xml:space="preserve">and semantics </w:t>
      </w:r>
      <w:r>
        <w:t xml:space="preserve">that define terms and conditions of the contract regarding duration of the agreement, the type of fuel </w:t>
      </w:r>
      <w:r w:rsidR="003051DB">
        <w:t xml:space="preserve">used to generate electricity </w:t>
      </w:r>
      <w:r>
        <w:t xml:space="preserve">(i.e. wind/solar/etc) </w:t>
      </w:r>
      <w:r w:rsidR="003051DB">
        <w:t>to be procured, agreed to costs, revenue sharing arrangements and ownership of Renewable Energy Certificates, a</w:t>
      </w:r>
      <w:r w:rsidR="009B350F">
        <w:t xml:space="preserve">long with </w:t>
      </w:r>
      <w:r w:rsidR="003051DB">
        <w:t>other important data elements, as determined by a consensus based standards development process.</w:t>
      </w:r>
    </w:p>
    <w:p w14:paraId="05F6CECF" w14:textId="32647472" w:rsidR="00BF73F6" w:rsidRDefault="00BF73F6" w:rsidP="00D75A1E">
      <w:pPr>
        <w:pStyle w:val="ListParagraph"/>
        <w:numPr>
          <w:ilvl w:val="0"/>
          <w:numId w:val="1"/>
        </w:numPr>
      </w:pPr>
      <w:r>
        <w:t xml:space="preserve">Provide standard PPA data elements that may benefit Utilities and ISO’s with accounting and attestation procedures for </w:t>
      </w:r>
      <w:r w:rsidRPr="00BF73F6">
        <w:rPr>
          <w:u w:val="single"/>
        </w:rPr>
        <w:t>voluntary</w:t>
      </w:r>
      <w:r>
        <w:t xml:space="preserve"> Renewable Energy Certificates</w:t>
      </w:r>
    </w:p>
    <w:p w14:paraId="52D3F774" w14:textId="42BE9907" w:rsidR="00BF73F6" w:rsidRDefault="00BF73F6" w:rsidP="00D75A1E">
      <w:pPr>
        <w:pStyle w:val="ListParagraph"/>
        <w:numPr>
          <w:ilvl w:val="0"/>
          <w:numId w:val="1"/>
        </w:numPr>
      </w:pPr>
      <w:r>
        <w:t>Provide an alternative approach that could eliminate the need for fuel subsidies</w:t>
      </w:r>
    </w:p>
    <w:p w14:paraId="25016FC5" w14:textId="750DDF91" w:rsidR="00BF73F6" w:rsidRDefault="00BF73F6" w:rsidP="00D75A1E">
      <w:pPr>
        <w:pStyle w:val="ListParagraph"/>
        <w:numPr>
          <w:ilvl w:val="0"/>
          <w:numId w:val="1"/>
        </w:numPr>
      </w:pPr>
      <w:r>
        <w:t>Reduce the purchasing of excess capacity</w:t>
      </w:r>
    </w:p>
    <w:p w14:paraId="3046A334" w14:textId="7F5F7279" w:rsidR="00BF73F6" w:rsidRDefault="00BF73F6" w:rsidP="00D75A1E">
      <w:pPr>
        <w:pStyle w:val="ListParagraph"/>
        <w:numPr>
          <w:ilvl w:val="0"/>
          <w:numId w:val="1"/>
        </w:numPr>
      </w:pPr>
      <w:r>
        <w:t>Ensure a reliable electric system as the fuel mix of energy supply and decentralization of energy supply (DER) contin</w:t>
      </w:r>
      <w:r w:rsidR="004A379B">
        <w:t>ues to evolve.</w:t>
      </w:r>
    </w:p>
    <w:p w14:paraId="50664991" w14:textId="2F12DC25" w:rsidR="006616E9" w:rsidRDefault="006659C0" w:rsidP="004A379B">
      <w:pPr>
        <w:pStyle w:val="Heading2"/>
        <w:ind w:left="405"/>
      </w:pPr>
      <w:r>
        <w:t>Rationale</w:t>
      </w:r>
    </w:p>
    <w:p w14:paraId="0194364F" w14:textId="17A9EA84" w:rsidR="004A379B" w:rsidRDefault="00FE768E" w:rsidP="00FE768E">
      <w:pPr>
        <w:ind w:left="405"/>
      </w:pPr>
      <w:r>
        <w:t>Transition of the energy supply chain is evident across both regulated and deregulated markets. Consumers are taking control over their energy destiny through the acquisition of long</w:t>
      </w:r>
      <w:r w:rsidR="00326B25">
        <w:t>-</w:t>
      </w:r>
      <w:r>
        <w:t xml:space="preserve">term power purchase agreements (PPA) in “Capacity Exchanges”, operated by REBA and Level Ten, with more of these “proprietary” solutions coming online. State based RFP’s to acquire green energy are also </w:t>
      </w:r>
      <w:r>
        <w:lastRenderedPageBreak/>
        <w:t>chipping away at the effectiveness of wholesale capacity markets and resulting in the need for “out of market” patches (i.e. fuel subsidies</w:t>
      </w:r>
      <w:r w:rsidR="00326B25">
        <w:t>, secondary auctions, etc.</w:t>
      </w:r>
      <w:r>
        <w:t xml:space="preserve">) in order to retain resources. Signs that existing processes and procedures to acquire long term capacity are inadequate </w:t>
      </w:r>
      <w:r w:rsidR="00326B25">
        <w:t xml:space="preserve">is apparent from these </w:t>
      </w:r>
      <w:proofErr w:type="gramStart"/>
      <w:r w:rsidR="00326B25">
        <w:t>symptoms.</w:t>
      </w:r>
      <w:r>
        <w:t>.</w:t>
      </w:r>
      <w:proofErr w:type="gramEnd"/>
      <w:r>
        <w:t xml:space="preserve"> Behind-the-Meter PV supply, which may not be accurately factored into load forecasts is resulting in the purchase of excess capacity. Distributed Energy Resources (DER) continue to decentralize electricity supply, many of which are not visible on an ISO’s radar, which also impacts forecast accuracy.</w:t>
      </w:r>
    </w:p>
    <w:p w14:paraId="7692ED89" w14:textId="42BBB743" w:rsidR="00FE768E" w:rsidRPr="004A379B" w:rsidRDefault="00FE768E" w:rsidP="00FE768E">
      <w:pPr>
        <w:ind w:left="405"/>
      </w:pPr>
      <w:r>
        <w:t xml:space="preserve">This proposal acknowledges </w:t>
      </w:r>
      <w:r w:rsidR="007E2EA0">
        <w:t>the effect these powerful and momentous forces are having on electricity markets in North America and attempts to accommodate these changes through a consensus-based, market</w:t>
      </w:r>
      <w:r w:rsidR="007C4CC6">
        <w:t>-</w:t>
      </w:r>
      <w:r w:rsidR="007E2EA0">
        <w:t>based standard that integrates and co-optimizes the desires of Green Buyers and decentralized energy supply (DER) with a Balancing Authorities need for reliable grid services to maintain system stability.</w:t>
      </w:r>
    </w:p>
    <w:p w14:paraId="34ABA551" w14:textId="2060691E" w:rsidR="006616E9" w:rsidRPr="006616E9" w:rsidRDefault="006616E9" w:rsidP="006616E9">
      <w:pPr>
        <w:pStyle w:val="Heading1"/>
      </w:pPr>
      <w:r>
        <w:t>Priority</w:t>
      </w:r>
      <w:r w:rsidR="006659C0">
        <w:t xml:space="preserve"> and Estimate of Work</w:t>
      </w:r>
    </w:p>
    <w:p w14:paraId="6FFD1299" w14:textId="6C9697A7" w:rsidR="006616E9" w:rsidRDefault="007C4CC6" w:rsidP="006616E9">
      <w:r>
        <w:t>Proprietary approaches to secure capacity via existing Capacity Exchanges will continue to expand</w:t>
      </w:r>
      <w:r w:rsidR="000D26A4">
        <w:t>, outside of existing capacity markets, chipping away at the effectiveness of these wholesale markets. A high priority assignment may be in order. Using the proposed strawman as a starting point for this work should shorten the work effort</w:t>
      </w:r>
      <w:bookmarkStart w:id="0" w:name="_GoBack"/>
      <w:bookmarkEnd w:id="0"/>
      <w:r w:rsidR="000D26A4">
        <w:t xml:space="preserve"> considerably, perhaps resulting in a recommendation to the EC within 2020, assuming work begins in January 2020.</w:t>
      </w:r>
    </w:p>
    <w:p w14:paraId="7C8EA0C5" w14:textId="35AEC855" w:rsidR="006616E9" w:rsidRDefault="006616E9" w:rsidP="006616E9">
      <w:pPr>
        <w:pStyle w:val="Heading1"/>
      </w:pPr>
      <w:r>
        <w:t>Participation</w:t>
      </w:r>
    </w:p>
    <w:p w14:paraId="716A881A" w14:textId="061B0C91" w:rsidR="006659C0" w:rsidRDefault="006659C0" w:rsidP="006616E9">
      <w:r>
        <w:t>Offer</w:t>
      </w:r>
      <w:r w:rsidR="000D26A4">
        <w:t>ing</w:t>
      </w:r>
      <w:r>
        <w:t xml:space="preserve"> </w:t>
      </w:r>
      <w:r w:rsidR="000D26A4">
        <w:t xml:space="preserve">a </w:t>
      </w:r>
      <w:r>
        <w:t xml:space="preserve">strawman proposal to start </w:t>
      </w:r>
      <w:r w:rsidR="000D26A4">
        <w:t xml:space="preserve">the standards development initiative </w:t>
      </w:r>
      <w:r>
        <w:t>and engagement throughout subcommittee work</w:t>
      </w:r>
      <w:r w:rsidR="000D26A4">
        <w:t>.</w:t>
      </w:r>
    </w:p>
    <w:p w14:paraId="711EB96C" w14:textId="414C1EA5" w:rsidR="006616E9" w:rsidRDefault="006616E9" w:rsidP="006616E9">
      <w:pPr>
        <w:pStyle w:val="Heading1"/>
      </w:pPr>
      <w:r>
        <w:t>Other Considerations</w:t>
      </w:r>
    </w:p>
    <w:p w14:paraId="20406B65" w14:textId="43B2BBF8" w:rsidR="006659C0" w:rsidRPr="006659C0" w:rsidRDefault="000D26A4" w:rsidP="00694438">
      <w:r w:rsidRPr="00694438">
        <w:t>Existing C</w:t>
      </w:r>
      <w:r w:rsidR="006659C0" w:rsidRPr="00694438">
        <w:t xml:space="preserve">apacity </w:t>
      </w:r>
      <w:r w:rsidRPr="00694438">
        <w:t>E</w:t>
      </w:r>
      <w:r w:rsidR="006659C0" w:rsidRPr="00694438">
        <w:t xml:space="preserve">xchanges are </w:t>
      </w:r>
      <w:r w:rsidR="00E370B9">
        <w:t xml:space="preserve">actively helping consumers secure long-term green energy, </w:t>
      </w:r>
      <w:r w:rsidRPr="00694438">
        <w:t>and are rapidly gaining momentum</w:t>
      </w:r>
      <w:r w:rsidR="006659C0" w:rsidRPr="00694438">
        <w:t xml:space="preserve">. </w:t>
      </w:r>
      <w:r w:rsidR="00694438" w:rsidRPr="00694438">
        <w:t xml:space="preserve">The </w:t>
      </w:r>
      <w:hyperlink r:id="rId7" w:history="1">
        <w:r w:rsidR="00694438" w:rsidRPr="000F13A1">
          <w:rPr>
            <w:rStyle w:val="Hyperlink"/>
          </w:rPr>
          <w:t>Business Resource Center of the Rocky Mountain Institute</w:t>
        </w:r>
      </w:hyperlink>
      <w:r w:rsidR="00694438" w:rsidRPr="00694438">
        <w:t xml:space="preserve"> makes clear these Green Buyer goals: </w:t>
      </w:r>
      <w:r w:rsidR="00694438">
        <w:t>“</w:t>
      </w:r>
      <w:r w:rsidR="00694438" w:rsidRPr="00694438">
        <w:rPr>
          <w:b/>
          <w:bCs/>
          <w:i/>
          <w:iCs/>
        </w:rPr>
        <w:t>We aim to help corporations procure 60 gigawatts of renewable energy by 2030</w:t>
      </w:r>
      <w:r w:rsidR="00694438">
        <w:t xml:space="preserve">”, and that’s only one of the online exchanges in operation today.  </w:t>
      </w:r>
      <w:r w:rsidR="006659C0">
        <w:t xml:space="preserve">States are </w:t>
      </w:r>
      <w:r w:rsidR="00E370B9">
        <w:t>procur</w:t>
      </w:r>
      <w:r w:rsidR="000F13A1">
        <w:t>ing</w:t>
      </w:r>
      <w:r w:rsidR="00E370B9">
        <w:t xml:space="preserve"> long-term energy </w:t>
      </w:r>
      <w:r w:rsidR="000F13A1">
        <w:t xml:space="preserve">supply </w:t>
      </w:r>
      <w:r w:rsidR="00E370B9">
        <w:t xml:space="preserve">using </w:t>
      </w:r>
      <w:r w:rsidR="006659C0">
        <w:t xml:space="preserve">out of market RFP’s. </w:t>
      </w:r>
      <w:hyperlink r:id="rId8" w:history="1">
        <w:r w:rsidR="006659C0" w:rsidRPr="00E370B9">
          <w:rPr>
            <w:rStyle w:val="Hyperlink"/>
          </w:rPr>
          <w:t>California has opened the door for a “</w:t>
        </w:r>
        <w:r w:rsidR="00E370B9" w:rsidRPr="00E370B9">
          <w:rPr>
            <w:rStyle w:val="Hyperlink"/>
          </w:rPr>
          <w:t>central</w:t>
        </w:r>
        <w:r w:rsidR="006659C0" w:rsidRPr="00E370B9">
          <w:rPr>
            <w:rStyle w:val="Hyperlink"/>
          </w:rPr>
          <w:t xml:space="preserve"> buyer” solution which could provide the catalyst for this work</w:t>
        </w:r>
      </w:hyperlink>
      <w:r w:rsidR="006659C0">
        <w:t>, for nationwide application.</w:t>
      </w:r>
      <w:r w:rsidR="00694438">
        <w:t xml:space="preserve"> </w:t>
      </w:r>
      <w:r w:rsidR="00C36118">
        <w:t>Rapid changes are already well underway and any delay in the creation of an industry standard will impose additional work on those parties that are responsible for REC administration, attestation of “Green Energy hours”, and long</w:t>
      </w:r>
      <w:r w:rsidR="000F13A1">
        <w:t>-</w:t>
      </w:r>
      <w:r w:rsidR="00C36118">
        <w:t xml:space="preserve">term capacity acquisition </w:t>
      </w:r>
      <w:r w:rsidR="000F13A1">
        <w:t>for</w:t>
      </w:r>
      <w:r w:rsidR="00C36118">
        <w:t xml:space="preserve"> essential grid services needed for grid reliability and system balancing. </w:t>
      </w:r>
    </w:p>
    <w:sectPr w:rsidR="006659C0" w:rsidRPr="0066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4497B"/>
    <w:multiLevelType w:val="hybridMultilevel"/>
    <w:tmpl w:val="6BB45A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9"/>
    <w:rsid w:val="00040456"/>
    <w:rsid w:val="000D26A4"/>
    <w:rsid w:val="000F13A1"/>
    <w:rsid w:val="00123299"/>
    <w:rsid w:val="003051DB"/>
    <w:rsid w:val="00326B25"/>
    <w:rsid w:val="00355A67"/>
    <w:rsid w:val="003A3002"/>
    <w:rsid w:val="004A379B"/>
    <w:rsid w:val="005B2BF9"/>
    <w:rsid w:val="005B665F"/>
    <w:rsid w:val="005D3B98"/>
    <w:rsid w:val="006616E9"/>
    <w:rsid w:val="006659C0"/>
    <w:rsid w:val="00694438"/>
    <w:rsid w:val="007C4CC6"/>
    <w:rsid w:val="007E2EA0"/>
    <w:rsid w:val="00824C4B"/>
    <w:rsid w:val="008677AA"/>
    <w:rsid w:val="008E059F"/>
    <w:rsid w:val="008E54CF"/>
    <w:rsid w:val="009B350F"/>
    <w:rsid w:val="00A91512"/>
    <w:rsid w:val="00BC28C6"/>
    <w:rsid w:val="00BF73F6"/>
    <w:rsid w:val="00C36118"/>
    <w:rsid w:val="00C50BC9"/>
    <w:rsid w:val="00CA3A33"/>
    <w:rsid w:val="00CE38E0"/>
    <w:rsid w:val="00D2465C"/>
    <w:rsid w:val="00D75A1E"/>
    <w:rsid w:val="00E021CE"/>
    <w:rsid w:val="00E07A64"/>
    <w:rsid w:val="00E370B9"/>
    <w:rsid w:val="00E625CE"/>
    <w:rsid w:val="00F07CB3"/>
    <w:rsid w:val="00FE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2EB8"/>
  <w15:chartTrackingRefBased/>
  <w15:docId w15:val="{404F2C9A-2032-4961-B6DD-064697AD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6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944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16E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16E9"/>
    <w:rPr>
      <w:rFonts w:ascii="Calibri" w:hAnsi="Calibri"/>
      <w:szCs w:val="21"/>
    </w:rPr>
  </w:style>
  <w:style w:type="character" w:customStyle="1" w:styleId="Heading1Char">
    <w:name w:val="Heading 1 Char"/>
    <w:basedOn w:val="DefaultParagraphFont"/>
    <w:link w:val="Heading1"/>
    <w:uiPriority w:val="9"/>
    <w:rsid w:val="006616E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5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A67"/>
    <w:rPr>
      <w:color w:val="0563C1" w:themeColor="hyperlink"/>
      <w:u w:val="single"/>
    </w:rPr>
  </w:style>
  <w:style w:type="character" w:styleId="UnresolvedMention">
    <w:name w:val="Unresolved Mention"/>
    <w:basedOn w:val="DefaultParagraphFont"/>
    <w:uiPriority w:val="99"/>
    <w:semiHidden/>
    <w:unhideWhenUsed/>
    <w:rsid w:val="00355A67"/>
    <w:rPr>
      <w:color w:val="605E5C"/>
      <w:shd w:val="clear" w:color="auto" w:fill="E1DFDD"/>
    </w:rPr>
  </w:style>
  <w:style w:type="paragraph" w:styleId="ListParagraph">
    <w:name w:val="List Paragraph"/>
    <w:basedOn w:val="Normal"/>
    <w:uiPriority w:val="34"/>
    <w:qFormat/>
    <w:rsid w:val="00D75A1E"/>
    <w:pPr>
      <w:ind w:left="720"/>
      <w:contextualSpacing/>
    </w:pPr>
  </w:style>
  <w:style w:type="character" w:customStyle="1" w:styleId="Heading2Char">
    <w:name w:val="Heading 2 Char"/>
    <w:basedOn w:val="DefaultParagraphFont"/>
    <w:link w:val="Heading2"/>
    <w:uiPriority w:val="9"/>
    <w:rsid w:val="004A37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69443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39061">
      <w:bodyDiv w:val="1"/>
      <w:marLeft w:val="0"/>
      <w:marRight w:val="0"/>
      <w:marTop w:val="0"/>
      <w:marBottom w:val="0"/>
      <w:divBdr>
        <w:top w:val="none" w:sz="0" w:space="0" w:color="auto"/>
        <w:left w:val="none" w:sz="0" w:space="0" w:color="auto"/>
        <w:bottom w:val="none" w:sz="0" w:space="0" w:color="auto"/>
        <w:right w:val="none" w:sz="0" w:space="0" w:color="auto"/>
      </w:divBdr>
    </w:div>
    <w:div w:id="11457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cca.org/calcca-and-key-energy-market-stakeholders-reach-central-buyer-settlement-agreement/" TargetMode="External"/><Relationship Id="rId3" Type="http://schemas.openxmlformats.org/officeDocument/2006/relationships/settings" Target="settings.xml"/><Relationship Id="rId7" Type="http://schemas.openxmlformats.org/officeDocument/2006/relationships/hyperlink" Target="https://rmi.org/our-work/electricity/brc-business-renewables-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liableenergyanalytics.com/" TargetMode="External"/><Relationship Id="rId5" Type="http://schemas.openxmlformats.org/officeDocument/2006/relationships/hyperlink" Target="mailto:dick@reliableenergyanalytic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Brooks</dc:creator>
  <cp:keywords/>
  <dc:description/>
  <cp:lastModifiedBy>Richard Brooks</cp:lastModifiedBy>
  <cp:revision>10</cp:revision>
  <dcterms:created xsi:type="dcterms:W3CDTF">2019-09-08T15:13:00Z</dcterms:created>
  <dcterms:modified xsi:type="dcterms:W3CDTF">2019-09-08T17:36:00Z</dcterms:modified>
</cp:coreProperties>
</file>