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7B1" w:rsidRDefault="006207B1" w:rsidP="006207B1">
      <w:pPr>
        <w:pStyle w:val="Default"/>
      </w:pPr>
    </w:p>
    <w:p w:rsidR="006207B1" w:rsidRDefault="006207B1" w:rsidP="006207B1">
      <w:pPr>
        <w:pStyle w:val="Default"/>
        <w:spacing w:after="120"/>
        <w:ind w:left="2520" w:hanging="2520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Quadrant: </w:t>
      </w:r>
      <w:r>
        <w:rPr>
          <w:sz w:val="23"/>
          <w:szCs w:val="23"/>
        </w:rPr>
        <w:t xml:space="preserve">Wholesale Electric Quadrant (WEQ) </w:t>
      </w:r>
    </w:p>
    <w:p w:rsidR="006207B1" w:rsidRDefault="006207B1" w:rsidP="006207B1">
      <w:pPr>
        <w:pStyle w:val="Default"/>
        <w:spacing w:after="120"/>
        <w:ind w:left="2520" w:hanging="25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Subject: </w:t>
      </w:r>
      <w:r>
        <w:t>WE</w:t>
      </w:r>
      <w:r w:rsidRPr="00782264">
        <w:t xml:space="preserve">Q Request for </w:t>
      </w:r>
      <w:r>
        <w:t xml:space="preserve">Formal </w:t>
      </w:r>
      <w:r w:rsidRPr="00782264">
        <w:t>Comments</w:t>
      </w:r>
      <w:r>
        <w:t xml:space="preserve"> on Clarification </w:t>
      </w:r>
      <w:r w:rsidRPr="00D545E7">
        <w:t>C11</w:t>
      </w:r>
      <w:r>
        <w:t>004</w:t>
      </w:r>
    </w:p>
    <w:p w:rsidR="006207B1" w:rsidRDefault="006207B1" w:rsidP="006207B1">
      <w:pPr>
        <w:pStyle w:val="Default"/>
        <w:spacing w:after="120"/>
        <w:ind w:left="2520" w:hanging="252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Submitted By: </w:t>
      </w:r>
      <w:r>
        <w:rPr>
          <w:sz w:val="23"/>
          <w:szCs w:val="23"/>
        </w:rPr>
        <w:t xml:space="preserve">Alan Pritchard for Duke Energy </w:t>
      </w:r>
    </w:p>
    <w:p w:rsidR="006207B1" w:rsidRDefault="006207B1" w:rsidP="006207B1">
      <w:pPr>
        <w:pStyle w:val="Default"/>
        <w:spacing w:after="120"/>
        <w:ind w:left="2520" w:hanging="252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Date: </w:t>
      </w:r>
      <w:r>
        <w:rPr>
          <w:sz w:val="23"/>
          <w:szCs w:val="23"/>
        </w:rPr>
        <w:t xml:space="preserve">January 10, 2012 </w:t>
      </w:r>
    </w:p>
    <w:p w:rsidR="009E6A61" w:rsidRPr="0049193A" w:rsidRDefault="009E6A61" w:rsidP="009E6A61">
      <w:pPr>
        <w:rPr>
          <w:sz w:val="23"/>
          <w:szCs w:val="23"/>
        </w:rPr>
      </w:pPr>
      <w:r>
        <w:rPr>
          <w:sz w:val="23"/>
          <w:szCs w:val="23"/>
        </w:rPr>
        <w:t xml:space="preserve">Duke Energy is submitting comments on </w:t>
      </w:r>
      <w:r w:rsidR="0047319A">
        <w:rPr>
          <w:sz w:val="23"/>
          <w:szCs w:val="23"/>
        </w:rPr>
        <w:t>clarification</w:t>
      </w:r>
      <w:r>
        <w:rPr>
          <w:sz w:val="23"/>
          <w:szCs w:val="23"/>
        </w:rPr>
        <w:t xml:space="preserve"> “</w:t>
      </w:r>
      <w:r w:rsidRPr="0049193A">
        <w:rPr>
          <w:sz w:val="23"/>
          <w:szCs w:val="23"/>
        </w:rPr>
        <w:t>C11004 – The wording of WEQ 001-9.1 and WEQ 001-10.1 is vague with respect to the question of whether a request for redirect is valid if only the source or sink is modified.”</w:t>
      </w:r>
    </w:p>
    <w:p w:rsidR="009E6A61" w:rsidRDefault="009E6A61" w:rsidP="009E6A61">
      <w:pPr>
        <w:pStyle w:val="Default"/>
      </w:pPr>
    </w:p>
    <w:p w:rsidR="00BE18E4" w:rsidRPr="0047319A" w:rsidRDefault="009E6A61" w:rsidP="006207B1">
      <w:pPr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>Duke Energy has reviewed the</w:t>
      </w:r>
      <w:r w:rsidR="0047319A">
        <w:rPr>
          <w:sz w:val="23"/>
          <w:szCs w:val="23"/>
        </w:rPr>
        <w:t xml:space="preserve"> </w:t>
      </w:r>
      <w:r w:rsidR="007B576C">
        <w:rPr>
          <w:sz w:val="23"/>
          <w:szCs w:val="23"/>
        </w:rPr>
        <w:t>response</w:t>
      </w:r>
      <w:r>
        <w:rPr>
          <w:sz w:val="23"/>
          <w:szCs w:val="23"/>
        </w:rPr>
        <w:t xml:space="preserve"> as drafted by the WEQ Interpretations Subcommittee (IS) and is in agreement with the interpretation of WEQ 001-9.1 and WEQ 001-10.1 that t</w:t>
      </w:r>
      <w:r w:rsidRPr="009E6A61">
        <w:rPr>
          <w:sz w:val="23"/>
          <w:szCs w:val="23"/>
        </w:rPr>
        <w:t>here is leeway to permit submission of a redirect request which changes a source and/or sink without any requirements to change either the POR or the POD.</w:t>
      </w:r>
    </w:p>
    <w:sectPr w:rsidR="00BE18E4" w:rsidRPr="0047319A" w:rsidSect="00BE1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6207B1"/>
    <w:rsid w:val="0047319A"/>
    <w:rsid w:val="0049193A"/>
    <w:rsid w:val="006207B1"/>
    <w:rsid w:val="007B576C"/>
    <w:rsid w:val="00803452"/>
    <w:rsid w:val="009E6A61"/>
    <w:rsid w:val="00BE1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207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Energy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Pritchard</dc:creator>
  <cp:keywords/>
  <dc:description/>
  <cp:lastModifiedBy>Alan Pritchard</cp:lastModifiedBy>
  <cp:revision>3</cp:revision>
  <dcterms:created xsi:type="dcterms:W3CDTF">2012-01-10T14:58:00Z</dcterms:created>
  <dcterms:modified xsi:type="dcterms:W3CDTF">2012-01-10T15:35:00Z</dcterms:modified>
</cp:coreProperties>
</file>