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11" w:rsidRDefault="00470345">
      <w:pPr>
        <w:ind w:left="1440" w:hanging="1440"/>
        <w:jc w:val="right"/>
        <w:rPr>
          <w:b/>
        </w:rPr>
      </w:pPr>
      <w:bookmarkStart w:id="0" w:name="OLE_LINK3"/>
      <w:bookmarkStart w:id="1" w:name="OLE_LINK4"/>
      <w:bookmarkStart w:id="2" w:name="OLE_LINK5"/>
      <w:r>
        <w:rPr>
          <w:b/>
        </w:rPr>
        <w:t>March 24</w:t>
      </w:r>
      <w:r w:rsidR="004D7131">
        <w:rPr>
          <w:b/>
        </w:rPr>
        <w:t>, 2016</w:t>
      </w:r>
    </w:p>
    <w:p w:rsidR="00736211" w:rsidRDefault="00C649B8">
      <w:pPr>
        <w:ind w:left="1440" w:hanging="1440"/>
        <w:jc w:val="right"/>
        <w:rPr>
          <w:b/>
        </w:rPr>
      </w:pPr>
      <w:r>
        <w:rPr>
          <w:b/>
        </w:rPr>
        <w:t>Via email and posting</w:t>
      </w:r>
    </w:p>
    <w:p w:rsidR="00736211" w:rsidRDefault="00C649B8">
      <w:pPr>
        <w:spacing w:before="240"/>
        <w:ind w:left="1440" w:hanging="1440"/>
      </w:pPr>
      <w:r>
        <w:rPr>
          <w:b/>
        </w:rPr>
        <w:t>TO:</w:t>
      </w:r>
      <w:r>
        <w:rPr>
          <w:b/>
        </w:rPr>
        <w:tab/>
        <w:t>NAESB Executive Committee (EC) Members, posting for interested parties</w:t>
      </w:r>
    </w:p>
    <w:p w:rsidR="00736211" w:rsidRDefault="00C649B8">
      <w:r>
        <w:rPr>
          <w:b/>
        </w:rPr>
        <w:t xml:space="preserve">FROM: </w:t>
      </w:r>
      <w:r>
        <w:rPr>
          <w:b/>
        </w:rPr>
        <w:tab/>
      </w:r>
      <w:r>
        <w:t>NAESB Office</w:t>
      </w:r>
    </w:p>
    <w:p w:rsidR="00736211" w:rsidRDefault="00C649B8">
      <w:pPr>
        <w:ind w:left="1440" w:hanging="1440"/>
      </w:pPr>
      <w:r>
        <w:rPr>
          <w:b/>
        </w:rPr>
        <w:t>cc:</w:t>
      </w:r>
      <w:r>
        <w:rPr>
          <w:b/>
        </w:rPr>
        <w:tab/>
      </w:r>
      <w:r>
        <w:t>EC Alternates, Submitters, Subcommittee Chairs of Subcommittees noted in text below</w:t>
      </w:r>
    </w:p>
    <w:p w:rsidR="00736211" w:rsidRDefault="00C649B8">
      <w:pPr>
        <w:pBdr>
          <w:bottom w:val="single" w:sz="12" w:space="1" w:color="auto"/>
        </w:pBdr>
        <w:ind w:left="1440" w:hanging="1440"/>
        <w:rPr>
          <w:b/>
        </w:rPr>
      </w:pPr>
      <w:r>
        <w:rPr>
          <w:b/>
        </w:rPr>
        <w:t>RE:</w:t>
      </w:r>
      <w:r w:rsidR="006F66E9">
        <w:tab/>
        <w:t>NAESB Triage Action</w:t>
      </w:r>
      <w:r>
        <w:t xml:space="preserve"> Pending for Request No</w:t>
      </w:r>
      <w:r w:rsidR="004F2491">
        <w:t>.</w:t>
      </w:r>
      <w:r>
        <w:t xml:space="preserve"> </w:t>
      </w:r>
      <w:r w:rsidR="00DC2F96">
        <w:t>R1</w:t>
      </w:r>
      <w:r w:rsidR="004D7131">
        <w:t>600</w:t>
      </w:r>
      <w:r w:rsidR="00470345">
        <w:t>3</w:t>
      </w:r>
    </w:p>
    <w:p w:rsidR="00736211" w:rsidRDefault="00736211">
      <w:pPr>
        <w:jc w:val="center"/>
        <w:rPr>
          <w:b/>
        </w:rPr>
      </w:pPr>
    </w:p>
    <w:p w:rsidR="00736211" w:rsidRDefault="00C649B8">
      <w:bookmarkStart w:id="3" w:name="OLE_LINK1"/>
      <w:bookmarkStart w:id="4" w:name="OLE_LINK2"/>
      <w:r>
        <w:t>Dear Triage Subcommittee and EC members,</w:t>
      </w:r>
    </w:p>
    <w:p w:rsidR="00736211" w:rsidRDefault="00C649B8">
      <w:pPr>
        <w:spacing w:before="120" w:after="120"/>
      </w:pPr>
      <w:r>
        <w:t xml:space="preserve">We have </w:t>
      </w:r>
      <w:r w:rsidR="006F66E9">
        <w:t xml:space="preserve">one </w:t>
      </w:r>
      <w:r w:rsidR="002A5301">
        <w:t>r</w:t>
      </w:r>
      <w:r>
        <w:t>eques</w:t>
      </w:r>
      <w:r w:rsidR="00227082">
        <w:t>t</w:t>
      </w:r>
      <w:r>
        <w:t xml:space="preserve"> to triage – </w:t>
      </w:r>
      <w:r w:rsidR="00E53D66">
        <w:t>R1600</w:t>
      </w:r>
      <w:r w:rsidR="00470345">
        <w:t xml:space="preserve">3 </w:t>
      </w:r>
      <w:r w:rsidR="00DC2F96">
        <w:t>--</w:t>
      </w:r>
      <w:r>
        <w:t xml:space="preserve"> provided below </w:t>
      </w:r>
      <w:r w:rsidR="004F2491">
        <w:t>as a hyperlink</w:t>
      </w:r>
      <w:r w:rsidR="000666F1">
        <w:t>.</w:t>
      </w:r>
      <w:r>
        <w:t xml:space="preserve">  </w:t>
      </w:r>
      <w:r w:rsidR="00BF16E5">
        <w:t xml:space="preserve">The request was received </w:t>
      </w:r>
      <w:r w:rsidR="00470345">
        <w:t>on March 24</w:t>
      </w:r>
      <w:r w:rsidR="00BF16E5">
        <w:t>, 201</w:t>
      </w:r>
      <w:r w:rsidR="004D7131">
        <w:t>6</w:t>
      </w:r>
      <w:r w:rsidR="00BF16E5">
        <w:t xml:space="preserve">. </w:t>
      </w:r>
      <w:r>
        <w:t>The NAESB office recommends the following dispos</w:t>
      </w:r>
      <w:r w:rsidR="002A5301">
        <w:t>ition for your consideration</w:t>
      </w:r>
      <w:r>
        <w:t xml:space="preserve">:  </w:t>
      </w:r>
    </w:p>
    <w:p w:rsidR="00736211" w:rsidRDefault="00C649B8">
      <w:pPr>
        <w:spacing w:before="120" w:after="120"/>
      </w:pPr>
      <w:r>
        <w:t xml:space="preserve">For </w:t>
      </w:r>
      <w:hyperlink r:id="rId9" w:history="1">
        <w:r w:rsidR="00E53D66">
          <w:rPr>
            <w:rStyle w:val="Hyperlink"/>
          </w:rPr>
          <w:t>R1600</w:t>
        </w:r>
        <w:r w:rsidR="00470345">
          <w:rPr>
            <w:rStyle w:val="Hyperlink"/>
          </w:rPr>
          <w:t>3</w:t>
        </w:r>
      </w:hyperlink>
      <w:r w:rsidR="00A91772">
        <w:t xml:space="preserve"> and </w:t>
      </w:r>
      <w:hyperlink r:id="rId10" w:history="1">
        <w:r w:rsidR="00A91772" w:rsidRPr="006402BC">
          <w:rPr>
            <w:rStyle w:val="Hyperlink"/>
          </w:rPr>
          <w:t>attachment</w:t>
        </w:r>
      </w:hyperlink>
      <w:r w:rsidR="00A91772">
        <w:t xml:space="preserve"> s</w:t>
      </w:r>
      <w:r>
        <w:t xml:space="preserve">ubmitted by </w:t>
      </w:r>
      <w:hyperlink r:id="rId11" w:history="1">
        <w:r w:rsidR="00470345" w:rsidRPr="00A91772">
          <w:rPr>
            <w:rStyle w:val="Hyperlink"/>
          </w:rPr>
          <w:t>Greg Lander</w:t>
        </w:r>
      </w:hyperlink>
      <w:r w:rsidR="00470345">
        <w:t xml:space="preserve"> on behalf of Skipping Stone and Environmental Defense Fund</w:t>
      </w:r>
      <w:r w:rsidR="00E53D66">
        <w:t>:</w:t>
      </w:r>
      <w:r w:rsidR="004D7131">
        <w:t xml:space="preserve"> </w:t>
      </w:r>
      <w:bookmarkStart w:id="5" w:name="_GoBack"/>
      <w:bookmarkEnd w:id="5"/>
    </w:p>
    <w:p w:rsidR="006402BC" w:rsidRDefault="006402BC" w:rsidP="00A91772">
      <w:pPr>
        <w:spacing w:before="120"/>
        <w:ind w:left="720"/>
      </w:pPr>
      <w:r>
        <w:t xml:space="preserve">The request is titled: </w:t>
      </w:r>
      <w:r w:rsidRPr="006402BC">
        <w:rPr>
          <w:i/>
        </w:rPr>
        <w:t>“</w:t>
      </w:r>
      <w:r w:rsidRPr="006402BC">
        <w:rPr>
          <w:i/>
          <w:color w:val="000000"/>
        </w:rPr>
        <w:t>Best Efforts Scheduling Services for Natural Gas Pipeline Transportation - The proposed standard addresses certain business practices relating to Best Efforts scheduling for natural gas pipeline transportation that is: a) scheduled outside of the standard grid-wide nomination cycles, b) permits flow changes outside of standard schedule flow periods; and/or c) involves Shaped Flow Transactions (as defined in the proposed standard).”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A91772">
        <w:t xml:space="preserve">Because this request is directly related to </w:t>
      </w:r>
      <w:r>
        <w:t xml:space="preserve">the </w:t>
      </w:r>
      <w:r w:rsidR="00A91772">
        <w:t xml:space="preserve">Gas-Electric Harmonization Forum activities that will be put before the NAESB Board of Directors for their consideration on April 7, the request will be triaged after the board meeting.  </w:t>
      </w:r>
    </w:p>
    <w:p w:rsidR="00A91772" w:rsidRDefault="00A91772" w:rsidP="00A91772">
      <w:pPr>
        <w:spacing w:before="120"/>
        <w:ind w:left="720"/>
      </w:pPr>
      <w:r>
        <w:t xml:space="preserve">As the request has some issues that may need discussion prior to determining disposition, it may require a conference call.  Should it be determined a Triage Subcommittee conference call is required, a notice will be sent out after the April 7 NAESB Board of Directors meeting. </w:t>
      </w:r>
      <w:r w:rsidR="006402BC">
        <w:t xml:space="preserve"> If a call is not required, a possible recommended disposition is for the request to be forwarded to the Wholesale Gas Quadrant Business Practices Subcommittee, to be completed with the normal course of business of the subcommittee.</w:t>
      </w:r>
    </w:p>
    <w:p w:rsidR="00736211" w:rsidRDefault="00C649B8" w:rsidP="00227082">
      <w:pPr>
        <w:spacing w:before="120"/>
      </w:pPr>
      <w:r>
        <w:t xml:space="preserve">If you have any questions on </w:t>
      </w:r>
      <w:r w:rsidR="006402BC">
        <w:t>the</w:t>
      </w:r>
      <w:r>
        <w:t xml:space="preserve"> request, please contact the requestor directly -- the email address is provided as a link with the request.  If you have any concerns on the above action, please respond via</w:t>
      </w:r>
      <w:r w:rsidR="00A91772">
        <w:t xml:space="preserve"> email with your concern stated, which will be put before the Triage Subcommittee for its consideration.</w:t>
      </w:r>
      <w:r>
        <w:t xml:space="preserve">  Comments may certainly be provided and will be posted on the </w:t>
      </w:r>
      <w:hyperlink r:id="rId12" w:history="1">
        <w:r>
          <w:rPr>
            <w:rStyle w:val="Hyperlink"/>
          </w:rPr>
          <w:t>Triage Subcommittee</w:t>
        </w:r>
      </w:hyperlink>
      <w:r w:rsidR="00A91772">
        <w:t xml:space="preserve"> page of the NAESB web site.  </w:t>
      </w:r>
      <w:bookmarkEnd w:id="0"/>
      <w:bookmarkEnd w:id="1"/>
      <w:bookmarkEnd w:id="2"/>
      <w:bookmarkEnd w:id="3"/>
      <w:bookmarkEnd w:id="4"/>
      <w:r w:rsidR="00A91772">
        <w:t>Should it be determined a Triage Subcommittee conference call is required, a notice will be sent out after the April 7 NAESB Board of Directors meeting.</w:t>
      </w:r>
    </w:p>
    <w:sectPr w:rsidR="00736211" w:rsidSect="002270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2A" w:rsidRDefault="001C512A">
      <w:r>
        <w:separator/>
      </w:r>
    </w:p>
  </w:endnote>
  <w:endnote w:type="continuationSeparator" w:id="0">
    <w:p w:rsidR="001C512A" w:rsidRDefault="001C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BE" w:rsidRDefault="00B24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72" w:rsidRDefault="00A91772">
    <w:pPr>
      <w:pStyle w:val="Footer"/>
      <w:pBdr>
        <w:top w:val="single" w:sz="4" w:space="1" w:color="auto"/>
      </w:pBdr>
      <w:jc w:val="right"/>
    </w:pPr>
    <w:r>
      <w:t>NAESB Triage Action Pending for Request No. R1600</w:t>
    </w:r>
    <w:r w:rsidR="00B243BE">
      <w:t>3</w:t>
    </w:r>
  </w:p>
  <w:p w:rsidR="00A91772" w:rsidRDefault="00A91772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522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BE" w:rsidRDefault="00B24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2A" w:rsidRDefault="001C512A">
      <w:r>
        <w:separator/>
      </w:r>
    </w:p>
  </w:footnote>
  <w:footnote w:type="continuationSeparator" w:id="0">
    <w:p w:rsidR="001C512A" w:rsidRDefault="001C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BE" w:rsidRDefault="00B243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72" w:rsidRDefault="00A91772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23886D1" wp14:editId="7D98F03D">
          <wp:simplePos x="0" y="0"/>
          <wp:positionH relativeFrom="column">
            <wp:posOffset>127635</wp:posOffset>
          </wp:positionH>
          <wp:positionV relativeFrom="paragraph">
            <wp:posOffset>-187960</wp:posOffset>
          </wp:positionV>
          <wp:extent cx="1216660" cy="1266825"/>
          <wp:effectExtent l="0" t="0" r="2540" b="9525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" b="14743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772" w:rsidRDefault="00A91772">
    <w:pPr>
      <w:pStyle w:val="Header"/>
      <w:tabs>
        <w:tab w:val="left" w:pos="1080"/>
      </w:tabs>
      <w:jc w:val="center"/>
      <w:rPr>
        <w:b/>
        <w:sz w:val="28"/>
      </w:rPr>
    </w:pPr>
  </w:p>
  <w:p w:rsidR="00A91772" w:rsidRDefault="00A91772">
    <w:pPr>
      <w:pStyle w:val="Header"/>
      <w:tabs>
        <w:tab w:val="left" w:pos="1080"/>
      </w:tabs>
      <w:jc w:val="right"/>
      <w:rPr>
        <w:b/>
        <w:sz w:val="28"/>
      </w:rPr>
    </w:pPr>
    <w:r>
      <w:rPr>
        <w:b/>
        <w:sz w:val="28"/>
      </w:rPr>
      <w:t>North American Energy Standards Board</w:t>
    </w:r>
  </w:p>
  <w:p w:rsidR="00A91772" w:rsidRDefault="00A91772">
    <w:pPr>
      <w:pStyle w:val="Header"/>
      <w:jc w:val="right"/>
    </w:pPr>
    <w:r>
      <w:t>801 Travis, Suite 1675, Houston, Texas 77002</w:t>
    </w:r>
  </w:p>
  <w:p w:rsidR="00A91772" w:rsidRDefault="00A91772">
    <w:pPr>
      <w:pStyle w:val="Header"/>
      <w:jc w:val="right"/>
      <w:rPr>
        <w:lang w:val="fr-FR"/>
      </w:rPr>
    </w:pPr>
    <w:r>
      <w:rPr>
        <w:lang w:val="fr-FR"/>
      </w:rPr>
      <w:t>Phone</w:t>
    </w:r>
    <w:proofErr w:type="gramStart"/>
    <w:r>
      <w:rPr>
        <w:lang w:val="fr-FR"/>
      </w:rPr>
      <w:t>:  (</w:t>
    </w:r>
    <w:proofErr w:type="gramEnd"/>
    <w:r>
      <w:rPr>
        <w:lang w:val="fr-FR"/>
      </w:rPr>
      <w:t>713) 356-0060, Fax:  (713) 356-0067, E-mail: naesb@naesb.org</w:t>
    </w:r>
  </w:p>
  <w:p w:rsidR="00A91772" w:rsidRDefault="00A91772">
    <w:pPr>
      <w:pStyle w:val="Header"/>
      <w:pBdr>
        <w:bottom w:val="single" w:sz="4" w:space="1" w:color="auto"/>
      </w:pBdr>
      <w:jc w:val="right"/>
    </w:pPr>
    <w:r>
      <w:t>Home Page: www.naesb.org</w:t>
    </w:r>
  </w:p>
  <w:p w:rsidR="00A91772" w:rsidRDefault="00A917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BE" w:rsidRDefault="00B243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B07CD1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">
    <w:nsid w:val="043B02CA"/>
    <w:multiLevelType w:val="singleLevel"/>
    <w:tmpl w:val="C4D47F1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736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4E0F5A"/>
    <w:multiLevelType w:val="hybridMultilevel"/>
    <w:tmpl w:val="5170C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13634"/>
    <w:multiLevelType w:val="hybridMultilevel"/>
    <w:tmpl w:val="2CB6CAE8"/>
    <w:lvl w:ilvl="0" w:tplc="4866EF4E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87E170A"/>
    <w:multiLevelType w:val="hybridMultilevel"/>
    <w:tmpl w:val="82AEB9E0"/>
    <w:lvl w:ilvl="0" w:tplc="7228F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5C01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D04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A30747"/>
    <w:multiLevelType w:val="hybridMultilevel"/>
    <w:tmpl w:val="2CC85BD6"/>
    <w:lvl w:ilvl="0" w:tplc="047ED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435263"/>
    <w:multiLevelType w:val="hybridMultilevel"/>
    <w:tmpl w:val="152CBB7E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1">
    <w:nsid w:val="5BA22A60"/>
    <w:multiLevelType w:val="hybridMultilevel"/>
    <w:tmpl w:val="09988810"/>
    <w:lvl w:ilvl="0" w:tplc="9E2440D8">
      <w:start w:val="1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C741E6F"/>
    <w:multiLevelType w:val="singleLevel"/>
    <w:tmpl w:val="68225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3D53A72"/>
    <w:multiLevelType w:val="hybridMultilevel"/>
    <w:tmpl w:val="A4B07ABA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4">
    <w:nsid w:val="660818BE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15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FE13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>
    <w:nsid w:val="6E935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0140E68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0">
    <w:nsid w:val="72D34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7D6151B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2">
    <w:nsid w:val="7AE446D3"/>
    <w:multiLevelType w:val="singleLevel"/>
    <w:tmpl w:val="9E6E4D74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17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0"/>
  </w:num>
  <w:num w:numId="11">
    <w:abstractNumId w:val="15"/>
  </w:num>
  <w:num w:numId="12">
    <w:abstractNumId w:val="19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2"/>
  </w:num>
  <w:num w:numId="23">
    <w:abstractNumId w:val="9"/>
  </w:num>
  <w:num w:numId="24">
    <w:abstractNumId w:val="6"/>
  </w:num>
  <w:num w:numId="25">
    <w:abstractNumId w:val="4"/>
  </w:num>
  <w:num w:numId="26">
    <w:abstractNumId w:val="2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11"/>
    <w:rsid w:val="000666F1"/>
    <w:rsid w:val="000B255D"/>
    <w:rsid w:val="0012342E"/>
    <w:rsid w:val="001C512A"/>
    <w:rsid w:val="001C525B"/>
    <w:rsid w:val="001C70FF"/>
    <w:rsid w:val="001F42C5"/>
    <w:rsid w:val="00222965"/>
    <w:rsid w:val="00227082"/>
    <w:rsid w:val="002360FD"/>
    <w:rsid w:val="002366E5"/>
    <w:rsid w:val="00265841"/>
    <w:rsid w:val="002A5301"/>
    <w:rsid w:val="002C192A"/>
    <w:rsid w:val="002E0438"/>
    <w:rsid w:val="003B1414"/>
    <w:rsid w:val="003B6915"/>
    <w:rsid w:val="003D00CB"/>
    <w:rsid w:val="00443059"/>
    <w:rsid w:val="00470345"/>
    <w:rsid w:val="004B7F53"/>
    <w:rsid w:val="004D7131"/>
    <w:rsid w:val="004F2491"/>
    <w:rsid w:val="00576E3B"/>
    <w:rsid w:val="005B51F4"/>
    <w:rsid w:val="006402BC"/>
    <w:rsid w:val="00645221"/>
    <w:rsid w:val="006656EA"/>
    <w:rsid w:val="006878A2"/>
    <w:rsid w:val="00696AC8"/>
    <w:rsid w:val="006B6015"/>
    <w:rsid w:val="006F3C94"/>
    <w:rsid w:val="006F66E9"/>
    <w:rsid w:val="00707217"/>
    <w:rsid w:val="00720882"/>
    <w:rsid w:val="007322DB"/>
    <w:rsid w:val="00736211"/>
    <w:rsid w:val="007475BC"/>
    <w:rsid w:val="0075109B"/>
    <w:rsid w:val="00753E81"/>
    <w:rsid w:val="00793F1E"/>
    <w:rsid w:val="007D1ED2"/>
    <w:rsid w:val="007E6AB4"/>
    <w:rsid w:val="007F3426"/>
    <w:rsid w:val="00806A91"/>
    <w:rsid w:val="0088371F"/>
    <w:rsid w:val="008F52A4"/>
    <w:rsid w:val="009D1839"/>
    <w:rsid w:val="009D2EAC"/>
    <w:rsid w:val="009E4571"/>
    <w:rsid w:val="00A02200"/>
    <w:rsid w:val="00A07598"/>
    <w:rsid w:val="00A23D88"/>
    <w:rsid w:val="00A4186A"/>
    <w:rsid w:val="00A636B2"/>
    <w:rsid w:val="00A81A00"/>
    <w:rsid w:val="00A91772"/>
    <w:rsid w:val="00B043E2"/>
    <w:rsid w:val="00B243BE"/>
    <w:rsid w:val="00B53443"/>
    <w:rsid w:val="00BF16E5"/>
    <w:rsid w:val="00C649B8"/>
    <w:rsid w:val="00C832A0"/>
    <w:rsid w:val="00C83400"/>
    <w:rsid w:val="00CD06A8"/>
    <w:rsid w:val="00D004A1"/>
    <w:rsid w:val="00D73FFE"/>
    <w:rsid w:val="00D930E6"/>
    <w:rsid w:val="00DC2F96"/>
    <w:rsid w:val="00DD47D7"/>
    <w:rsid w:val="00DE6D15"/>
    <w:rsid w:val="00DF25A7"/>
    <w:rsid w:val="00DF57FB"/>
    <w:rsid w:val="00E02D9B"/>
    <w:rsid w:val="00E53D66"/>
    <w:rsid w:val="00E64A8C"/>
    <w:rsid w:val="00EA3AF0"/>
    <w:rsid w:val="00F63E78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11"/>
      </w:numPr>
      <w:tabs>
        <w:tab w:val="left" w:pos="360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24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character" w:customStyle="1" w:styleId="DeltaViewInsertion">
    <w:name w:val="DeltaView Insertion"/>
    <w:rPr>
      <w:b/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character" w:customStyle="1" w:styleId="msoins0">
    <w:name w:val="msoins"/>
    <w:basedOn w:val="DefaultParagraphFont"/>
  </w:style>
  <w:style w:type="paragraph" w:customStyle="1" w:styleId="Body1">
    <w:name w:val="Body 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540"/>
      </w:tabs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otnoteReference">
    <w:name w:val="footnote reference"/>
    <w:aliases w:val="o,fr,Style 13,Style 12,Style 15,Style 17,Style 9,o1,fr1,o2,fr2,o3,fr3,Style 18,(NECG) Footnote Reference,Style 20,Style 7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ISBDefParaSecondlineIndent">
    <w:name w:val="GISB Def Para Secondline Indent"/>
    <w:basedOn w:val="Normal"/>
    <w:pPr>
      <w:keepLines/>
      <w:widowControl w:val="0"/>
      <w:tabs>
        <w:tab w:val="left" w:pos="900"/>
      </w:tabs>
      <w:spacing w:before="240"/>
      <w:ind w:left="907" w:hanging="907"/>
      <w:jc w:val="both"/>
    </w:pPr>
    <w:rPr>
      <w:rFonts w:ascii="Arial" w:hAnsi="Arial"/>
      <w:snapToGrid w:val="0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11"/>
      </w:numPr>
      <w:tabs>
        <w:tab w:val="left" w:pos="360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24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character" w:customStyle="1" w:styleId="DeltaViewInsertion">
    <w:name w:val="DeltaView Insertion"/>
    <w:rPr>
      <w:b/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character" w:customStyle="1" w:styleId="msoins0">
    <w:name w:val="msoins"/>
    <w:basedOn w:val="DefaultParagraphFont"/>
  </w:style>
  <w:style w:type="paragraph" w:customStyle="1" w:styleId="Body1">
    <w:name w:val="Body 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540"/>
      </w:tabs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otnoteReference">
    <w:name w:val="footnote reference"/>
    <w:aliases w:val="o,fr,Style 13,Style 12,Style 15,Style 17,Style 9,o1,fr1,o2,fr2,o3,fr3,Style 18,(NECG) Footnote Reference,Style 20,Style 7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ISBDefParaSecondlineIndent">
    <w:name w:val="GISB Def Para Secondline Indent"/>
    <w:basedOn w:val="Normal"/>
    <w:pPr>
      <w:keepLines/>
      <w:widowControl w:val="0"/>
      <w:tabs>
        <w:tab w:val="left" w:pos="900"/>
      </w:tabs>
      <w:spacing w:before="240"/>
      <w:ind w:left="907" w:hanging="907"/>
      <w:jc w:val="both"/>
    </w:pPr>
    <w:rPr>
      <w:rFonts w:ascii="Arial" w:hAnsi="Arial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esb.org/triage.as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ander@skippingston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aesb.org/member_login_check.asp?doc=r16003_attachment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esb.org/pdf4/r16003.do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3D97-1E27-4D1A-A5CC-A1D6B11F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EC Members,</vt:lpstr>
    </vt:vector>
  </TitlesOfParts>
  <Company>NAESB</Company>
  <LinksUpToDate>false</LinksUpToDate>
  <CharactersWithSpaces>2643</CharactersWithSpaces>
  <SharedDoc>false</SharedDoc>
  <HLinks>
    <vt:vector size="42" baseType="variant">
      <vt:variant>
        <vt:i4>7143462</vt:i4>
      </vt:variant>
      <vt:variant>
        <vt:i4>18</vt:i4>
      </vt:variant>
      <vt:variant>
        <vt:i4>0</vt:i4>
      </vt:variant>
      <vt:variant>
        <vt:i4>5</vt:i4>
      </vt:variant>
      <vt:variant>
        <vt:lpwstr>http://www.naesb.org/triage.asp</vt:lpwstr>
      </vt:variant>
      <vt:variant>
        <vt:lpwstr/>
      </vt:variant>
      <vt:variant>
        <vt:i4>7995394</vt:i4>
      </vt:variant>
      <vt:variant>
        <vt:i4>15</vt:i4>
      </vt:variant>
      <vt:variant>
        <vt:i4>0</vt:i4>
      </vt:variant>
      <vt:variant>
        <vt:i4>5</vt:i4>
      </vt:variant>
      <vt:variant>
        <vt:lpwstr>mailto:jafnan@iso-ne.com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http://www.naesb.org/pdf4/r11015.doc</vt:lpwstr>
      </vt:variant>
      <vt:variant>
        <vt:lpwstr/>
      </vt:variant>
      <vt:variant>
        <vt:i4>7143429</vt:i4>
      </vt:variant>
      <vt:variant>
        <vt:i4>9</vt:i4>
      </vt:variant>
      <vt:variant>
        <vt:i4>0</vt:i4>
      </vt:variant>
      <vt:variant>
        <vt:i4>5</vt:i4>
      </vt:variant>
      <vt:variant>
        <vt:lpwstr>mailto:jesse.hurley@shiftresearch.com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http://www.naesb.org/pdf4/r11014.docx</vt:lpwstr>
      </vt:variant>
      <vt:variant>
        <vt:lpwstr/>
      </vt:variant>
      <vt:variant>
        <vt:i4>2490460</vt:i4>
      </vt:variant>
      <vt:variant>
        <vt:i4>3</vt:i4>
      </vt:variant>
      <vt:variant>
        <vt:i4>0</vt:i4>
      </vt:variant>
      <vt:variant>
        <vt:i4>5</vt:i4>
      </vt:variant>
      <vt:variant>
        <vt:lpwstr>mailto:kelly.brooks@wbip.com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http://www.naesb.org/pdf4/r11013.doc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EC Members,</dc:title>
  <dc:creator>Rae McQuade</dc:creator>
  <cp:lastModifiedBy>NAESB</cp:lastModifiedBy>
  <cp:revision>4</cp:revision>
  <cp:lastPrinted>2006-10-16T13:47:00Z</cp:lastPrinted>
  <dcterms:created xsi:type="dcterms:W3CDTF">2016-03-24T18:51:00Z</dcterms:created>
  <dcterms:modified xsi:type="dcterms:W3CDTF">2016-03-24T20:44:00Z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