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E06" w14:textId="6DE4B5C3" w:rsidR="00345778" w:rsidRPr="00143642" w:rsidRDefault="009B17D9" w:rsidP="00143642">
      <w:pPr>
        <w:jc w:val="right"/>
        <w:rPr>
          <w:bCs/>
        </w:rPr>
      </w:pPr>
      <w:bookmarkStart w:id="0" w:name="OLE_LINK1"/>
      <w:bookmarkStart w:id="1" w:name="OLE_LINK2"/>
      <w:bookmarkStart w:id="2" w:name="OLE_LINK3"/>
      <w:bookmarkStart w:id="3" w:name="OLE_LINK4"/>
      <w:bookmarkStart w:id="4" w:name="OLE_LINK5"/>
      <w:bookmarkStart w:id="5" w:name="OLE_LINK6"/>
      <w:r w:rsidRPr="00143642">
        <w:rPr>
          <w:bCs/>
        </w:rPr>
        <w:t xml:space="preserve">February, </w:t>
      </w:r>
      <w:r w:rsidR="00A8245E" w:rsidRPr="00143642">
        <w:rPr>
          <w:bCs/>
        </w:rPr>
        <w:t>22</w:t>
      </w:r>
      <w:r w:rsidRPr="00143642">
        <w:rPr>
          <w:bCs/>
        </w:rPr>
        <w:t>, 2021</w:t>
      </w:r>
    </w:p>
    <w:p w14:paraId="7A88FEE7" w14:textId="77777777" w:rsidR="00052FC8" w:rsidRPr="00143642" w:rsidRDefault="00345778" w:rsidP="00143642">
      <w:pPr>
        <w:spacing w:before="120"/>
        <w:rPr>
          <w:bCs/>
        </w:rPr>
      </w:pPr>
      <w:r w:rsidRPr="00143642">
        <w:rPr>
          <w:b/>
        </w:rPr>
        <w:t>TO:</w:t>
      </w:r>
      <w:r w:rsidR="00772717" w:rsidRPr="00143642">
        <w:rPr>
          <w:b/>
        </w:rPr>
        <w:t xml:space="preserve"> </w:t>
      </w:r>
      <w:r w:rsidR="00DA06C0" w:rsidRPr="00143642">
        <w:rPr>
          <w:b/>
        </w:rPr>
        <w:tab/>
      </w:r>
      <w:r w:rsidR="008E28CF" w:rsidRPr="00143642">
        <w:t>Parliamentary Committee Members</w:t>
      </w:r>
    </w:p>
    <w:p w14:paraId="74A7E2FE" w14:textId="647F0CA8" w:rsidR="00345778" w:rsidRPr="00143642" w:rsidRDefault="00345778" w:rsidP="00143642">
      <w:pPr>
        <w:spacing w:before="120"/>
        <w:rPr>
          <w:bCs/>
        </w:rPr>
      </w:pPr>
      <w:r w:rsidRPr="00143642">
        <w:rPr>
          <w:b/>
        </w:rPr>
        <w:t xml:space="preserve">FROM: </w:t>
      </w:r>
      <w:r w:rsidR="00DA06C0" w:rsidRPr="00143642">
        <w:rPr>
          <w:b/>
        </w:rPr>
        <w:tab/>
      </w:r>
      <w:r w:rsidR="00AB13FF" w:rsidRPr="00143642">
        <w:rPr>
          <w:b/>
        </w:rPr>
        <w:tab/>
      </w:r>
      <w:r w:rsidR="00DC4852" w:rsidRPr="00143642">
        <w:t xml:space="preserve">Rae McQuade, President and COO, </w:t>
      </w:r>
      <w:r w:rsidR="00DC4852" w:rsidRPr="00143642">
        <w:rPr>
          <w:bCs/>
        </w:rPr>
        <w:t>Bill Boswell, NAESB General Counsel</w:t>
      </w:r>
      <w:r w:rsidR="009B17D9" w:rsidRPr="00143642">
        <w:rPr>
          <w:bCs/>
        </w:rPr>
        <w:t xml:space="preserve">, </w:t>
      </w:r>
      <w:r w:rsidR="00DC4852" w:rsidRPr="00143642">
        <w:rPr>
          <w:bCs/>
        </w:rPr>
        <w:t>Jonathan Booe, NAESB</w:t>
      </w:r>
      <w:r w:rsidR="00DC4852" w:rsidRPr="00143642">
        <w:rPr>
          <w:bCs/>
        </w:rPr>
        <w:tab/>
      </w:r>
      <w:r w:rsidR="00DC4852" w:rsidRPr="00143642">
        <w:rPr>
          <w:bCs/>
        </w:rPr>
        <w:tab/>
      </w:r>
      <w:r w:rsidR="00DC4852" w:rsidRPr="00143642">
        <w:rPr>
          <w:bCs/>
        </w:rPr>
        <w:tab/>
        <w:t>Executive Vice President &amp; CA</w:t>
      </w:r>
      <w:r w:rsidR="009B17D9" w:rsidRPr="00143642">
        <w:rPr>
          <w:bCs/>
        </w:rPr>
        <w:t>O, &amp; Elizabeth Mallett, NAESB Deputy Director</w:t>
      </w:r>
    </w:p>
    <w:p w14:paraId="67BC2CDF" w14:textId="63B84D48" w:rsidR="00345778" w:rsidRPr="00143642" w:rsidRDefault="00345778" w:rsidP="00143642">
      <w:pPr>
        <w:pBdr>
          <w:bottom w:val="single" w:sz="12" w:space="1" w:color="auto"/>
        </w:pBdr>
        <w:spacing w:before="120"/>
        <w:rPr>
          <w:bCs/>
        </w:rPr>
      </w:pPr>
      <w:r w:rsidRPr="00143642">
        <w:rPr>
          <w:b/>
        </w:rPr>
        <w:t>RE:</w:t>
      </w:r>
      <w:r w:rsidR="00772717" w:rsidRPr="00143642">
        <w:rPr>
          <w:b/>
        </w:rPr>
        <w:t xml:space="preserve"> </w:t>
      </w:r>
      <w:r w:rsidR="00DA06C0" w:rsidRPr="00143642">
        <w:rPr>
          <w:b/>
        </w:rPr>
        <w:tab/>
      </w:r>
      <w:r w:rsidR="005B678D" w:rsidRPr="00143642">
        <w:t>NAESB Governance Documents 2.0</w:t>
      </w:r>
      <w:r w:rsidR="00BD55A9" w:rsidRPr="00143642">
        <w:t xml:space="preserve"> – </w:t>
      </w:r>
      <w:r w:rsidR="009E66F6" w:rsidRPr="00143642">
        <w:t>Bylaws</w:t>
      </w:r>
      <w:r w:rsidR="00BD55A9" w:rsidRPr="00143642">
        <w:t xml:space="preserve"> Work Paper</w:t>
      </w:r>
    </w:p>
    <w:p w14:paraId="024E9DA9" w14:textId="0C2C6055" w:rsidR="00D52C7A" w:rsidRPr="00143642" w:rsidRDefault="00BD55A9" w:rsidP="00143642">
      <w:pPr>
        <w:tabs>
          <w:tab w:val="left" w:pos="0"/>
        </w:tabs>
        <w:spacing w:before="200" w:after="200"/>
        <w:jc w:val="both"/>
        <w:rPr>
          <w:bCs/>
        </w:rPr>
      </w:pPr>
      <w:r w:rsidRPr="00143642">
        <w:rPr>
          <w:bCs/>
        </w:rPr>
        <w:t xml:space="preserve">This work paper has been prepared </w:t>
      </w:r>
      <w:r w:rsidR="008F6188" w:rsidRPr="00143642">
        <w:rPr>
          <w:bCs/>
        </w:rPr>
        <w:t>to continue efforts that support</w:t>
      </w:r>
      <w:r w:rsidRPr="00143642">
        <w:rPr>
          <w:bCs/>
        </w:rPr>
        <w:t xml:space="preserve"> </w:t>
      </w:r>
      <w:r w:rsidR="008F6188" w:rsidRPr="00143642">
        <w:rPr>
          <w:bCs/>
        </w:rPr>
        <w:t xml:space="preserve">the </w:t>
      </w:r>
      <w:r w:rsidRPr="00143642">
        <w:rPr>
          <w:bCs/>
        </w:rPr>
        <w:t xml:space="preserve">direction of the </w:t>
      </w:r>
      <w:r w:rsidR="005B678D" w:rsidRPr="00143642">
        <w:rPr>
          <w:bCs/>
        </w:rPr>
        <w:t>NAESB Parliamentary Committee</w:t>
      </w:r>
      <w:r w:rsidRPr="00143642">
        <w:rPr>
          <w:bCs/>
        </w:rPr>
        <w:t xml:space="preserve"> and the NAESB Board of Directors</w:t>
      </w:r>
      <w:r w:rsidR="005B678D" w:rsidRPr="00143642">
        <w:rPr>
          <w:bCs/>
        </w:rPr>
        <w:t xml:space="preserve"> </w:t>
      </w:r>
      <w:r w:rsidR="008F6188" w:rsidRPr="00143642">
        <w:rPr>
          <w:bCs/>
        </w:rPr>
        <w:t>in</w:t>
      </w:r>
      <w:r w:rsidRPr="00143642">
        <w:rPr>
          <w:bCs/>
        </w:rPr>
        <w:t xml:space="preserve"> the</w:t>
      </w:r>
      <w:r w:rsidR="005558C7" w:rsidRPr="00143642">
        <w:rPr>
          <w:bCs/>
        </w:rPr>
        <w:t xml:space="preserve"> review </w:t>
      </w:r>
      <w:r w:rsidRPr="00143642">
        <w:rPr>
          <w:bCs/>
        </w:rPr>
        <w:t xml:space="preserve">and update of </w:t>
      </w:r>
      <w:r w:rsidR="005558C7" w:rsidRPr="00143642">
        <w:rPr>
          <w:bCs/>
        </w:rPr>
        <w:t>the NAESB Governance D</w:t>
      </w:r>
      <w:r w:rsidR="005B678D" w:rsidRPr="00143642">
        <w:rPr>
          <w:bCs/>
        </w:rPr>
        <w:t>ocuments</w:t>
      </w:r>
      <w:r w:rsidR="005558C7" w:rsidRPr="00143642">
        <w:rPr>
          <w:bCs/>
        </w:rPr>
        <w:t xml:space="preserve"> (NAESB Certificate of Incorporation, NAESB Bylaws, and the NAESB Operating Pr</w:t>
      </w:r>
      <w:r w:rsidR="009B17D9" w:rsidRPr="00143642">
        <w:rPr>
          <w:bCs/>
        </w:rPr>
        <w:t>ocedures</w:t>
      </w:r>
      <w:r w:rsidR="005558C7" w:rsidRPr="00143642">
        <w:rPr>
          <w:bCs/>
        </w:rPr>
        <w:t>)</w:t>
      </w:r>
      <w:r w:rsidRPr="00143642">
        <w:rPr>
          <w:bCs/>
        </w:rPr>
        <w:t xml:space="preserve">.  Specifically, the work paper </w:t>
      </w:r>
      <w:r w:rsidR="008F6188" w:rsidRPr="00143642">
        <w:rPr>
          <w:bCs/>
        </w:rPr>
        <w:t xml:space="preserve">is intended to support activities to address item number 4 below as it relates to the NAESB </w:t>
      </w:r>
      <w:r w:rsidR="009B17D9" w:rsidRPr="00143642">
        <w:rPr>
          <w:bCs/>
        </w:rPr>
        <w:t>Operating Procedures</w:t>
      </w:r>
      <w:r w:rsidR="008F6188" w:rsidRPr="00143642">
        <w:rPr>
          <w:bCs/>
        </w:rPr>
        <w:t xml:space="preserve">.  </w:t>
      </w:r>
    </w:p>
    <w:p w14:paraId="0FC4150A" w14:textId="42DC3A7C" w:rsidR="005558C7" w:rsidRPr="00143642" w:rsidRDefault="005558C7" w:rsidP="00143642">
      <w:pPr>
        <w:pStyle w:val="ListParagraph"/>
        <w:numPr>
          <w:ilvl w:val="0"/>
          <w:numId w:val="30"/>
        </w:numPr>
        <w:tabs>
          <w:tab w:val="left" w:pos="0"/>
        </w:tabs>
        <w:spacing w:before="200" w:after="200"/>
        <w:ind w:left="0" w:firstLine="0"/>
        <w:jc w:val="both"/>
        <w:rPr>
          <w:bCs/>
        </w:rPr>
      </w:pPr>
      <w:r w:rsidRPr="00143642">
        <w:rPr>
          <w:bCs/>
        </w:rPr>
        <w:t xml:space="preserve">The </w:t>
      </w:r>
      <w:bookmarkStart w:id="6" w:name="_Hlk519778414"/>
      <w:r w:rsidR="00FA05D6" w:rsidRPr="00143642">
        <w:rPr>
          <w:bCs/>
        </w:rPr>
        <w:t>NAESB Operating Procedures</w:t>
      </w:r>
      <w:r w:rsidR="00D43F82" w:rsidRPr="00143642">
        <w:rPr>
          <w:bCs/>
        </w:rPr>
        <w:t xml:space="preserve"> </w:t>
      </w:r>
      <w:r w:rsidR="009E66F6" w:rsidRPr="00143642">
        <w:rPr>
          <w:bCs/>
        </w:rPr>
        <w:t>are</w:t>
      </w:r>
      <w:r w:rsidRPr="00143642">
        <w:rPr>
          <w:bCs/>
        </w:rPr>
        <w:t xml:space="preserve"> </w:t>
      </w:r>
      <w:bookmarkEnd w:id="6"/>
      <w:r w:rsidRPr="00143642">
        <w:rPr>
          <w:bCs/>
        </w:rPr>
        <w:t>consistent with Delaware corporate law</w:t>
      </w:r>
    </w:p>
    <w:p w14:paraId="7067D05C" w14:textId="7AB50120" w:rsidR="005B678D" w:rsidRPr="00143642" w:rsidRDefault="005558C7" w:rsidP="00143642">
      <w:pPr>
        <w:pStyle w:val="ListParagraph"/>
        <w:numPr>
          <w:ilvl w:val="0"/>
          <w:numId w:val="30"/>
        </w:numPr>
        <w:tabs>
          <w:tab w:val="left" w:pos="0"/>
        </w:tabs>
        <w:spacing w:before="200" w:after="200"/>
        <w:ind w:left="0" w:firstLine="0"/>
        <w:jc w:val="both"/>
        <w:rPr>
          <w:bCs/>
        </w:rPr>
      </w:pPr>
      <w:r w:rsidRPr="00143642">
        <w:rPr>
          <w:bCs/>
        </w:rPr>
        <w:t xml:space="preserve">The </w:t>
      </w:r>
      <w:r w:rsidR="00FA05D6" w:rsidRPr="00143642">
        <w:rPr>
          <w:bCs/>
        </w:rPr>
        <w:t>NAESB Operating Procedures</w:t>
      </w:r>
      <w:r w:rsidR="00D43F82" w:rsidRPr="00143642">
        <w:rPr>
          <w:bCs/>
        </w:rPr>
        <w:t xml:space="preserve"> </w:t>
      </w:r>
      <w:r w:rsidR="009E66F6" w:rsidRPr="00143642">
        <w:rPr>
          <w:bCs/>
        </w:rPr>
        <w:t>are</w:t>
      </w:r>
      <w:r w:rsidR="004764DC" w:rsidRPr="00143642">
        <w:rPr>
          <w:bCs/>
        </w:rPr>
        <w:t xml:space="preserve"> </w:t>
      </w:r>
      <w:r w:rsidR="005B678D" w:rsidRPr="00143642">
        <w:rPr>
          <w:bCs/>
        </w:rPr>
        <w:t>consistent</w:t>
      </w:r>
      <w:r w:rsidRPr="00143642">
        <w:rPr>
          <w:bCs/>
        </w:rPr>
        <w:t xml:space="preserve"> </w:t>
      </w:r>
      <w:r w:rsidR="009E66F6" w:rsidRPr="00143642">
        <w:rPr>
          <w:bCs/>
        </w:rPr>
        <w:t xml:space="preserve">and consistent </w:t>
      </w:r>
      <w:r w:rsidRPr="00143642">
        <w:rPr>
          <w:bCs/>
        </w:rPr>
        <w:t>with</w:t>
      </w:r>
      <w:r w:rsidR="004764DC" w:rsidRPr="00143642">
        <w:rPr>
          <w:bCs/>
        </w:rPr>
        <w:t xml:space="preserve"> the other Governance Documents</w:t>
      </w:r>
      <w:r w:rsidR="005B678D" w:rsidRPr="00143642">
        <w:rPr>
          <w:bCs/>
        </w:rPr>
        <w:t xml:space="preserve"> </w:t>
      </w:r>
    </w:p>
    <w:p w14:paraId="59B14E4F" w14:textId="4E4F76CC" w:rsidR="005558C7" w:rsidRPr="00143642" w:rsidRDefault="005558C7" w:rsidP="00143642">
      <w:pPr>
        <w:pStyle w:val="ListParagraph"/>
        <w:numPr>
          <w:ilvl w:val="0"/>
          <w:numId w:val="30"/>
        </w:numPr>
        <w:tabs>
          <w:tab w:val="left" w:pos="0"/>
        </w:tabs>
        <w:spacing w:before="200" w:after="200"/>
        <w:ind w:left="0" w:firstLine="0"/>
        <w:jc w:val="both"/>
        <w:rPr>
          <w:bCs/>
        </w:rPr>
      </w:pPr>
      <w:r w:rsidRPr="00143642">
        <w:rPr>
          <w:bCs/>
        </w:rPr>
        <w:t>The language of the provisions and</w:t>
      </w:r>
      <w:r w:rsidR="00052EF6" w:rsidRPr="00143642">
        <w:rPr>
          <w:bCs/>
        </w:rPr>
        <w:t>/or</w:t>
      </w:r>
      <w:r w:rsidRPr="00143642">
        <w:rPr>
          <w:bCs/>
        </w:rPr>
        <w:t xml:space="preserve"> procedures included in the </w:t>
      </w:r>
      <w:r w:rsidR="00FA05D6" w:rsidRPr="00143642">
        <w:rPr>
          <w:bCs/>
        </w:rPr>
        <w:t>NAESB Operating Procedures</w:t>
      </w:r>
      <w:r w:rsidR="009E66F6" w:rsidRPr="00143642">
        <w:rPr>
          <w:bCs/>
        </w:rPr>
        <w:t xml:space="preserve"> are</w:t>
      </w:r>
      <w:r w:rsidRPr="00143642">
        <w:rPr>
          <w:bCs/>
        </w:rPr>
        <w:t xml:space="preserve"> consistent with the original </w:t>
      </w:r>
      <w:r w:rsidR="00052EF6" w:rsidRPr="00143642">
        <w:rPr>
          <w:bCs/>
        </w:rPr>
        <w:t xml:space="preserve">intent of the </w:t>
      </w:r>
      <w:r w:rsidRPr="00143642">
        <w:rPr>
          <w:bCs/>
        </w:rPr>
        <w:t xml:space="preserve">adopted </w:t>
      </w:r>
      <w:r w:rsidR="00052EF6" w:rsidRPr="00143642">
        <w:rPr>
          <w:bCs/>
        </w:rPr>
        <w:t xml:space="preserve">provision and/or procedure </w:t>
      </w:r>
    </w:p>
    <w:p w14:paraId="02161454" w14:textId="58535288" w:rsidR="005558C7" w:rsidRPr="00143642" w:rsidRDefault="00052EF6" w:rsidP="00143642">
      <w:pPr>
        <w:pStyle w:val="ListParagraph"/>
        <w:numPr>
          <w:ilvl w:val="0"/>
          <w:numId w:val="30"/>
        </w:numPr>
        <w:tabs>
          <w:tab w:val="left" w:pos="0"/>
        </w:tabs>
        <w:spacing w:before="200" w:after="200"/>
        <w:ind w:left="0" w:firstLine="0"/>
        <w:jc w:val="both"/>
        <w:rPr>
          <w:b/>
          <w:i/>
          <w:iCs/>
          <w:u w:val="single"/>
        </w:rPr>
      </w:pPr>
      <w:r w:rsidRPr="00143642">
        <w:rPr>
          <w:b/>
          <w:i/>
          <w:iCs/>
          <w:u w:val="single"/>
        </w:rPr>
        <w:t xml:space="preserve">The </w:t>
      </w:r>
      <w:bookmarkStart w:id="7" w:name="_Hlk519779324"/>
      <w:r w:rsidR="00FA05D6" w:rsidRPr="00143642">
        <w:rPr>
          <w:b/>
          <w:bCs/>
          <w:i/>
          <w:iCs/>
          <w:u w:val="single"/>
        </w:rPr>
        <w:t>NAESB Operating Procedures</w:t>
      </w:r>
      <w:r w:rsidR="00D43F82" w:rsidRPr="00143642">
        <w:rPr>
          <w:b/>
          <w:i/>
          <w:iCs/>
          <w:u w:val="single"/>
        </w:rPr>
        <w:t xml:space="preserve"> </w:t>
      </w:r>
      <w:r w:rsidR="009E66F6" w:rsidRPr="00143642">
        <w:rPr>
          <w:b/>
          <w:i/>
          <w:iCs/>
          <w:u w:val="single"/>
        </w:rPr>
        <w:t>are</w:t>
      </w:r>
      <w:r w:rsidRPr="00143642">
        <w:rPr>
          <w:b/>
          <w:i/>
          <w:iCs/>
          <w:u w:val="single"/>
        </w:rPr>
        <w:t xml:space="preserve"> </w:t>
      </w:r>
      <w:bookmarkEnd w:id="7"/>
      <w:r w:rsidRPr="00143642">
        <w:rPr>
          <w:b/>
          <w:i/>
          <w:iCs/>
          <w:u w:val="single"/>
        </w:rPr>
        <w:t>consistent with, and incorporate where necessary, resolutions adopted by the NAESB Board of Directors</w:t>
      </w:r>
    </w:p>
    <w:p w14:paraId="24169603" w14:textId="5ECBF8AB" w:rsidR="00052EF6" w:rsidRPr="00143642" w:rsidRDefault="00052EF6" w:rsidP="00143642">
      <w:pPr>
        <w:pStyle w:val="ListParagraph"/>
        <w:numPr>
          <w:ilvl w:val="0"/>
          <w:numId w:val="30"/>
        </w:numPr>
        <w:tabs>
          <w:tab w:val="left" w:pos="0"/>
        </w:tabs>
        <w:spacing w:before="200" w:after="200"/>
        <w:ind w:left="0" w:firstLine="0"/>
        <w:jc w:val="both"/>
        <w:rPr>
          <w:bCs/>
        </w:rPr>
      </w:pPr>
      <w:r w:rsidRPr="00143642">
        <w:rPr>
          <w:bCs/>
        </w:rPr>
        <w:t xml:space="preserve">The </w:t>
      </w:r>
      <w:r w:rsidR="00D43F82" w:rsidRPr="00143642">
        <w:rPr>
          <w:bCs/>
        </w:rPr>
        <w:t xml:space="preserve">NAESBOps </w:t>
      </w:r>
      <w:r w:rsidR="009E66F6" w:rsidRPr="00143642">
        <w:rPr>
          <w:bCs/>
        </w:rPr>
        <w:t>are</w:t>
      </w:r>
      <w:r w:rsidR="00C07E2C" w:rsidRPr="00143642">
        <w:rPr>
          <w:bCs/>
        </w:rPr>
        <w:t xml:space="preserve"> </w:t>
      </w:r>
      <w:r w:rsidRPr="00143642">
        <w:rPr>
          <w:bCs/>
        </w:rPr>
        <w:t>consistent with, and incorporate where necessary, undocumented practices</w:t>
      </w:r>
      <w:r w:rsidR="002507C7" w:rsidRPr="00143642">
        <w:rPr>
          <w:bCs/>
        </w:rPr>
        <w:t xml:space="preserve"> and procedures</w:t>
      </w:r>
      <w:r w:rsidRPr="00143642">
        <w:rPr>
          <w:bCs/>
        </w:rPr>
        <w:t xml:space="preserve"> of NAESB</w:t>
      </w:r>
    </w:p>
    <w:bookmarkEnd w:id="0"/>
    <w:bookmarkEnd w:id="1"/>
    <w:bookmarkEnd w:id="2"/>
    <w:bookmarkEnd w:id="3"/>
    <w:bookmarkEnd w:id="4"/>
    <w:bookmarkEnd w:id="5"/>
    <w:p w14:paraId="669BEDAA" w14:textId="602675EC" w:rsidR="009E66F6" w:rsidRPr="00143642" w:rsidRDefault="009E66F6" w:rsidP="00143642">
      <w:pPr>
        <w:rPr>
          <w:bCs/>
        </w:rPr>
      </w:pPr>
      <w:r w:rsidRPr="00143642">
        <w:rPr>
          <w:bCs/>
        </w:rPr>
        <w:t>On November 15, 2018</w:t>
      </w:r>
      <w:r w:rsidR="00AD7E7D" w:rsidRPr="00143642">
        <w:rPr>
          <w:bCs/>
        </w:rPr>
        <w:t xml:space="preserve"> and August 20, 2019,</w:t>
      </w:r>
      <w:r w:rsidRPr="00143642">
        <w:rPr>
          <w:bCs/>
        </w:rPr>
        <w:t xml:space="preserve"> the Parliamentary Committee reviewed the Board of Directors’ resolutions that had been identified by NAESB staff for possible incorporation into the NAESB Governance Documents.  During th</w:t>
      </w:r>
      <w:r w:rsidR="00D43F82" w:rsidRPr="00143642">
        <w:rPr>
          <w:bCs/>
        </w:rPr>
        <w:t xml:space="preserve">ose </w:t>
      </w:r>
      <w:r w:rsidRPr="00143642">
        <w:rPr>
          <w:bCs/>
        </w:rPr>
        <w:t>review</w:t>
      </w:r>
      <w:r w:rsidR="00D43F82" w:rsidRPr="00143642">
        <w:rPr>
          <w:bCs/>
        </w:rPr>
        <w:t>s</w:t>
      </w:r>
      <w:r w:rsidRPr="00143642">
        <w:rPr>
          <w:bCs/>
        </w:rPr>
        <w:t xml:space="preserve">, several resolutions were </w:t>
      </w:r>
      <w:r w:rsidR="00FA05D6" w:rsidRPr="00143642">
        <w:rPr>
          <w:bCs/>
        </w:rPr>
        <w:t xml:space="preserve">reviewed and one was </w:t>
      </w:r>
      <w:r w:rsidRPr="00143642">
        <w:rPr>
          <w:bCs/>
        </w:rPr>
        <w:t xml:space="preserve">selected for </w:t>
      </w:r>
      <w:r w:rsidR="00FA05D6" w:rsidRPr="00143642">
        <w:rPr>
          <w:bCs/>
        </w:rPr>
        <w:t xml:space="preserve">further </w:t>
      </w:r>
      <w:r w:rsidRPr="00143642">
        <w:rPr>
          <w:bCs/>
        </w:rPr>
        <w:t xml:space="preserve">consideration when the committee reviewed the </w:t>
      </w:r>
      <w:r w:rsidR="00FA05D6" w:rsidRPr="00143642">
        <w:rPr>
          <w:bCs/>
        </w:rPr>
        <w:t>NAESB Operating Procedures</w:t>
      </w:r>
      <w:r w:rsidRPr="00143642">
        <w:rPr>
          <w:bCs/>
        </w:rPr>
        <w:t>.</w:t>
      </w:r>
      <w:r w:rsidR="00AD7E7D" w:rsidRPr="00143642">
        <w:rPr>
          <w:bCs/>
        </w:rPr>
        <w:t xml:space="preserve">  </w:t>
      </w:r>
      <w:r w:rsidRPr="00143642">
        <w:rPr>
          <w:bCs/>
        </w:rPr>
        <w:t>The resolutions are provided below.</w:t>
      </w:r>
    </w:p>
    <w:p w14:paraId="2A3AF615" w14:textId="77777777" w:rsidR="009E66F6" w:rsidRPr="00143642" w:rsidRDefault="009E66F6" w:rsidP="00143642">
      <w:pPr>
        <w:rPr>
          <w:bCs/>
        </w:rPr>
      </w:pPr>
    </w:p>
    <w:p w14:paraId="55F05366" w14:textId="00410E8F" w:rsidR="009E66F6" w:rsidRPr="00143642" w:rsidRDefault="003031B9" w:rsidP="00143642">
      <w:pPr>
        <w:pStyle w:val="ListParagraph"/>
        <w:numPr>
          <w:ilvl w:val="0"/>
          <w:numId w:val="35"/>
        </w:numPr>
        <w:spacing w:before="120"/>
        <w:ind w:left="0" w:firstLine="0"/>
        <w:outlineLvl w:val="0"/>
        <w:rPr>
          <w:b/>
        </w:rPr>
      </w:pPr>
      <w:bookmarkStart w:id="8" w:name="_Hlk529789345"/>
      <w:bookmarkStart w:id="9" w:name="_Hlk529788849"/>
      <w:r w:rsidRPr="00143642">
        <w:rPr>
          <w:b/>
        </w:rPr>
        <w:t>Adoption of the NAESB Policy on Efficient Standards Development</w:t>
      </w:r>
      <w:r w:rsidR="009E66F6" w:rsidRPr="00143642">
        <w:rPr>
          <w:b/>
        </w:rPr>
        <w:t xml:space="preserve"> (September 25, 2008</w:t>
      </w:r>
      <w:r w:rsidR="003743AD" w:rsidRPr="00143642">
        <w:rPr>
          <w:b/>
        </w:rPr>
        <w:t>)</w:t>
      </w:r>
      <w:r w:rsidR="00A067EB" w:rsidRPr="00143642">
        <w:rPr>
          <w:b/>
          <w:color w:val="FF0000"/>
        </w:rPr>
        <w:t xml:space="preserve"> – </w:t>
      </w:r>
      <w:bookmarkStart w:id="10" w:name="_Hlk61257839"/>
      <w:r w:rsidR="0006284E" w:rsidRPr="00143642">
        <w:rPr>
          <w:b/>
          <w:color w:val="FF0000"/>
        </w:rPr>
        <w:t xml:space="preserve">On </w:t>
      </w:r>
      <w:r w:rsidR="00AD7E7D" w:rsidRPr="00143642">
        <w:rPr>
          <w:b/>
          <w:color w:val="FF0000"/>
        </w:rPr>
        <w:t xml:space="preserve">August 20, 2019 call, the Parliamentary Committee </w:t>
      </w:r>
      <w:r w:rsidR="0006284E" w:rsidRPr="00143642">
        <w:rPr>
          <w:b/>
          <w:color w:val="FF0000"/>
        </w:rPr>
        <w:t>determined</w:t>
      </w:r>
      <w:r w:rsidR="00AD7E7D" w:rsidRPr="00143642">
        <w:rPr>
          <w:b/>
          <w:color w:val="FF0000"/>
        </w:rPr>
        <w:t xml:space="preserve"> that this should remain a </w:t>
      </w:r>
      <w:r w:rsidR="00D43F82" w:rsidRPr="00143642">
        <w:rPr>
          <w:b/>
          <w:color w:val="FF0000"/>
        </w:rPr>
        <w:t>stand-alone</w:t>
      </w:r>
      <w:r w:rsidR="00AD7E7D" w:rsidRPr="00143642">
        <w:rPr>
          <w:b/>
          <w:color w:val="FF0000"/>
        </w:rPr>
        <w:t xml:space="preserve"> document.</w:t>
      </w:r>
      <w:bookmarkEnd w:id="10"/>
    </w:p>
    <w:p w14:paraId="613C9817" w14:textId="7948E976" w:rsidR="00F774BF" w:rsidRPr="00143642" w:rsidRDefault="00F774BF" w:rsidP="00143642">
      <w:pPr>
        <w:tabs>
          <w:tab w:val="left" w:pos="720"/>
          <w:tab w:val="left" w:pos="2160"/>
        </w:tabs>
        <w:spacing w:before="120"/>
      </w:pPr>
      <w:r w:rsidRPr="00143642">
        <w:t>While segment blocks</w:t>
      </w:r>
      <w:r w:rsidRPr="00143642">
        <w:rPr>
          <w:rStyle w:val="FootnoteReference"/>
        </w:rPr>
        <w:footnoteReference w:id="1"/>
      </w:r>
      <w:r w:rsidRPr="00143642">
        <w:t xml:space="preserve"> play an important role in protecting the interests of a market segment and protecting the interests of a minority position, it is the hope of the Board of Directors that segment blocks are rare, minimized and not a part of a routinely used strategy for voting.  If a segment block is inevitable, it should be determined quickly and processed quickly.  Where segment blocks may occur due to the controversial nature of the standards development that may indicate unresolved policy issues, steps should be taken to expedite the definitive determination of opposition and if progress could be made through a variety of actions.  Should it be determined that consensus is not possible, then a decision can be made so that resources can be more effectively applied to other development efforts.  Below </w:t>
      </w:r>
      <w:r w:rsidR="007C5AA9" w:rsidRPr="00143642">
        <w:t>are four</w:t>
      </w:r>
      <w:r w:rsidRPr="00143642">
        <w:t xml:space="preserve"> actions that may be taken </w:t>
      </w:r>
      <w:r w:rsidR="007C5AA9" w:rsidRPr="00143642">
        <w:t>to increase</w:t>
      </w:r>
      <w:r w:rsidRPr="00143642">
        <w:t xml:space="preserve"> standards development efficiency and to obtain decisions quickly when it may be difficult to achieve support from all segments in a given standards development project: </w:t>
      </w:r>
    </w:p>
    <w:p w14:paraId="6CA393B4" w14:textId="77777777" w:rsidR="00F774BF" w:rsidRPr="00143642" w:rsidRDefault="00F774BF" w:rsidP="00143642">
      <w:pPr>
        <w:numPr>
          <w:ilvl w:val="0"/>
          <w:numId w:val="34"/>
        </w:numPr>
        <w:tabs>
          <w:tab w:val="left" w:pos="720"/>
          <w:tab w:val="left" w:pos="2160"/>
        </w:tabs>
        <w:spacing w:before="120"/>
        <w:ind w:left="0" w:firstLine="0"/>
      </w:pPr>
      <w:r w:rsidRPr="00143642">
        <w:lastRenderedPageBreak/>
        <w:t>For controversial and high visibility projects, the board may establish timelines at the outset for the entire project in more detail than just the date provided for the annual plan entry.</w:t>
      </w:r>
    </w:p>
    <w:p w14:paraId="5A664910" w14:textId="77777777" w:rsidR="00F774BF" w:rsidRPr="00143642" w:rsidRDefault="00F774BF" w:rsidP="00143642">
      <w:pPr>
        <w:numPr>
          <w:ilvl w:val="0"/>
          <w:numId w:val="34"/>
        </w:numPr>
        <w:tabs>
          <w:tab w:val="left" w:pos="720"/>
          <w:tab w:val="left" w:pos="2160"/>
        </w:tabs>
        <w:spacing w:before="120"/>
        <w:ind w:left="0" w:firstLine="0"/>
      </w:pPr>
      <w:r w:rsidRPr="00143642">
        <w:t>For controversial or high visibility projects, EC leadership or the Executive Director may request of the Managing Committee, that facilitators be engaged at the onset to support the standards development process.</w:t>
      </w:r>
    </w:p>
    <w:p w14:paraId="210DE193" w14:textId="77777777" w:rsidR="00F774BF" w:rsidRPr="00143642" w:rsidRDefault="00F774BF" w:rsidP="00143642">
      <w:pPr>
        <w:numPr>
          <w:ilvl w:val="0"/>
          <w:numId w:val="34"/>
        </w:numPr>
        <w:tabs>
          <w:tab w:val="left" w:pos="720"/>
          <w:tab w:val="left" w:pos="2160"/>
        </w:tabs>
        <w:spacing w:before="120"/>
        <w:ind w:left="0" w:firstLine="0"/>
      </w:pPr>
      <w:r w:rsidRPr="00143642">
        <w:t>When the Executive Committee leadership determines that a single segment block is expected and this is communicated to the Managing Committee or the board, all board members of the relevant quadrant will be contacted to determine if steps can be taken that would prevent a single segment block.  The board may establish timelines to ensure the effective use of resources.</w:t>
      </w:r>
    </w:p>
    <w:p w14:paraId="45E44834" w14:textId="77777777" w:rsidR="003743AD" w:rsidRPr="00143642" w:rsidRDefault="00F774BF" w:rsidP="00143642">
      <w:pPr>
        <w:numPr>
          <w:ilvl w:val="0"/>
          <w:numId w:val="34"/>
        </w:numPr>
        <w:tabs>
          <w:tab w:val="left" w:pos="720"/>
          <w:tab w:val="left" w:pos="2160"/>
        </w:tabs>
        <w:spacing w:before="120"/>
        <w:ind w:left="0" w:firstLine="0"/>
      </w:pPr>
      <w:r w:rsidRPr="00143642">
        <w:t xml:space="preserve">FERC staff or other applicable regulatory staff assistance shall be requested only by the Managing Committee if needed to overcome technical questions that are impeding the progress of subcommittees in standards development efforts. </w:t>
      </w:r>
    </w:p>
    <w:p w14:paraId="74C4A58B" w14:textId="77777777" w:rsidR="002926A4" w:rsidRPr="00143642" w:rsidRDefault="002926A4" w:rsidP="00143642">
      <w:pPr>
        <w:spacing w:before="120"/>
        <w:outlineLvl w:val="0"/>
        <w:rPr>
          <w:b/>
          <w:color w:val="FF0000"/>
        </w:rPr>
      </w:pPr>
      <w:r w:rsidRPr="00143642">
        <w:rPr>
          <w:b/>
        </w:rPr>
        <w:t>2.</w:t>
      </w:r>
      <w:r w:rsidRPr="00143642">
        <w:rPr>
          <w:b/>
        </w:rPr>
        <w:tab/>
        <w:t xml:space="preserve">Formal Comments Procedures and Timing (June 24, 2010) </w:t>
      </w:r>
      <w:r w:rsidRPr="00143642">
        <w:rPr>
          <w:b/>
          <w:color w:val="FF0000"/>
        </w:rPr>
        <w:t>– On November 15, 2018, the Parliamentary Committee agreed to consider the resolution during its discussion of the NAESB Bylaws or the NAESB Operating Practices. </w:t>
      </w:r>
    </w:p>
    <w:p w14:paraId="51F8470A" w14:textId="3572160C" w:rsidR="002926A4" w:rsidRPr="00143642" w:rsidRDefault="002926A4" w:rsidP="00143642">
      <w:pPr>
        <w:spacing w:before="120"/>
        <w:outlineLvl w:val="0"/>
        <w:rPr>
          <w:b/>
          <w:color w:val="FF0000"/>
        </w:rPr>
      </w:pPr>
      <w:r w:rsidRPr="00143642">
        <w:rPr>
          <w:u w:val="single"/>
        </w:rPr>
        <w:t>Board Resolution</w:t>
      </w:r>
      <w:r w:rsidRPr="00143642">
        <w:t>:  Mr. Cleveland stated that the Managing Committee met prior to the board meeting to provide guidance to Executive Committee members on how to best manage formal comments.  Ms. McQuade provided the context for the resolution.  NAESB’s smart grid efforts include a large number of groups that are new to the NAESB process.  The work products being created by the task force will represent WEQ and REQ market requirements that can also support the work other groups are currently drafting.  The standards developed by NAESB are considered seed standards that these other groups can use to develop their work product.  The Board Resolution stated:</w:t>
      </w:r>
    </w:p>
    <w:p w14:paraId="3CCA3A5A" w14:textId="77777777" w:rsidR="002926A4" w:rsidRPr="00143642" w:rsidRDefault="002926A4" w:rsidP="00143642">
      <w:pPr>
        <w:spacing w:before="120"/>
        <w:rPr>
          <w:b/>
        </w:rPr>
      </w:pPr>
      <w:r w:rsidRPr="00143642">
        <w:rPr>
          <w:b/>
        </w:rPr>
        <w:t>WHEREAS</w:t>
      </w:r>
    </w:p>
    <w:p w14:paraId="352D61DE" w14:textId="77777777" w:rsidR="002926A4" w:rsidRPr="00143642" w:rsidRDefault="002926A4" w:rsidP="00143642">
      <w:pPr>
        <w:spacing w:before="120"/>
      </w:pPr>
      <w:r w:rsidRPr="00143642">
        <w:tab/>
        <w:t xml:space="preserve">The NAESB Smart Grid Standards Subcommittees include participation and leadership from many standards groups who will depend on NAESB work products as they proceed in their own efforts, and </w:t>
      </w:r>
    </w:p>
    <w:p w14:paraId="29104CF4" w14:textId="77777777" w:rsidR="002926A4" w:rsidRPr="00143642" w:rsidRDefault="002926A4" w:rsidP="00143642">
      <w:pPr>
        <w:spacing w:before="120"/>
      </w:pPr>
      <w:r w:rsidRPr="00143642">
        <w:t>NAESB standards developed to support Smart Grid activity should strive, where feasible, to be consistent for both the wholesale and retail electric market applications, now therefore</w:t>
      </w:r>
    </w:p>
    <w:p w14:paraId="7164F52B" w14:textId="77777777" w:rsidR="002926A4" w:rsidRPr="00143642" w:rsidRDefault="002926A4" w:rsidP="00143642">
      <w:pPr>
        <w:spacing w:before="120"/>
        <w:rPr>
          <w:b/>
        </w:rPr>
      </w:pPr>
      <w:r w:rsidRPr="00143642">
        <w:rPr>
          <w:b/>
        </w:rPr>
        <w:t xml:space="preserve">BE IT RESOLVED THAT </w:t>
      </w:r>
    </w:p>
    <w:p w14:paraId="491E6C3B" w14:textId="77777777" w:rsidR="002926A4" w:rsidRPr="00143642" w:rsidRDefault="002926A4" w:rsidP="00143642">
      <w:pPr>
        <w:spacing w:before="120"/>
      </w:pPr>
      <w:r w:rsidRPr="00143642">
        <w:tab/>
        <w:t>the Board of Directors determines that the Smart Grid standards developed by the wholesale and retail electric executive committees should strive to be consistent in all areas excepting where there are substantive jurisdictional differences,</w:t>
      </w:r>
    </w:p>
    <w:p w14:paraId="2F2AE5C8" w14:textId="77777777" w:rsidR="002926A4" w:rsidRPr="00143642" w:rsidRDefault="002926A4" w:rsidP="00143642">
      <w:pPr>
        <w:spacing w:before="120"/>
      </w:pPr>
      <w:r w:rsidRPr="00143642">
        <w:tab/>
        <w:t xml:space="preserve">the Board of Directors urges the wholesale and retail electric executive committees to show great deference to the work products provided by the Smart Grid Standards Subcommittees, and provide explanations when substantively deviating from the subcommittee recommendations for standards, and </w:t>
      </w:r>
    </w:p>
    <w:p w14:paraId="1BBDF509" w14:textId="77777777" w:rsidR="002926A4" w:rsidRPr="00143642" w:rsidRDefault="002926A4" w:rsidP="00143642">
      <w:pPr>
        <w:spacing w:before="120"/>
      </w:pPr>
      <w:r w:rsidRPr="00143642">
        <w:tab/>
        <w:t xml:space="preserve">for the phase 1 Priority Action Plans 3, 4 and 9 smart grid standards recently adopted, the Board of Directors requests the wholesale electric executive committee to reconsider the changes made by the executive committee to the subcommittee work products in light of this resolution and make changes accordingly, and </w:t>
      </w:r>
    </w:p>
    <w:p w14:paraId="33B2EC3F" w14:textId="77777777" w:rsidR="002926A4" w:rsidRPr="00143642" w:rsidRDefault="002926A4" w:rsidP="00143642">
      <w:pPr>
        <w:spacing w:before="120"/>
      </w:pPr>
      <w:r w:rsidRPr="00143642">
        <w:t xml:space="preserve">the Board of Directors considers that participants need sufficient time to consider comments prior to taking action; thus, henceforth all comments shall be provided to meeting participants at least three business days in advance of the meeting at which they will be discussed, absent compelling reason(s).  It shall be the responsibility of any party filing late comments to demonstrate such compelling reason(s).  The committee </w:t>
      </w:r>
      <w:r w:rsidRPr="00143642">
        <w:lastRenderedPageBreak/>
        <w:t>members, by balanced segment vote, shall determine whether to consider such late comments at that meeting.</w:t>
      </w:r>
    </w:p>
    <w:p w14:paraId="5A4539B0" w14:textId="737391F2" w:rsidR="002926A4" w:rsidRPr="00143642" w:rsidRDefault="002926A4" w:rsidP="00143642">
      <w:pPr>
        <w:spacing w:before="120"/>
        <w:sectPr w:rsidR="002926A4" w:rsidRPr="00143642" w:rsidSect="002E5897">
          <w:headerReference w:type="default" r:id="rId8"/>
          <w:pgSz w:w="12240" w:h="15840"/>
          <w:pgMar w:top="1440" w:right="1800" w:bottom="1440" w:left="1800" w:header="720" w:footer="720" w:gutter="0"/>
          <w:cols w:space="720"/>
          <w:noEndnote/>
        </w:sectPr>
      </w:pPr>
      <w:r w:rsidRPr="00143642">
        <w:t xml:space="preserve">The rule will carry forward to all future joint recommendations for consistency measures and all recommendations for timing of submittal of comments.  The board resolution passed unanimously.  </w:t>
      </w:r>
    </w:p>
    <w:p w14:paraId="79A58057" w14:textId="2CC30DF3" w:rsidR="002926A4" w:rsidRPr="00143642" w:rsidRDefault="002926A4" w:rsidP="00143642">
      <w:pPr>
        <w:tabs>
          <w:tab w:val="left" w:pos="360"/>
          <w:tab w:val="left" w:pos="720"/>
          <w:tab w:val="left" w:pos="2160"/>
        </w:tabs>
        <w:spacing w:before="120"/>
        <w:rPr>
          <w:b/>
        </w:rPr>
      </w:pPr>
    </w:p>
    <w:p w14:paraId="6B3F0F7C" w14:textId="27D6A301" w:rsidR="003031B9" w:rsidRPr="00143642" w:rsidRDefault="002926A4" w:rsidP="00143642">
      <w:pPr>
        <w:tabs>
          <w:tab w:val="left" w:pos="360"/>
          <w:tab w:val="left" w:pos="720"/>
          <w:tab w:val="left" w:pos="2160"/>
        </w:tabs>
        <w:spacing w:before="120"/>
        <w:rPr>
          <w:color w:val="FF0000"/>
        </w:rPr>
      </w:pPr>
      <w:r w:rsidRPr="00143642">
        <w:rPr>
          <w:b/>
        </w:rPr>
        <w:t>3</w:t>
      </w:r>
      <w:r w:rsidR="00656FEB" w:rsidRPr="00143642">
        <w:rPr>
          <w:b/>
        </w:rPr>
        <w:t>.)</w:t>
      </w:r>
      <w:r w:rsidR="00656FEB" w:rsidRPr="00143642">
        <w:rPr>
          <w:b/>
        </w:rPr>
        <w:tab/>
      </w:r>
      <w:r w:rsidR="003743AD" w:rsidRPr="00143642">
        <w:rPr>
          <w:b/>
        </w:rPr>
        <w:t>Notational Ballot Process (December 9, 2010)</w:t>
      </w:r>
      <w:r w:rsidR="00A067EB" w:rsidRPr="00143642">
        <w:rPr>
          <w:b/>
        </w:rPr>
        <w:t xml:space="preserve"> </w:t>
      </w:r>
      <w:r w:rsidR="00A067EB" w:rsidRPr="00143642">
        <w:rPr>
          <w:b/>
          <w:color w:val="FF0000"/>
        </w:rPr>
        <w:t xml:space="preserve">– </w:t>
      </w:r>
      <w:r w:rsidR="0006284E" w:rsidRPr="00143642">
        <w:rPr>
          <w:b/>
          <w:color w:val="FF0000"/>
        </w:rPr>
        <w:t xml:space="preserve">On </w:t>
      </w:r>
      <w:r w:rsidR="00D43F82" w:rsidRPr="00143642">
        <w:rPr>
          <w:b/>
          <w:color w:val="FF0000"/>
        </w:rPr>
        <w:t>August 20</w:t>
      </w:r>
      <w:r w:rsidR="005E694E" w:rsidRPr="00143642">
        <w:rPr>
          <w:b/>
          <w:color w:val="FF0000"/>
        </w:rPr>
        <w:t>, 2019</w:t>
      </w:r>
      <w:bookmarkStart w:id="11" w:name="_Hlk64559264"/>
      <w:r w:rsidR="00D43F82" w:rsidRPr="00143642">
        <w:rPr>
          <w:b/>
          <w:color w:val="FF0000"/>
        </w:rPr>
        <w:t xml:space="preserve">, the Parliamentary Committee agreed to </w:t>
      </w:r>
      <w:bookmarkEnd w:id="11"/>
      <w:r w:rsidR="00D43F82" w:rsidRPr="00143642">
        <w:rPr>
          <w:b/>
          <w:color w:val="FF0000"/>
        </w:rPr>
        <w:t>incorporate this resolution into the NAESBOps.</w:t>
      </w:r>
    </w:p>
    <w:p w14:paraId="3327C6FB" w14:textId="77777777" w:rsidR="003031B9" w:rsidRPr="00143642" w:rsidRDefault="003031B9" w:rsidP="00143642">
      <w:pPr>
        <w:spacing w:before="120" w:after="120"/>
      </w:pPr>
      <w:r w:rsidRPr="00143642">
        <w:t>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NAESB's certificate and bylaws require specific voting thresholds for a standard to be passed; thus, notational ballots facilitate the process of adopting (or not adopting) standards.  NAESB's practice has been as follows:</w:t>
      </w:r>
    </w:p>
    <w:p w14:paraId="1809670C" w14:textId="77777777" w:rsidR="003031B9" w:rsidRPr="00143642" w:rsidRDefault="003031B9" w:rsidP="00143642">
      <w:pPr>
        <w:spacing w:before="120" w:after="120"/>
      </w:pPr>
      <w:r w:rsidRPr="00143642">
        <w:t xml:space="preserve">1) </w:t>
      </w:r>
      <w:r w:rsidRPr="00143642">
        <w:tab/>
        <w:t>In a meeting where there are a sufficient number of voting members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3BC3055C" w14:textId="77777777" w:rsidR="003031B9" w:rsidRPr="00143642" w:rsidRDefault="003031B9" w:rsidP="00143642">
      <w:pPr>
        <w:spacing w:before="120" w:after="120"/>
      </w:pPr>
      <w:r w:rsidRPr="00143642">
        <w:t>2)</w:t>
      </w:r>
      <w:r w:rsidRPr="00143642">
        <w:tab/>
        <w:t>In a meeting where there is an insufficient number of voting members present (in person/phone or through alternates) to adopt a standard and a notational ballot is sent out, it goes only to those members who have not previously cast their votes.  The votes cast at the meeting are final after that portion of the meeting is concluded and the only issue is counting the votes of the members who have been sent notational ballots.  The standard is adopted or not based upon that vote count.  In all other respects the matter is handled in the same fashion as if all were at the meeting.</w:t>
      </w:r>
    </w:p>
    <w:p w14:paraId="43B177A2" w14:textId="77777777" w:rsidR="003031B9" w:rsidRPr="00143642" w:rsidRDefault="003031B9" w:rsidP="00143642">
      <w:pPr>
        <w:spacing w:before="120" w:after="120"/>
      </w:pPr>
      <w:r w:rsidRPr="00143642">
        <w:t xml:space="preserve">3) </w:t>
      </w:r>
      <w:r w:rsidRPr="00143642">
        <w:tab/>
        <w:t xml:space="preserve">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w:t>
      </w:r>
      <w:proofErr w:type="spellStart"/>
      <w:r w:rsidRPr="00143642">
        <w:t>notationally</w:t>
      </w:r>
      <w:proofErr w:type="spellEnd"/>
      <w:r w:rsidRPr="00143642">
        <w:t xml:space="preserve"> until the announced close of the notational voting period.  </w:t>
      </w:r>
    </w:p>
    <w:p w14:paraId="0A475A32" w14:textId="77777777" w:rsidR="003031B9" w:rsidRPr="00143642" w:rsidRDefault="003031B9" w:rsidP="00143642">
      <w:pPr>
        <w:spacing w:before="120" w:after="120"/>
      </w:pPr>
      <w:r w:rsidRPr="00143642">
        <w:t>4)</w:t>
      </w:r>
      <w:r w:rsidRPr="00143642">
        <w:tab/>
        <w:t>The default process at NAESB is as described in 1 and 2.  Item 3 is available in lieu of the default as indicated above.  The reason for the default is that NAESB is committed to an open, transparent process which can best be achieved in an open meeting.  With 3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t>
      </w:r>
    </w:p>
    <w:p w14:paraId="07B17563" w14:textId="4F729781" w:rsidR="00656FEB" w:rsidRPr="00143642" w:rsidRDefault="002926A4" w:rsidP="00143642">
      <w:pPr>
        <w:tabs>
          <w:tab w:val="left" w:pos="360"/>
          <w:tab w:val="left" w:pos="720"/>
          <w:tab w:val="left" w:pos="2160"/>
        </w:tabs>
        <w:spacing w:before="120"/>
        <w:rPr>
          <w:color w:val="FF0000"/>
        </w:rPr>
      </w:pPr>
      <w:r w:rsidRPr="00143642">
        <w:rPr>
          <w:b/>
        </w:rPr>
        <w:t>4</w:t>
      </w:r>
      <w:r w:rsidR="00656FEB" w:rsidRPr="00143642">
        <w:rPr>
          <w:b/>
        </w:rPr>
        <w:t>.)</w:t>
      </w:r>
      <w:r w:rsidR="00656FEB" w:rsidRPr="00143642">
        <w:rPr>
          <w:b/>
        </w:rPr>
        <w:tab/>
        <w:t>Abstention Voting Process for Executive Committees (March 22, 2012)</w:t>
      </w:r>
      <w:r w:rsidR="00A067EB" w:rsidRPr="00143642">
        <w:rPr>
          <w:b/>
        </w:rPr>
        <w:t xml:space="preserve"> </w:t>
      </w:r>
      <w:r w:rsidR="00A067EB" w:rsidRPr="00143642">
        <w:rPr>
          <w:b/>
          <w:color w:val="FF0000"/>
        </w:rPr>
        <w:t xml:space="preserve">– </w:t>
      </w:r>
      <w:r w:rsidR="00E165EC" w:rsidRPr="00143642">
        <w:rPr>
          <w:b/>
          <w:color w:val="FF0000"/>
        </w:rPr>
        <w:t>On August 20, 2019, the Parliamentary Committee determined that this resolution should remain in the NAESBOPs.</w:t>
      </w:r>
    </w:p>
    <w:p w14:paraId="11FDA6D6" w14:textId="4A9F2773" w:rsidR="003031B9" w:rsidRPr="00143642" w:rsidRDefault="003031B9" w:rsidP="00143642">
      <w:pPr>
        <w:spacing w:before="120"/>
      </w:pPr>
      <w:r w:rsidRPr="00143642">
        <w:t>If a member of the EC abstains from a vote such member’s right to vote shall pass to the designated segment alternate to cast the vote.  If the designated alternate abstains, the right to vote shall pass to the next designated segment alternate, in succession, until a vote is cast.  No less than one business day prior to the EC action requiring a vote, each segment shall inform the NAESB office in writing of the order in which its designated alternates shall vote in the case of abstentions; in the absence of such designation, the succession shall be upon the basis of seniority as an alternate.</w:t>
      </w:r>
    </w:p>
    <w:p w14:paraId="6AB2860D" w14:textId="33AE2579" w:rsidR="003031B9" w:rsidRPr="00143642" w:rsidRDefault="002926A4" w:rsidP="00143642">
      <w:pPr>
        <w:tabs>
          <w:tab w:val="left" w:pos="360"/>
          <w:tab w:val="left" w:pos="720"/>
          <w:tab w:val="left" w:pos="2160"/>
        </w:tabs>
        <w:spacing w:before="120"/>
        <w:rPr>
          <w:b/>
          <w:color w:val="FF0000"/>
        </w:rPr>
      </w:pPr>
      <w:r w:rsidRPr="00143642">
        <w:rPr>
          <w:b/>
        </w:rPr>
        <w:t>5</w:t>
      </w:r>
      <w:r w:rsidR="00656FEB" w:rsidRPr="00143642">
        <w:rPr>
          <w:b/>
        </w:rPr>
        <w:t>.)</w:t>
      </w:r>
      <w:r w:rsidR="00656FEB" w:rsidRPr="00143642">
        <w:rPr>
          <w:b/>
        </w:rPr>
        <w:tab/>
      </w:r>
      <w:r w:rsidR="00152099" w:rsidRPr="00143642">
        <w:rPr>
          <w:b/>
        </w:rPr>
        <w:t>NAESB Policy Concerning Communications with Media and Press</w:t>
      </w:r>
      <w:r w:rsidR="00656FEB" w:rsidRPr="00143642">
        <w:rPr>
          <w:b/>
        </w:rPr>
        <w:t xml:space="preserve"> (</w:t>
      </w:r>
      <w:r w:rsidR="00152099" w:rsidRPr="00143642">
        <w:rPr>
          <w:b/>
        </w:rPr>
        <w:t>September 20</w:t>
      </w:r>
      <w:r w:rsidR="00656FEB" w:rsidRPr="00143642">
        <w:rPr>
          <w:b/>
        </w:rPr>
        <w:t>, 2012)</w:t>
      </w:r>
      <w:r w:rsidR="00A067EB" w:rsidRPr="00143642">
        <w:rPr>
          <w:b/>
        </w:rPr>
        <w:t xml:space="preserve"> </w:t>
      </w:r>
      <w:r w:rsidR="00A067EB" w:rsidRPr="00143642">
        <w:rPr>
          <w:b/>
          <w:color w:val="FF0000"/>
        </w:rPr>
        <w:t xml:space="preserve">– </w:t>
      </w:r>
      <w:r w:rsidR="0006284E" w:rsidRPr="00143642">
        <w:rPr>
          <w:b/>
          <w:color w:val="FF0000"/>
        </w:rPr>
        <w:t>On August</w:t>
      </w:r>
      <w:r w:rsidR="005E694E" w:rsidRPr="00143642">
        <w:rPr>
          <w:b/>
          <w:color w:val="FF0000"/>
        </w:rPr>
        <w:t xml:space="preserve"> 20, 2019, the Parliamentary Committee </w:t>
      </w:r>
      <w:r w:rsidR="0006284E" w:rsidRPr="00143642">
        <w:rPr>
          <w:b/>
          <w:color w:val="FF0000"/>
        </w:rPr>
        <w:t xml:space="preserve">determined </w:t>
      </w:r>
      <w:r w:rsidR="005E694E" w:rsidRPr="00143642">
        <w:rPr>
          <w:b/>
          <w:color w:val="FF0000"/>
        </w:rPr>
        <w:t>that this should remain a stand-alone document.</w:t>
      </w:r>
      <w:r w:rsidR="005E694E" w:rsidRPr="00143642">
        <w:rPr>
          <w:b/>
          <w:color w:val="FF0000"/>
        </w:rPr>
        <w:br/>
      </w:r>
      <w:r w:rsidR="00656FEB" w:rsidRPr="00143642">
        <w:t>Any external communication with a member of the media or press made as a representative of the North American Energy Standards Board (NAESB), or citing leadership roles within NAESB, must be approved by the NAESB Managing Committee prior to release or disclosure of the communication. This policy does not prohibit communications with the media or press made in any other capacity; however, members shall make clear that they are speaking for themselves or their organizations and that any NAESB office or position they might occupy is not relevant to the subject matter of the discussion. Failure to gain the approval of the NAESB Managing Committee prior to any release or disclosure to the media or press may result in the forfeiture of leadership positions within the organization</w:t>
      </w:r>
      <w:r w:rsidR="00152099" w:rsidRPr="00143642">
        <w:t>.</w:t>
      </w:r>
    </w:p>
    <w:p w14:paraId="2393F41C" w14:textId="60C6C88F" w:rsidR="00A067EB" w:rsidRPr="00143642" w:rsidRDefault="002926A4" w:rsidP="00143642">
      <w:pPr>
        <w:pStyle w:val="ListParagraph"/>
        <w:spacing w:before="120"/>
        <w:ind w:left="0"/>
        <w:outlineLvl w:val="0"/>
        <w:rPr>
          <w:b/>
        </w:rPr>
      </w:pPr>
      <w:r w:rsidRPr="00143642">
        <w:rPr>
          <w:b/>
        </w:rPr>
        <w:t>6</w:t>
      </w:r>
      <w:r w:rsidR="00152099" w:rsidRPr="00143642">
        <w:rPr>
          <w:b/>
        </w:rPr>
        <w:t>.)</w:t>
      </w:r>
      <w:r w:rsidR="00152099" w:rsidRPr="00143642">
        <w:rPr>
          <w:b/>
        </w:rPr>
        <w:tab/>
        <w:t>NAESB Self-Executing Copyright Procedure and Waiver (April 4, 2013)</w:t>
      </w:r>
      <w:r w:rsidR="00A067EB" w:rsidRPr="00143642">
        <w:rPr>
          <w:b/>
          <w:color w:val="FF0000"/>
        </w:rPr>
        <w:t xml:space="preserve"> – </w:t>
      </w:r>
      <w:r w:rsidR="0006284E" w:rsidRPr="00143642">
        <w:rPr>
          <w:b/>
          <w:color w:val="FF0000"/>
        </w:rPr>
        <w:t xml:space="preserve">On </w:t>
      </w:r>
      <w:r w:rsidR="005E694E" w:rsidRPr="00143642">
        <w:rPr>
          <w:b/>
          <w:color w:val="FF0000"/>
        </w:rPr>
        <w:t xml:space="preserve">August 20, 2019, the Parliamentary Committee </w:t>
      </w:r>
      <w:r w:rsidR="0006284E" w:rsidRPr="00143642">
        <w:rPr>
          <w:b/>
          <w:color w:val="FF0000"/>
        </w:rPr>
        <w:t>determined</w:t>
      </w:r>
      <w:r w:rsidR="005E694E" w:rsidRPr="00143642">
        <w:rPr>
          <w:b/>
          <w:color w:val="FF0000"/>
        </w:rPr>
        <w:t xml:space="preserve"> that this should remain a stand-alone document.</w:t>
      </w:r>
    </w:p>
    <w:p w14:paraId="64C0D130" w14:textId="42492E30" w:rsidR="003031B9" w:rsidRPr="00143642" w:rsidRDefault="003031B9" w:rsidP="00143642">
      <w:pPr>
        <w:spacing w:before="120"/>
      </w:pPr>
      <w:r w:rsidRPr="00143642">
        <w:t>The North American Energy Standards Board (NAESB) and its predecessor organization, the Gas Industry</w:t>
      </w:r>
    </w:p>
    <w:p w14:paraId="5426101A" w14:textId="77777777" w:rsidR="003031B9" w:rsidRPr="00143642" w:rsidRDefault="003031B9" w:rsidP="00143642">
      <w:pPr>
        <w:spacing w:before="120"/>
      </w:pPr>
      <w:r w:rsidRPr="00143642">
        <w:t>Standards Board, have granted limited copyright waivers to entities since their creation. As the integrity of</w:t>
      </w:r>
    </w:p>
    <w:p w14:paraId="5344A457" w14:textId="77777777" w:rsidR="003031B9" w:rsidRPr="00143642" w:rsidRDefault="003031B9" w:rsidP="00143642">
      <w:pPr>
        <w:spacing w:before="120"/>
      </w:pPr>
      <w:r w:rsidRPr="00143642">
        <w:lastRenderedPageBreak/>
        <w:t>copyright protection is diminished if not enforced, it is essential that NAESB make every effort to enforce its copyrights, including the grant of limited copyright waivers when protected language must be made public. The limited copyright waiver serves as a tool to allow access to protected materials when such access is necessary for any number of reasons including the clear articulation of a tariff provision by an entity when reference to a standard is insufficient for comprehension of the provision. For the purpose of clarity, NAESB has memorialized the following process for the grant of limited copyright waivers.</w:t>
      </w:r>
    </w:p>
    <w:p w14:paraId="0B6170DB" w14:textId="77777777" w:rsidR="003031B9" w:rsidRPr="00143642" w:rsidRDefault="003031B9" w:rsidP="00143642">
      <w:pPr>
        <w:spacing w:before="120"/>
      </w:pPr>
      <w:r w:rsidRPr="00143642">
        <w:t xml:space="preserve">1. </w:t>
      </w:r>
      <w:r w:rsidRPr="00143642">
        <w:tab/>
        <w:t>As a self-executing waiver, NAESB members or non-members with valid access to NAESB standards through purchase may publish in their tariffs, compliance filings, in communications with customers or stakeholders in conducting day to day business or in communications with regulatory agencies some or all of the language contained in NAESB standards protected by copyright, provided the member or nonmember includes appropriate citations in the submission.</w:t>
      </w:r>
    </w:p>
    <w:p w14:paraId="34332D78" w14:textId="77777777" w:rsidR="003031B9" w:rsidRPr="00143642" w:rsidRDefault="003031B9" w:rsidP="00143642">
      <w:pPr>
        <w:spacing w:before="120"/>
      </w:pPr>
      <w:r w:rsidRPr="00143642">
        <w:t xml:space="preserve">2. </w:t>
      </w:r>
      <w:r w:rsidRPr="00143642">
        <w:tab/>
        <w:t>Citations must state in the publication that the language has been reproduced subject to a limited copyright waiver from NAESB with all rights reserved. The following citation should be used:</w:t>
      </w:r>
    </w:p>
    <w:p w14:paraId="2A641901" w14:textId="77777777" w:rsidR="003031B9" w:rsidRPr="00143642" w:rsidRDefault="003031B9" w:rsidP="00143642">
      <w:pPr>
        <w:spacing w:before="120"/>
      </w:pPr>
      <w:r w:rsidRPr="00143642">
        <w:t>“© YEAR NAESB, all rights reserved.”</w:t>
      </w:r>
    </w:p>
    <w:p w14:paraId="5D200EFB" w14:textId="77777777" w:rsidR="003031B9" w:rsidRPr="00143642" w:rsidRDefault="003031B9" w:rsidP="00143642">
      <w:pPr>
        <w:spacing w:before="120"/>
      </w:pPr>
      <w:r w:rsidRPr="00143642">
        <w:t xml:space="preserve">3. </w:t>
      </w:r>
      <w:r w:rsidRPr="00143642">
        <w:tab/>
        <w:t>NAESB encourages members and non-members with valid access to NAESB standards through purchase to publish the minimum necessary copyright protected language required to meet their needs.</w:t>
      </w:r>
    </w:p>
    <w:p w14:paraId="31EBA84C" w14:textId="77777777" w:rsidR="003031B9" w:rsidRPr="00143642" w:rsidRDefault="003031B9" w:rsidP="00143642">
      <w:pPr>
        <w:spacing w:before="120"/>
      </w:pPr>
      <w:r w:rsidRPr="00143642">
        <w:t xml:space="preserve">4. </w:t>
      </w:r>
      <w:r w:rsidRPr="00143642">
        <w:tab/>
        <w:t>Specific to NAESB data set standards, using standalone data element names, descriptions, code values, or error messages in a software product or displayed on a webpage is not a violation of the NAESB Copyright Policy, provided the user has legitimate access to the data set standard.</w:t>
      </w:r>
    </w:p>
    <w:p w14:paraId="38A441C7" w14:textId="77777777" w:rsidR="003031B9" w:rsidRPr="00143642" w:rsidRDefault="003031B9" w:rsidP="00143642">
      <w:pPr>
        <w:spacing w:before="120"/>
      </w:pPr>
      <w:r w:rsidRPr="00143642">
        <w:t xml:space="preserve">5. </w:t>
      </w:r>
      <w:r w:rsidRPr="00143642">
        <w:tab/>
        <w:t>A member or a purchaser of standards is provided through this procedure an irrevocable waiver that reflects the conditions set forth above, which shall remain irrevocable as long as the stated conditions are complied with by the member or purchaser of standards.</w:t>
      </w:r>
    </w:p>
    <w:p w14:paraId="61B5EDEF" w14:textId="77777777" w:rsidR="003031B9" w:rsidRPr="00143642" w:rsidRDefault="003031B9" w:rsidP="00143642">
      <w:pPr>
        <w:spacing w:before="120"/>
      </w:pPr>
      <w:r w:rsidRPr="00143642">
        <w:t xml:space="preserve">6. </w:t>
      </w:r>
      <w:r w:rsidRPr="00143642">
        <w:tab/>
        <w:t>Any questions concerning the NAESB Copyright Procedure Regarding Member and Purchaser Self Executing Waiver process should be directed to the NAESB office (naesb@naesb.org; (713) 356-0060).</w:t>
      </w:r>
    </w:p>
    <w:bookmarkEnd w:id="8"/>
    <w:bookmarkEnd w:id="9"/>
    <w:p w14:paraId="5F5722B3" w14:textId="4FF140CF" w:rsidR="00DC4852" w:rsidRPr="00143642" w:rsidRDefault="00DC4852" w:rsidP="00143642">
      <w:pPr>
        <w:spacing w:before="120"/>
        <w:outlineLvl w:val="0"/>
        <w:rPr>
          <w:bCs/>
        </w:rPr>
      </w:pPr>
    </w:p>
    <w:sectPr w:rsidR="00DC4852" w:rsidRPr="00143642" w:rsidSect="008F6188">
      <w:headerReference w:type="default" r:id="rId9"/>
      <w:footerReference w:type="default" r:id="rId10"/>
      <w:headerReference w:type="first" r:id="rId11"/>
      <w:footerReference w:type="first" r:id="rId12"/>
      <w:pgSz w:w="12240" w:h="15840" w:code="1"/>
      <w:pgMar w:top="720" w:right="1267" w:bottom="720" w:left="116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0659A" w14:textId="77777777" w:rsidR="00CA6E3D" w:rsidRDefault="00CA6E3D">
      <w:r>
        <w:separator/>
      </w:r>
    </w:p>
  </w:endnote>
  <w:endnote w:type="continuationSeparator" w:id="0">
    <w:p w14:paraId="43236C6B" w14:textId="77777777" w:rsidR="00CA6E3D" w:rsidRDefault="00CA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76DE59D8" w:rsidR="00FD0629" w:rsidRPr="000266C7" w:rsidRDefault="00FD0629" w:rsidP="00FD0629">
    <w:pPr>
      <w:pStyle w:val="Footer"/>
      <w:pBdr>
        <w:top w:val="single" w:sz="4" w:space="1" w:color="auto"/>
      </w:pBdr>
      <w:jc w:val="right"/>
      <w:rPr>
        <w:color w:val="FF0000"/>
        <w:sz w:val="18"/>
        <w:szCs w:val="18"/>
        <w:u w:val="single"/>
      </w:rPr>
    </w:pPr>
    <w:r>
      <w:rPr>
        <w:sz w:val="18"/>
        <w:szCs w:val="18"/>
      </w:rPr>
      <w:t>NAESB Parliamentary Committee Work Paper</w:t>
    </w:r>
    <w:r w:rsidR="008F6188">
      <w:rPr>
        <w:sz w:val="18"/>
        <w:szCs w:val="18"/>
      </w:rPr>
      <w:t xml:space="preserve"> – </w:t>
    </w:r>
    <w:r w:rsidR="005E694E">
      <w:rPr>
        <w:sz w:val="18"/>
        <w:szCs w:val="18"/>
      </w:rPr>
      <w:t xml:space="preserve">February </w:t>
    </w:r>
    <w:r w:rsidR="00A8245E">
      <w:rPr>
        <w:sz w:val="18"/>
        <w:szCs w:val="18"/>
      </w:rPr>
      <w:t>22</w:t>
    </w:r>
    <w:r w:rsidR="008F6188">
      <w:rPr>
        <w:sz w:val="18"/>
        <w:szCs w:val="18"/>
      </w:rPr>
      <w:t>, 20</w:t>
    </w:r>
    <w:r w:rsidR="005E694E">
      <w:rPr>
        <w:sz w:val="18"/>
        <w:szCs w:val="18"/>
      </w:rPr>
      <w:t>21</w:t>
    </w:r>
  </w:p>
  <w:p w14:paraId="4EB7A7B5" w14:textId="676CB1E3" w:rsidR="008B781D" w:rsidRDefault="00FD062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29B90181"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 xml:space="preserve">Committee </w:t>
    </w:r>
    <w:r w:rsidR="00A14C3C" w:rsidRPr="008F6188">
      <w:rPr>
        <w:sz w:val="18"/>
        <w:szCs w:val="18"/>
      </w:rPr>
      <w:t>Work</w:t>
    </w:r>
    <w:r w:rsidR="008E28CF" w:rsidRPr="008F6188">
      <w:rPr>
        <w:sz w:val="18"/>
        <w:szCs w:val="18"/>
      </w:rPr>
      <w:t xml:space="preserve"> Paper</w:t>
    </w:r>
    <w:r w:rsidR="00E62EEC" w:rsidRPr="008F6188">
      <w:rPr>
        <w:sz w:val="18"/>
        <w:szCs w:val="18"/>
      </w:rPr>
      <w:t xml:space="preserve"> </w:t>
    </w:r>
    <w:r w:rsidR="002B4F22" w:rsidRPr="008F6188">
      <w:rPr>
        <w:sz w:val="18"/>
        <w:szCs w:val="18"/>
      </w:rPr>
      <w:t>–</w:t>
    </w:r>
    <w:r w:rsidR="00335FBD" w:rsidRPr="008F6188">
      <w:rPr>
        <w:sz w:val="18"/>
        <w:szCs w:val="18"/>
      </w:rPr>
      <w:t xml:space="preserve"> </w:t>
    </w:r>
    <w:r w:rsidR="008F6188" w:rsidRPr="008F6188">
      <w:rPr>
        <w:sz w:val="18"/>
        <w:szCs w:val="18"/>
      </w:rPr>
      <w:t>November 15, 2018</w:t>
    </w:r>
  </w:p>
  <w:p w14:paraId="6CEEB655" w14:textId="6FA029FD" w:rsidR="008B781D" w:rsidRDefault="00335FBD"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D1568" w14:textId="77777777" w:rsidR="00CA6E3D" w:rsidRDefault="00CA6E3D">
      <w:r>
        <w:separator/>
      </w:r>
    </w:p>
  </w:footnote>
  <w:footnote w:type="continuationSeparator" w:id="0">
    <w:p w14:paraId="4D1AB8E9" w14:textId="77777777" w:rsidR="00CA6E3D" w:rsidRDefault="00CA6E3D">
      <w:r>
        <w:continuationSeparator/>
      </w:r>
    </w:p>
  </w:footnote>
  <w:footnote w:id="1">
    <w:p w14:paraId="3597E8CB" w14:textId="77777777" w:rsidR="00F774BF" w:rsidRDefault="00F774BF" w:rsidP="00F774BF">
      <w:pPr>
        <w:pStyle w:val="FootnoteText"/>
      </w:pPr>
      <w:r>
        <w:rPr>
          <w:rStyle w:val="FootnoteReference"/>
        </w:rPr>
        <w:footnoteRef/>
      </w:r>
      <w:r>
        <w:t xml:space="preserve">  Segment block refers to the inability of a segment of the EC to achieve the 40% affirmative vote for a standard action to be approved (see Article V, § 4 of the NAESB Certificate of Incorporation and Article 2, § 2.3 of the NAESB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9C70" w14:textId="77777777" w:rsidR="0006258D" w:rsidRDefault="0006258D" w:rsidP="0006258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62336" behindDoc="1" locked="0" layoutInCell="1" allowOverlap="1" wp14:anchorId="1DEA6EF8" wp14:editId="2055C8B5">
          <wp:simplePos x="0" y="0"/>
          <wp:positionH relativeFrom="column">
            <wp:posOffset>20955</wp:posOffset>
          </wp:positionH>
          <wp:positionV relativeFrom="paragraph">
            <wp:posOffset>-70595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61312" behindDoc="1" locked="0" layoutInCell="1" allowOverlap="1" wp14:anchorId="0A61DF85" wp14:editId="67C8974E">
              <wp:simplePos x="0" y="0"/>
              <wp:positionH relativeFrom="column">
                <wp:posOffset>-23495</wp:posOffset>
              </wp:positionH>
              <wp:positionV relativeFrom="paragraph">
                <wp:posOffset>12065</wp:posOffset>
              </wp:positionV>
              <wp:extent cx="45085" cy="146685"/>
              <wp:effectExtent l="0" t="0" r="1206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A4D3" w14:textId="77777777" w:rsidR="0006258D" w:rsidRDefault="0006258D" w:rsidP="000625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DF85" id="Rectangle 3"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" filled="f" stroked="f">
              <v:textbox inset="0,0,0,0">
                <w:txbxContent>
                  <w:p w14:paraId="58C3A4D3" w14:textId="77777777" w:rsidR="0006258D" w:rsidRDefault="0006258D" w:rsidP="0006258D"/>
                </w:txbxContent>
              </v:textbox>
            </v:rect>
          </w:pict>
        </mc:Fallback>
      </mc:AlternateContent>
    </w:r>
  </w:p>
  <w:p w14:paraId="6F172FBA" w14:textId="77777777" w:rsidR="0006258D" w:rsidRDefault="0006258D" w:rsidP="0006258D">
    <w:pPr>
      <w:pStyle w:val="Header"/>
      <w:tabs>
        <w:tab w:val="left" w:pos="1080"/>
      </w:tabs>
      <w:ind w:left="2160"/>
      <w:rPr>
        <w:rFonts w:ascii="Bookman Old Style" w:hAnsi="Bookman Old Style"/>
        <w:b/>
        <w:sz w:val="28"/>
      </w:rPr>
    </w:pPr>
  </w:p>
  <w:p w14:paraId="678EF7DE" w14:textId="77777777" w:rsidR="0006258D" w:rsidRPr="00EC31F4" w:rsidRDefault="0006258D" w:rsidP="0006258D">
    <w:pPr>
      <w:pStyle w:val="Header"/>
      <w:tabs>
        <w:tab w:val="left" w:pos="1080"/>
      </w:tabs>
      <w:ind w:left="1800"/>
      <w:jc w:val="right"/>
      <w:rPr>
        <w:b/>
        <w:spacing w:val="20"/>
        <w:sz w:val="32"/>
      </w:rPr>
    </w:pPr>
    <w:r w:rsidRPr="00EC31F4">
      <w:rPr>
        <w:b/>
        <w:spacing w:val="20"/>
        <w:sz w:val="32"/>
      </w:rPr>
      <w:t>North American Energy Standards Board</w:t>
    </w:r>
  </w:p>
  <w:p w14:paraId="72C7DEE1" w14:textId="77777777" w:rsidR="0006258D" w:rsidRPr="00EC31F4" w:rsidRDefault="0006258D" w:rsidP="0006258D">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78BE58C4" w14:textId="77777777" w:rsidR="0006258D" w:rsidRPr="00EC31F4" w:rsidRDefault="0006258D" w:rsidP="0006258D">
    <w:pPr>
      <w:pStyle w:val="Header"/>
      <w:ind w:left="1800"/>
      <w:jc w:val="right"/>
    </w:pPr>
    <w:r w:rsidRPr="00EC31F4">
      <w:t>Phone</w:t>
    </w:r>
    <w:proofErr w:type="gramStart"/>
    <w:r w:rsidRPr="00EC31F4">
      <w:t>:  (</w:t>
    </w:r>
    <w:proofErr w:type="gramEnd"/>
    <w:r w:rsidRPr="00EC31F4">
      <w:t xml:space="preserve">713) 356-0060, Fax:  (713) 356-0067, E-mail: </w:t>
    </w:r>
    <w:proofErr w:type="spellStart"/>
    <w:r w:rsidRPr="00EC31F4">
      <w:t>naesb@naesb.org</w:t>
    </w:r>
    <w:proofErr w:type="spellEnd"/>
  </w:p>
  <w:p w14:paraId="3960614C" w14:textId="77777777" w:rsidR="0006258D" w:rsidRPr="00EC31F4" w:rsidRDefault="0006258D" w:rsidP="0006258D">
    <w:pPr>
      <w:pStyle w:val="Header"/>
      <w:pBdr>
        <w:bottom w:val="single" w:sz="18" w:space="1" w:color="auto"/>
      </w:pBdr>
      <w:ind w:left="1800" w:hanging="1800"/>
      <w:jc w:val="right"/>
    </w:pPr>
    <w:r w:rsidRPr="00EC31F4">
      <w:tab/>
      <w:t xml:space="preserve">Home Page: </w:t>
    </w:r>
    <w:hyperlink r:id="rId2" w:history="1">
      <w:proofErr w:type="spellStart"/>
      <w:r w:rsidRPr="00EC31F4">
        <w:rPr>
          <w:rStyle w:val="Hyperlink"/>
        </w:rPr>
        <w:t>www.naesb.org</w:t>
      </w:r>
      <w:proofErr w:type="spellEnd"/>
    </w:hyperlink>
  </w:p>
  <w:p w14:paraId="39A39462" w14:textId="77777777" w:rsidR="0006258D" w:rsidRDefault="00062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26640966"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6FDF0DBE"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09C0B63" w14:textId="77777777" w:rsidR="008B781D" w:rsidRDefault="008B78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3CD009B6"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75667F9F" w14:textId="77777777" w:rsidR="008B781D" w:rsidRDefault="008B7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382B"/>
    <w:multiLevelType w:val="hybridMultilevel"/>
    <w:tmpl w:val="FC0E510C"/>
    <w:lvl w:ilvl="0" w:tplc="E064D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21"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3F9F6EAA"/>
    <w:multiLevelType w:val="hybridMultilevel"/>
    <w:tmpl w:val="5540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9"/>
  </w:num>
  <w:num w:numId="2">
    <w:abstractNumId w:val="21"/>
  </w:num>
  <w:num w:numId="3">
    <w:abstractNumId w:val="2"/>
  </w:num>
  <w:num w:numId="4">
    <w:abstractNumId w:val="31"/>
  </w:num>
  <w:num w:numId="5">
    <w:abstractNumId w:val="4"/>
  </w:num>
  <w:num w:numId="6">
    <w:abstractNumId w:val="16"/>
  </w:num>
  <w:num w:numId="7">
    <w:abstractNumId w:val="7"/>
  </w:num>
  <w:num w:numId="8">
    <w:abstractNumId w:val="26"/>
  </w:num>
  <w:num w:numId="9">
    <w:abstractNumId w:val="29"/>
  </w:num>
  <w:num w:numId="10">
    <w:abstractNumId w:val="34"/>
  </w:num>
  <w:num w:numId="11">
    <w:abstractNumId w:val="5"/>
  </w:num>
  <w:num w:numId="12">
    <w:abstractNumId w:val="15"/>
  </w:num>
  <w:num w:numId="13">
    <w:abstractNumId w:val="33"/>
  </w:num>
  <w:num w:numId="14">
    <w:abstractNumId w:val="13"/>
  </w:num>
  <w:num w:numId="15">
    <w:abstractNumId w:val="11"/>
  </w:num>
  <w:num w:numId="16">
    <w:abstractNumId w:val="25"/>
  </w:num>
  <w:num w:numId="17">
    <w:abstractNumId w:val="18"/>
  </w:num>
  <w:num w:numId="18">
    <w:abstractNumId w:val="1"/>
  </w:num>
  <w:num w:numId="19">
    <w:abstractNumId w:val="30"/>
  </w:num>
  <w:num w:numId="20">
    <w:abstractNumId w:val="22"/>
  </w:num>
  <w:num w:numId="21">
    <w:abstractNumId w:val="27"/>
  </w:num>
  <w:num w:numId="22">
    <w:abstractNumId w:val="24"/>
  </w:num>
  <w:num w:numId="23">
    <w:abstractNumId w:val="32"/>
  </w:num>
  <w:num w:numId="24">
    <w:abstractNumId w:val="14"/>
  </w:num>
  <w:num w:numId="25">
    <w:abstractNumId w:val="28"/>
  </w:num>
  <w:num w:numId="26">
    <w:abstractNumId w:val="12"/>
  </w:num>
  <w:num w:numId="27">
    <w:abstractNumId w:val="17"/>
  </w:num>
  <w:num w:numId="28">
    <w:abstractNumId w:val="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 w:numId="32">
    <w:abstractNumId w:val="23"/>
  </w:num>
  <w:num w:numId="33">
    <w:abstractNumId w:val="20"/>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258D"/>
    <w:rsid w:val="0006284E"/>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3642"/>
    <w:rsid w:val="00144198"/>
    <w:rsid w:val="00144D28"/>
    <w:rsid w:val="00152099"/>
    <w:rsid w:val="00155FC5"/>
    <w:rsid w:val="001575C2"/>
    <w:rsid w:val="00163760"/>
    <w:rsid w:val="0017020C"/>
    <w:rsid w:val="0017169E"/>
    <w:rsid w:val="0017473D"/>
    <w:rsid w:val="001833B0"/>
    <w:rsid w:val="00185D35"/>
    <w:rsid w:val="001878ED"/>
    <w:rsid w:val="001926FC"/>
    <w:rsid w:val="00192BFB"/>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E599A"/>
    <w:rsid w:val="001F2849"/>
    <w:rsid w:val="001F2C95"/>
    <w:rsid w:val="001F79D2"/>
    <w:rsid w:val="00206EF1"/>
    <w:rsid w:val="00211C7C"/>
    <w:rsid w:val="002310C9"/>
    <w:rsid w:val="00232860"/>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26A4"/>
    <w:rsid w:val="00293AF8"/>
    <w:rsid w:val="00293D15"/>
    <w:rsid w:val="00293E81"/>
    <w:rsid w:val="00296149"/>
    <w:rsid w:val="002A4D21"/>
    <w:rsid w:val="002A6702"/>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1B9"/>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43AD"/>
    <w:rsid w:val="00377E9E"/>
    <w:rsid w:val="003A2DE5"/>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014"/>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E694E"/>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56FEB"/>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82162"/>
    <w:rsid w:val="00794F7C"/>
    <w:rsid w:val="007A0D54"/>
    <w:rsid w:val="007A4617"/>
    <w:rsid w:val="007C5AA9"/>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F78"/>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B781D"/>
    <w:rsid w:val="008C264A"/>
    <w:rsid w:val="008C429F"/>
    <w:rsid w:val="008C5C7F"/>
    <w:rsid w:val="008D0B3B"/>
    <w:rsid w:val="008D3B92"/>
    <w:rsid w:val="008D3E7E"/>
    <w:rsid w:val="008D7F73"/>
    <w:rsid w:val="008E28CF"/>
    <w:rsid w:val="008F6188"/>
    <w:rsid w:val="008F7D48"/>
    <w:rsid w:val="00900042"/>
    <w:rsid w:val="00911737"/>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17D9"/>
    <w:rsid w:val="009B6E7D"/>
    <w:rsid w:val="009C319C"/>
    <w:rsid w:val="009C5BB2"/>
    <w:rsid w:val="009C5D86"/>
    <w:rsid w:val="009C6655"/>
    <w:rsid w:val="009D75C6"/>
    <w:rsid w:val="009D7EB6"/>
    <w:rsid w:val="009E2139"/>
    <w:rsid w:val="009E3F54"/>
    <w:rsid w:val="009E66F6"/>
    <w:rsid w:val="009F5F27"/>
    <w:rsid w:val="00A01789"/>
    <w:rsid w:val="00A067EB"/>
    <w:rsid w:val="00A14C3C"/>
    <w:rsid w:val="00A23A97"/>
    <w:rsid w:val="00A24478"/>
    <w:rsid w:val="00A26DDE"/>
    <w:rsid w:val="00A43DA5"/>
    <w:rsid w:val="00A443FC"/>
    <w:rsid w:val="00A50178"/>
    <w:rsid w:val="00A51A9F"/>
    <w:rsid w:val="00A52EF3"/>
    <w:rsid w:val="00A60477"/>
    <w:rsid w:val="00A67B0D"/>
    <w:rsid w:val="00A718B2"/>
    <w:rsid w:val="00A72062"/>
    <w:rsid w:val="00A8245E"/>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D7E7D"/>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A38A0"/>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6E3D"/>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06EF7"/>
    <w:rsid w:val="00D1140A"/>
    <w:rsid w:val="00D21C98"/>
    <w:rsid w:val="00D21ED0"/>
    <w:rsid w:val="00D22B53"/>
    <w:rsid w:val="00D240C5"/>
    <w:rsid w:val="00D24730"/>
    <w:rsid w:val="00D252C1"/>
    <w:rsid w:val="00D31C09"/>
    <w:rsid w:val="00D32CFC"/>
    <w:rsid w:val="00D36CA8"/>
    <w:rsid w:val="00D4163F"/>
    <w:rsid w:val="00D41B28"/>
    <w:rsid w:val="00D43F82"/>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D03A6"/>
    <w:rsid w:val="00DD448D"/>
    <w:rsid w:val="00DE7B9A"/>
    <w:rsid w:val="00DF28D1"/>
    <w:rsid w:val="00DF3C04"/>
    <w:rsid w:val="00DF684C"/>
    <w:rsid w:val="00E01756"/>
    <w:rsid w:val="00E019B9"/>
    <w:rsid w:val="00E024C1"/>
    <w:rsid w:val="00E03BD6"/>
    <w:rsid w:val="00E07F10"/>
    <w:rsid w:val="00E10569"/>
    <w:rsid w:val="00E11567"/>
    <w:rsid w:val="00E165EC"/>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774BF"/>
    <w:rsid w:val="00F82723"/>
    <w:rsid w:val="00F934F4"/>
    <w:rsid w:val="00F956E7"/>
    <w:rsid w:val="00FA05D6"/>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uiPriority w:val="99"/>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uiPriority w:val="99"/>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customStyle="1" w:styleId="HeaderChar">
    <w:name w:val="Header Char"/>
    <w:basedOn w:val="DefaultParagraphFont"/>
    <w:link w:val="Header"/>
    <w:rsid w:val="008F6188"/>
  </w:style>
  <w:style w:type="character" w:customStyle="1" w:styleId="FooterChar">
    <w:name w:val="Footer Char"/>
    <w:basedOn w:val="DefaultParagraphFont"/>
    <w:link w:val="Footer"/>
    <w:uiPriority w:val="99"/>
    <w:rsid w:val="008F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71903525">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AA61-CC0B-4AEC-8B46-0B3C4AE9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13911</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2018-07-25T19:49:00Z</cp:lastPrinted>
  <dcterms:created xsi:type="dcterms:W3CDTF">2021-02-18T23:01:00Z</dcterms:created>
  <dcterms:modified xsi:type="dcterms:W3CDTF">2021-02-18T23:01:00Z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