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67A5B519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0D7D17">
        <w:t>Elizabeth Mallett</w:t>
      </w:r>
      <w:r w:rsidR="00161928">
        <w:t xml:space="preserve"> </w:t>
      </w:r>
      <w:r w:rsidR="000D7D17">
        <w:t xml:space="preserve">and </w:t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2506045D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590D37">
        <w:rPr>
          <w:bCs/>
        </w:rPr>
        <w:t>February 27,</w:t>
      </w:r>
      <w:r w:rsidR="00316ABE">
        <w:rPr>
          <w:bCs/>
        </w:rPr>
        <w:t xml:space="preserve"> 2020</w:t>
      </w:r>
    </w:p>
    <w:p w14:paraId="17FC4A0E" w14:textId="61EDE66F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590D37">
        <w:rPr>
          <w:bCs/>
        </w:rPr>
        <w:t xml:space="preserve">February </w:t>
      </w:r>
      <w:r w:rsidR="002C035F">
        <w:rPr>
          <w:bCs/>
        </w:rPr>
        <w:t>7</w:t>
      </w:r>
      <w:bookmarkStart w:id="1" w:name="_GoBack"/>
      <w:bookmarkEnd w:id="1"/>
      <w:r w:rsidRPr="00852846">
        <w:rPr>
          <w:bCs/>
        </w:rPr>
        <w:t>, 20</w:t>
      </w:r>
      <w:r w:rsidR="00590D37">
        <w:rPr>
          <w:bCs/>
        </w:rPr>
        <w:t>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2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38DC4500" w14:textId="7EFC3FE8" w:rsidR="001D586C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590D37">
        <w:t>Thursday</w:t>
      </w:r>
      <w:r w:rsidR="00E37402">
        <w:t xml:space="preserve">, </w:t>
      </w:r>
      <w:r w:rsidR="00590D37">
        <w:t>February</w:t>
      </w:r>
      <w:r>
        <w:t xml:space="preserve"> 2</w:t>
      </w:r>
      <w:r w:rsidR="00590D37">
        <w:t>7</w:t>
      </w:r>
      <w:r>
        <w:t>, 2020 from 2:00 to</w:t>
      </w:r>
      <w:r w:rsidR="000C3CE7">
        <w:t xml:space="preserve"> 3:3</w:t>
      </w:r>
      <w:r w:rsidR="00E37402">
        <w:t xml:space="preserve">0 PM Central.  During the meeting, </w:t>
      </w:r>
      <w:r w:rsidR="002F4344">
        <w:t xml:space="preserve">the participants will </w:t>
      </w:r>
      <w:r>
        <w:t>continue discussion on 2019 RMQ Annual Plan Item 7.b and 2019 WEQ Annual Plan Item 7.b.ii</w:t>
      </w:r>
      <w:r w:rsidR="00590D37">
        <w:t>,</w:t>
      </w:r>
      <w:r>
        <w:t xml:space="preserve"> to develop a standard contract to improve and automate the current voluntary Renewable Energy Certificate (REC) creation, accounting, and retirement processes</w:t>
      </w:r>
      <w:r w:rsidR="002F4344">
        <w:t>.</w:t>
      </w:r>
      <w:r w:rsidR="00D63BB7">
        <w:t xml:space="preserve">  </w:t>
      </w:r>
      <w:r w:rsidR="00CD0437">
        <w:t>As with all NAESB subcommittees, participation in th</w:t>
      </w:r>
      <w:r w:rsidR="00161928">
        <w:t>ese</w:t>
      </w:r>
      <w:r w:rsidR="00CD0437"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>.  Information on how to join the conference call and webcast can be found below.</w:t>
      </w:r>
      <w:r w:rsidR="00150349" w:rsidRPr="00150349">
        <w:rPr>
          <w:rFonts w:ascii="Calibri" w:eastAsiaTheme="minorHAnsi" w:hAnsi="Calibri" w:cs="Calibri"/>
          <w:sz w:val="22"/>
          <w:szCs w:val="22"/>
        </w:rPr>
        <w:t xml:space="preserve"> </w:t>
      </w:r>
      <w:r w:rsidR="00150349">
        <w:rPr>
          <w:rFonts w:ascii="Calibri" w:eastAsiaTheme="minorHAnsi" w:hAnsi="Calibri" w:cs="Calibri"/>
          <w:sz w:val="22"/>
          <w:szCs w:val="22"/>
        </w:rPr>
        <w:t xml:space="preserve"> </w:t>
      </w:r>
      <w:r w:rsidR="00150349" w:rsidRPr="00150349">
        <w:t>If you would like to be included in future announcements regarding this effort, please join the WEQ or RMQ BPS distribution list by contacting the NAESB office.</w:t>
      </w:r>
    </w:p>
    <w:p w14:paraId="6158808D" w14:textId="77777777" w:rsidR="00D63BB7" w:rsidRDefault="00CD0437" w:rsidP="00D63BB7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4CEAA8BF" w:rsidR="00380476" w:rsidRDefault="00316ABE" w:rsidP="00D63BB7">
      <w:pPr>
        <w:spacing w:before="120"/>
        <w:jc w:val="both"/>
      </w:pPr>
      <w:r>
        <w:t>With Best Regards,</w:t>
      </w:r>
    </w:p>
    <w:p w14:paraId="2FCD5703" w14:textId="77777777" w:rsidR="00D63BB7" w:rsidRDefault="000469FB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  <w:r w:rsidRPr="00316ABE">
        <w:rPr>
          <w:rFonts w:ascii="Vivaldi" w:hAnsi="Vivaldi"/>
          <w:color w:val="365F91" w:themeColor="accent1" w:themeShade="BF"/>
          <w:sz w:val="28"/>
          <w:szCs w:val="28"/>
        </w:rPr>
        <w:t>Elizabeth Mallett, Esq.</w:t>
      </w:r>
    </w:p>
    <w:p w14:paraId="7CB08B15" w14:textId="77777777" w:rsidR="00D63BB7" w:rsidRPr="00D63BB7" w:rsidRDefault="00D63BB7" w:rsidP="00D63BB7">
      <w:r w:rsidRPr="00D63BB7">
        <w:t>Elizabeth Mallett, Esq.</w:t>
      </w:r>
    </w:p>
    <w:p w14:paraId="1BD4916D" w14:textId="77777777" w:rsidR="00D63BB7" w:rsidRPr="00D63BB7" w:rsidRDefault="00D63BB7" w:rsidP="00D63BB7">
      <w:r w:rsidRPr="00D63BB7">
        <w:t>Deputy Director</w:t>
      </w:r>
    </w:p>
    <w:p w14:paraId="44DBD28C" w14:textId="77777777" w:rsidR="00D63BB7" w:rsidRPr="00D63BB7" w:rsidRDefault="00D63BB7" w:rsidP="00D63BB7">
      <w:r w:rsidRPr="00D63BB7">
        <w:t>North American Energy Standards Board</w:t>
      </w:r>
    </w:p>
    <w:p w14:paraId="4029176E" w14:textId="77777777" w:rsidR="00D63BB7" w:rsidRPr="00D63BB7" w:rsidRDefault="00D63BB7" w:rsidP="00D63BB7">
      <w:r w:rsidRPr="00D63BB7">
        <w:t>801 Travis Street, Suite 1675</w:t>
      </w:r>
    </w:p>
    <w:p w14:paraId="0374B73F" w14:textId="77777777" w:rsidR="00D63BB7" w:rsidRPr="00D63BB7" w:rsidRDefault="00D63BB7" w:rsidP="00D63BB7">
      <w:r w:rsidRPr="00D63BB7">
        <w:t>Houston, Texas 77002</w:t>
      </w:r>
    </w:p>
    <w:p w14:paraId="2FA6AF06" w14:textId="77777777" w:rsidR="00D63BB7" w:rsidRPr="00D63BB7" w:rsidRDefault="00D63BB7" w:rsidP="00D63BB7">
      <w:r w:rsidRPr="00D63BB7">
        <w:t>713-356-0060 Office</w:t>
      </w:r>
    </w:p>
    <w:p w14:paraId="735B5EBE" w14:textId="24321145" w:rsidR="00380476" w:rsidRPr="00316ABE" w:rsidRDefault="001D04B7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  <w:r w:rsidRPr="00316ABE">
        <w:rPr>
          <w:rFonts w:ascii="Vivaldi" w:hAnsi="Vivaldi"/>
          <w:i/>
          <w:sz w:val="28"/>
          <w:szCs w:val="28"/>
        </w:rPr>
        <w:br w:type="page"/>
      </w:r>
    </w:p>
    <w:bookmarkEnd w:id="2"/>
    <w:p w14:paraId="113EC62B" w14:textId="77777777" w:rsidR="00842E04" w:rsidRDefault="00842E04" w:rsidP="00C071AD">
      <w:pPr>
        <w:spacing w:before="480"/>
        <w:jc w:val="center"/>
        <w:rPr>
          <w:b/>
        </w:rPr>
      </w:pPr>
    </w:p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110D577A" w:rsidR="00380476" w:rsidRDefault="00590D37" w:rsidP="00380476">
      <w:pPr>
        <w:jc w:val="center"/>
        <w:rPr>
          <w:b/>
        </w:rPr>
      </w:pPr>
      <w:r>
        <w:rPr>
          <w:b/>
        </w:rPr>
        <w:t>February 27</w:t>
      </w:r>
      <w:r w:rsidR="00316ABE">
        <w:rPr>
          <w:b/>
        </w:rPr>
        <w:t>, 2020 from</w:t>
      </w:r>
      <w:r w:rsidR="00FF518F">
        <w:rPr>
          <w:b/>
        </w:rPr>
        <w:t xml:space="preserve"> </w:t>
      </w:r>
      <w:r w:rsidR="00842E04">
        <w:rPr>
          <w:b/>
        </w:rPr>
        <w:t>2</w:t>
      </w:r>
      <w:r w:rsidR="00134293">
        <w:rPr>
          <w:b/>
        </w:rPr>
        <w:t>:</w:t>
      </w:r>
      <w:r w:rsidR="00842E04">
        <w:rPr>
          <w:b/>
        </w:rPr>
        <w:t>00</w:t>
      </w:r>
      <w:r w:rsidR="00B30E4C">
        <w:rPr>
          <w:b/>
        </w:rPr>
        <w:t xml:space="preserve"> </w:t>
      </w:r>
      <w:r w:rsidR="00842E04">
        <w:rPr>
          <w:b/>
        </w:rPr>
        <w:t>P</w:t>
      </w:r>
      <w:r w:rsidR="00891D3A">
        <w:rPr>
          <w:b/>
        </w:rPr>
        <w:t xml:space="preserve">M to </w:t>
      </w:r>
      <w:r w:rsidR="00842E04">
        <w:rPr>
          <w:b/>
        </w:rPr>
        <w:t>3</w:t>
      </w:r>
      <w:r w:rsidR="00134293">
        <w:rPr>
          <w:b/>
        </w:rPr>
        <w:t>:</w:t>
      </w:r>
      <w:r w:rsidR="00842E04">
        <w:rPr>
          <w:b/>
        </w:rPr>
        <w:t>3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9351FE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07DDDB38" w:rsidR="00F97E2D" w:rsidRDefault="009D6896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97E2D">
        <w:t xml:space="preserve">2019 RMQ Annual Plan Item 7.b and 2019 WEQ Annual Plan Item 7.b.ii – Develop </w:t>
      </w:r>
      <w:r w:rsidR="00842E04">
        <w:t xml:space="preserve">a standard contract to improve and automate the current voluntary </w:t>
      </w:r>
      <w:r w:rsidR="00F97E2D">
        <w:t xml:space="preserve">REC </w:t>
      </w:r>
      <w:r w:rsidR="00BF070D">
        <w:t>creation</w:t>
      </w:r>
      <w:r w:rsidR="00842E04">
        <w:t>, accounting, and 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5C8E" w14:textId="77777777" w:rsidR="009351FE" w:rsidRDefault="009351FE">
      <w:r>
        <w:separator/>
      </w:r>
    </w:p>
  </w:endnote>
  <w:endnote w:type="continuationSeparator" w:id="0">
    <w:p w14:paraId="2DAC1273" w14:textId="77777777" w:rsidR="009351FE" w:rsidRDefault="0093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D052" w14:textId="7B677BE1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77491C">
      <w:t xml:space="preserve"> </w:t>
    </w:r>
    <w:r w:rsidR="00590D37">
      <w:t>February 27,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213A" w14:textId="77777777" w:rsidR="009351FE" w:rsidRDefault="009351FE">
      <w:r>
        <w:separator/>
      </w:r>
    </w:p>
  </w:footnote>
  <w:footnote w:type="continuationSeparator" w:id="0">
    <w:p w14:paraId="3983D0A1" w14:textId="77777777" w:rsidR="009351FE" w:rsidRDefault="0093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Phone:  (713)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719D2"/>
    <w:rsid w:val="00084A28"/>
    <w:rsid w:val="000A1E5C"/>
    <w:rsid w:val="000B36F5"/>
    <w:rsid w:val="000B402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F1949"/>
    <w:rsid w:val="000F3AED"/>
    <w:rsid w:val="00110CD8"/>
    <w:rsid w:val="00111AEE"/>
    <w:rsid w:val="00114DFD"/>
    <w:rsid w:val="0012342C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6BF"/>
    <w:rsid w:val="00187DF5"/>
    <w:rsid w:val="00193A60"/>
    <w:rsid w:val="001A7635"/>
    <w:rsid w:val="001C79CB"/>
    <w:rsid w:val="001D04B7"/>
    <w:rsid w:val="001D11E5"/>
    <w:rsid w:val="001D586C"/>
    <w:rsid w:val="001D780B"/>
    <w:rsid w:val="002050C1"/>
    <w:rsid w:val="002221BC"/>
    <w:rsid w:val="0022475E"/>
    <w:rsid w:val="002344FA"/>
    <w:rsid w:val="00235526"/>
    <w:rsid w:val="00236039"/>
    <w:rsid w:val="00237F6B"/>
    <w:rsid w:val="00252387"/>
    <w:rsid w:val="00252472"/>
    <w:rsid w:val="00252B84"/>
    <w:rsid w:val="00273C57"/>
    <w:rsid w:val="00276197"/>
    <w:rsid w:val="002844AE"/>
    <w:rsid w:val="00291925"/>
    <w:rsid w:val="002950E8"/>
    <w:rsid w:val="00297464"/>
    <w:rsid w:val="002A681A"/>
    <w:rsid w:val="002B6762"/>
    <w:rsid w:val="002C035F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569EE"/>
    <w:rsid w:val="0045767B"/>
    <w:rsid w:val="00460E53"/>
    <w:rsid w:val="004665DD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90D37"/>
    <w:rsid w:val="005914D6"/>
    <w:rsid w:val="0059272C"/>
    <w:rsid w:val="00592782"/>
    <w:rsid w:val="005A4AD6"/>
    <w:rsid w:val="005B179C"/>
    <w:rsid w:val="005B2DFD"/>
    <w:rsid w:val="005B75FF"/>
    <w:rsid w:val="005C0973"/>
    <w:rsid w:val="005C16DD"/>
    <w:rsid w:val="005E09DE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72E4"/>
    <w:rsid w:val="00820B00"/>
    <w:rsid w:val="008241BF"/>
    <w:rsid w:val="008301B3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013F"/>
    <w:rsid w:val="00924409"/>
    <w:rsid w:val="00934126"/>
    <w:rsid w:val="009351FE"/>
    <w:rsid w:val="00942A1D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33B3"/>
    <w:rsid w:val="00A73504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7915"/>
    <w:rsid w:val="00B5650E"/>
    <w:rsid w:val="00B60231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137DB"/>
    <w:rsid w:val="00D478B8"/>
    <w:rsid w:val="00D55366"/>
    <w:rsid w:val="00D56CE9"/>
    <w:rsid w:val="00D63BB7"/>
    <w:rsid w:val="00D64758"/>
    <w:rsid w:val="00D666B9"/>
    <w:rsid w:val="00D86350"/>
    <w:rsid w:val="00D87711"/>
    <w:rsid w:val="00DA2360"/>
    <w:rsid w:val="00DA5BC4"/>
    <w:rsid w:val="00DB202E"/>
    <w:rsid w:val="00DC4A1F"/>
    <w:rsid w:val="00DD7BD8"/>
    <w:rsid w:val="00DF0ADF"/>
    <w:rsid w:val="00E01809"/>
    <w:rsid w:val="00E04161"/>
    <w:rsid w:val="00E06FFA"/>
    <w:rsid w:val="00E1424A"/>
    <w:rsid w:val="00E247D6"/>
    <w:rsid w:val="00E37082"/>
    <w:rsid w:val="00E37402"/>
    <w:rsid w:val="00E427CC"/>
    <w:rsid w:val="00E429FB"/>
    <w:rsid w:val="00E43CDF"/>
    <w:rsid w:val="00E47BF4"/>
    <w:rsid w:val="00E51D69"/>
    <w:rsid w:val="00E7240E"/>
    <w:rsid w:val="00E72C74"/>
    <w:rsid w:val="00E73D05"/>
    <w:rsid w:val="00E92387"/>
    <w:rsid w:val="00EA300C"/>
    <w:rsid w:val="00EA4F0B"/>
    <w:rsid w:val="00ED6845"/>
    <w:rsid w:val="00EE2048"/>
    <w:rsid w:val="00EE3AB6"/>
    <w:rsid w:val="00EE4C23"/>
    <w:rsid w:val="00F008A3"/>
    <w:rsid w:val="00F01486"/>
    <w:rsid w:val="00F05398"/>
    <w:rsid w:val="00F11F99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F518F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B6B7-BEC5-434F-947C-96BCFC2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2424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4</cp:revision>
  <cp:lastPrinted>2008-03-10T15:09:00Z</cp:lastPrinted>
  <dcterms:created xsi:type="dcterms:W3CDTF">2020-02-04T18:47:00Z</dcterms:created>
  <dcterms:modified xsi:type="dcterms:W3CDTF">2020-02-07T16:25:00Z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