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554313">
        <w:t>Conference Call -</w:t>
      </w:r>
      <w:r w:rsidR="00F5208B">
        <w:t xml:space="preserve"> </w:t>
      </w:r>
      <w:r w:rsidR="00C11DE9">
        <w:t>April 1</w:t>
      </w:r>
      <w:r>
        <w:t>, 201</w:t>
      </w:r>
      <w:r w:rsidR="00DD1713">
        <w:t>4</w:t>
      </w:r>
      <w:r w:rsidR="00CF2893">
        <w:t xml:space="preserve"> </w:t>
      </w:r>
      <w:r w:rsidR="00135BFA">
        <w:t>a</w:t>
      </w:r>
      <w:r w:rsidR="0098466C">
        <w:t>m</w:t>
      </w:r>
    </w:p>
    <w:p w:rsidR="004667C2" w:rsidRDefault="004667C2" w:rsidP="00DC2A77">
      <w:pPr>
        <w:pBdr>
          <w:bottom w:val="single" w:sz="12" w:space="1" w:color="auto"/>
        </w:pBdr>
        <w:tabs>
          <w:tab w:val="left" w:pos="900"/>
        </w:tabs>
        <w:spacing w:before="120" w:after="120"/>
      </w:pPr>
      <w:r>
        <w:rPr>
          <w:b/>
        </w:rPr>
        <w:t>DATE:</w:t>
      </w:r>
      <w:r w:rsidR="009633C3">
        <w:tab/>
      </w:r>
      <w:r w:rsidR="004C072E">
        <w:t>April 1</w:t>
      </w:r>
      <w:r>
        <w:t>, 201</w:t>
      </w:r>
      <w:r w:rsidR="00DD1713">
        <w:t>4</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554313">
        <w:t xml:space="preserve">conference call </w:t>
      </w:r>
      <w:r w:rsidR="009633C3">
        <w:t xml:space="preserve">was held on </w:t>
      </w:r>
      <w:r w:rsidR="00CF2893">
        <w:t>April 1</w:t>
      </w:r>
      <w:r w:rsidR="00F5208B">
        <w:t>, 201</w:t>
      </w:r>
      <w:r w:rsidR="00DD1713">
        <w:t>4</w:t>
      </w:r>
      <w:r>
        <w:t>. The meeting was ca</w:t>
      </w:r>
      <w:r w:rsidR="00DD1713">
        <w:t xml:space="preserve">lled to order at </w:t>
      </w:r>
      <w:r w:rsidR="00135BFA">
        <w:t>9</w:t>
      </w:r>
      <w:r w:rsidR="00554313">
        <w:t xml:space="preserve">:00 </w:t>
      </w:r>
      <w:r w:rsidR="00135BFA">
        <w:t>a</w:t>
      </w:r>
      <w:r>
        <w:t xml:space="preserve">m </w:t>
      </w:r>
      <w:r w:rsidR="00554313">
        <w:t>Central</w:t>
      </w:r>
      <w:r>
        <w:t xml:space="preserve">.  Ms. </w:t>
      </w:r>
      <w:r w:rsidR="00135BFA">
        <w:t>McQuade</w:t>
      </w:r>
      <w:r w:rsidR="00DD1713">
        <w:t xml:space="preserve">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CF2893">
            <w:pPr>
              <w:spacing w:before="120" w:after="240"/>
              <w:ind w:left="-108"/>
              <w:jc w:val="center"/>
              <w:outlineLvl w:val="2"/>
              <w:rPr>
                <w:b/>
              </w:rPr>
            </w:pPr>
            <w:r>
              <w:rPr>
                <w:b/>
              </w:rPr>
              <w:t xml:space="preserve">Notes from the </w:t>
            </w:r>
            <w:r w:rsidR="00CF2893">
              <w:rPr>
                <w:b/>
              </w:rPr>
              <w:t>April 1</w:t>
            </w:r>
            <w:r w:rsidR="00DD1713">
              <w:rPr>
                <w:b/>
              </w:rPr>
              <w:t>, 2014</w:t>
            </w:r>
            <w:r w:rsidR="004667C2">
              <w:rPr>
                <w:b/>
              </w:rPr>
              <w:t xml:space="preserve"> NAESB Board Gas-Electric Harmonization Committee </w:t>
            </w:r>
            <w:r w:rsidR="00554313">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Pr="00DD1713" w:rsidRDefault="00CF2893" w:rsidP="00C575DA">
            <w:pPr>
              <w:keepNext/>
              <w:keepLines/>
              <w:spacing w:before="120" w:after="60"/>
              <w:outlineLvl w:val="2"/>
            </w:pPr>
            <w:r>
              <w:t xml:space="preserve">Ms. McQuade welcomed everyone to the meeting and </w:t>
            </w:r>
            <w:r w:rsidR="00135BFA">
              <w:t xml:space="preserve">Mr. Booe provided the antitrust guidance and other meeting policies.  </w:t>
            </w:r>
            <w:r w:rsidR="002066E7">
              <w:t xml:space="preserve">Ms. </w:t>
            </w:r>
            <w:r w:rsidR="00135BFA">
              <w:t>McQuade noted the informal nature of the meeting and</w:t>
            </w:r>
            <w:r w:rsidR="002066E7">
              <w:t xml:space="preserve"> reviewed the agenda wit</w:t>
            </w:r>
            <w:r w:rsidR="00135BFA">
              <w:t>h the participants.  Ms</w:t>
            </w:r>
            <w:r>
              <w:t xml:space="preserve">. </w:t>
            </w:r>
            <w:r w:rsidR="00135BFA">
              <w:t>Knox</w:t>
            </w:r>
            <w:r w:rsidR="002066E7">
              <w:t xml:space="preserve"> moved to adopt the </w:t>
            </w:r>
            <w:r w:rsidR="00DD1713">
              <w:t xml:space="preserve">agenda </w:t>
            </w:r>
            <w:r w:rsidR="002066E7">
              <w:t xml:space="preserve">as proposed and </w:t>
            </w:r>
            <w:r w:rsidR="00E37756">
              <w:t xml:space="preserve">Ms. </w:t>
            </w:r>
            <w:r w:rsidR="00135BFA">
              <w:t>Mont</w:t>
            </w:r>
            <w:r w:rsidR="00C575DA">
              <w:t>ei</w:t>
            </w:r>
            <w:r w:rsidR="00135BFA">
              <w:t>th seconded</w:t>
            </w:r>
            <w:r w:rsidR="002066E7">
              <w:t xml:space="preserve"> the motion.  </w:t>
            </w:r>
            <w:r w:rsidR="00DD1713">
              <w:t xml:space="preserve">The motion passed without opposition. </w:t>
            </w:r>
            <w:r w:rsidR="00135BFA">
              <w:t xml:space="preserve">Ms. McQuade noted that only those that RSVP to the committee or forum meetings will be added to the distribution lists. </w:t>
            </w:r>
          </w:p>
        </w:tc>
      </w:tr>
      <w:tr w:rsidR="004667C2">
        <w:tc>
          <w:tcPr>
            <w:tcW w:w="1620" w:type="dxa"/>
          </w:tcPr>
          <w:p w:rsidR="004667C2" w:rsidRDefault="004667C2" w:rsidP="00135BFA">
            <w:pPr>
              <w:spacing w:before="120" w:after="60"/>
              <w:outlineLvl w:val="2"/>
              <w:rPr>
                <w:b/>
              </w:rPr>
            </w:pPr>
            <w:r>
              <w:rPr>
                <w:b/>
              </w:rPr>
              <w:t>Discussion</w:t>
            </w:r>
            <w:r w:rsidR="00213FCF">
              <w:rPr>
                <w:b/>
              </w:rPr>
              <w:t xml:space="preserve"> </w:t>
            </w:r>
          </w:p>
        </w:tc>
        <w:tc>
          <w:tcPr>
            <w:tcW w:w="8298" w:type="dxa"/>
          </w:tcPr>
          <w:p w:rsidR="009D10B8" w:rsidRDefault="00135BFA" w:rsidP="00213FC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McQuade reviewed the work papers provided below and answered the questions of the participants.  </w:t>
            </w:r>
            <w:r w:rsidR="00DA6418">
              <w:rPr>
                <w:rFonts w:ascii="Times New Roman" w:hAnsi="Times New Roman" w:cs="Times New Roman"/>
                <w:sz w:val="20"/>
                <w:szCs w:val="20"/>
              </w:rPr>
              <w:t xml:space="preserve"> </w:t>
            </w:r>
          </w:p>
          <w:p w:rsidR="003A45B2"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Segments and Balanced Voting Review</w:t>
            </w:r>
            <w:r>
              <w:rPr>
                <w:rFonts w:ascii="Times New Roman" w:hAnsi="Times New Roman" w:cs="Times New Roman"/>
                <w:sz w:val="20"/>
                <w:szCs w:val="20"/>
              </w:rPr>
              <w:t xml:space="preserve">:  </w:t>
            </w:r>
            <w:hyperlink r:id="rId9" w:history="1">
              <w:r w:rsidRPr="00604E46">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3A45B2"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Correspondence from M. Desselle, NAESB Chairman to the GEH</w:t>
            </w:r>
            <w:r>
              <w:rPr>
                <w:rFonts w:ascii="Times New Roman" w:hAnsi="Times New Roman" w:cs="Times New Roman"/>
                <w:sz w:val="20"/>
                <w:szCs w:val="20"/>
              </w:rPr>
              <w:t xml:space="preserve">: </w:t>
            </w:r>
            <w:hyperlink r:id="rId10" w:history="1">
              <w:r w:rsidRPr="00604E46">
                <w:rPr>
                  <w:rStyle w:val="Hyperlink"/>
                  <w:rFonts w:ascii="Times New Roman" w:hAnsi="Times New Roman"/>
                  <w:sz w:val="20"/>
                  <w:szCs w:val="20"/>
                </w:rPr>
                <w:t>http://www.naesb.org/pdf4/correspondence_mdesselle_032514_geh.pdf</w:t>
              </w:r>
            </w:hyperlink>
            <w:r>
              <w:rPr>
                <w:rFonts w:ascii="Times New Roman" w:hAnsi="Times New Roman" w:cs="Times New Roman"/>
                <w:sz w:val="20"/>
                <w:szCs w:val="20"/>
              </w:rPr>
              <w:t xml:space="preserve"> </w:t>
            </w:r>
          </w:p>
          <w:p w:rsidR="003A45B2"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NAESB Primer on Standards Development</w:t>
            </w:r>
            <w:r>
              <w:rPr>
                <w:rFonts w:ascii="Times New Roman" w:hAnsi="Times New Roman" w:cs="Times New Roman"/>
                <w:sz w:val="20"/>
                <w:szCs w:val="20"/>
              </w:rPr>
              <w:t xml:space="preserve">: </w:t>
            </w:r>
            <w:hyperlink r:id="rId11" w:history="1">
              <w:r w:rsidRPr="00604E46">
                <w:rPr>
                  <w:rStyle w:val="Hyperlink"/>
                  <w:rFonts w:ascii="Times New Roman" w:hAnsi="Times New Roman"/>
                  <w:sz w:val="20"/>
                  <w:szCs w:val="20"/>
                </w:rPr>
                <w:t>http://www.naesb.org/pdf4/naesb_primer_2013.pdf</w:t>
              </w:r>
            </w:hyperlink>
            <w:r>
              <w:rPr>
                <w:rFonts w:ascii="Times New Roman" w:hAnsi="Times New Roman" w:cs="Times New Roman"/>
                <w:sz w:val="20"/>
                <w:szCs w:val="20"/>
              </w:rPr>
              <w:t xml:space="preserve"> </w:t>
            </w:r>
          </w:p>
          <w:p w:rsidR="003A45B2"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NAESB Membership Chart - March 19, 2014</w:t>
            </w:r>
            <w:r>
              <w:rPr>
                <w:rFonts w:ascii="Times New Roman" w:hAnsi="Times New Roman" w:cs="Times New Roman"/>
                <w:sz w:val="20"/>
                <w:szCs w:val="20"/>
              </w:rPr>
              <w:t xml:space="preserve">: </w:t>
            </w:r>
            <w:hyperlink r:id="rId12" w:history="1">
              <w:r w:rsidRPr="00604E46">
                <w:rPr>
                  <w:rStyle w:val="Hyperlink"/>
                  <w:rFonts w:ascii="Times New Roman" w:hAnsi="Times New Roman"/>
                  <w:sz w:val="20"/>
                  <w:szCs w:val="20"/>
                </w:rPr>
                <w:t>http://www.naesb.org/pdf4/membership_chart_031914.ppt</w:t>
              </w:r>
            </w:hyperlink>
            <w:r>
              <w:rPr>
                <w:rFonts w:ascii="Times New Roman" w:hAnsi="Times New Roman" w:cs="Times New Roman"/>
                <w:sz w:val="20"/>
                <w:szCs w:val="20"/>
              </w:rPr>
              <w:t xml:space="preserve"> </w:t>
            </w:r>
          </w:p>
          <w:p w:rsidR="003A45B2"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Membership Report - March 19, 2014</w:t>
            </w:r>
            <w:r>
              <w:rPr>
                <w:rFonts w:ascii="Times New Roman" w:hAnsi="Times New Roman" w:cs="Times New Roman"/>
                <w:sz w:val="20"/>
                <w:szCs w:val="20"/>
              </w:rPr>
              <w:t xml:space="preserve">: </w:t>
            </w:r>
            <w:hyperlink r:id="rId13" w:history="1">
              <w:r w:rsidRPr="00604E46">
                <w:rPr>
                  <w:rStyle w:val="Hyperlink"/>
                  <w:rFonts w:ascii="Times New Roman" w:hAnsi="Times New Roman"/>
                  <w:sz w:val="20"/>
                  <w:szCs w:val="20"/>
                </w:rPr>
                <w:t>http://www.naesb.org/pdf4/membership_report_031914.docx</w:t>
              </w:r>
            </w:hyperlink>
            <w:r>
              <w:rPr>
                <w:rFonts w:ascii="Times New Roman" w:hAnsi="Times New Roman" w:cs="Times New Roman"/>
                <w:sz w:val="20"/>
                <w:szCs w:val="20"/>
              </w:rPr>
              <w:t xml:space="preserve"> </w:t>
            </w:r>
          </w:p>
          <w:p w:rsidR="00135BFA" w:rsidRPr="003A45B2" w:rsidRDefault="003A45B2" w:rsidP="003A45B2">
            <w:pPr>
              <w:pStyle w:val="ListParagraph"/>
              <w:numPr>
                <w:ilvl w:val="0"/>
                <w:numId w:val="43"/>
              </w:numPr>
              <w:spacing w:before="120" w:after="120"/>
              <w:rPr>
                <w:rFonts w:ascii="Times New Roman" w:hAnsi="Times New Roman" w:cs="Times New Roman"/>
                <w:sz w:val="20"/>
                <w:szCs w:val="20"/>
              </w:rPr>
            </w:pPr>
            <w:r w:rsidRPr="003A45B2">
              <w:rPr>
                <w:rFonts w:ascii="Times New Roman" w:hAnsi="Times New Roman" w:cs="Times New Roman"/>
                <w:sz w:val="20"/>
                <w:szCs w:val="20"/>
              </w:rPr>
              <w:t>NAESB Work Products</w:t>
            </w:r>
            <w:r>
              <w:rPr>
                <w:rFonts w:ascii="Times New Roman" w:hAnsi="Times New Roman" w:cs="Times New Roman"/>
                <w:sz w:val="20"/>
                <w:szCs w:val="20"/>
              </w:rPr>
              <w:t xml:space="preserve">: </w:t>
            </w:r>
            <w:hyperlink r:id="rId14" w:history="1">
              <w:r w:rsidRPr="00604E46">
                <w:rPr>
                  <w:rStyle w:val="Hyperlink"/>
                  <w:rFonts w:ascii="Times New Roman" w:hAnsi="Times New Roman"/>
                  <w:sz w:val="20"/>
                  <w:szCs w:val="20"/>
                </w:rPr>
                <w:t>http://www.naesb.org/pdf4/naesb_work_products.docx</w:t>
              </w:r>
            </w:hyperlink>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3A45B2">
            <w:pPr>
              <w:tabs>
                <w:tab w:val="left" w:pos="360"/>
              </w:tabs>
              <w:spacing w:before="120" w:after="120"/>
            </w:pPr>
            <w:r>
              <w:t xml:space="preserve">The meeting was adjourned at </w:t>
            </w:r>
            <w:r w:rsidR="003A45B2">
              <w:t>10</w:t>
            </w:r>
            <w:r w:rsidR="00324F5F">
              <w:t>:</w:t>
            </w:r>
            <w:r w:rsidR="003A45B2">
              <w:t>18 a</w:t>
            </w:r>
            <w:r w:rsidR="00F939D7">
              <w:t xml:space="preserve">m </w:t>
            </w:r>
            <w:r w:rsidR="005A0C1C">
              <w:t>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324F5F" w:rsidRPr="00503991" w:rsidRDefault="004667C2" w:rsidP="00875330">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5" w:history="1">
              <w:r w:rsidR="00875330" w:rsidRPr="004860A9">
                <w:rPr>
                  <w:rStyle w:val="Hyperlink"/>
                  <w:rFonts w:ascii="Times New Roman" w:hAnsi="Times New Roman"/>
                  <w:sz w:val="20"/>
                  <w:szCs w:val="20"/>
                </w:rPr>
                <w:t>http://www.naesb.org/pdf4/geh040114a.docx</w:t>
              </w:r>
            </w:hyperlink>
            <w:r w:rsidR="00875330">
              <w:rPr>
                <w:rFonts w:ascii="Times New Roman" w:hAnsi="Times New Roman" w:cs="Times New Roman"/>
                <w:color w:val="000000"/>
                <w:sz w:val="20"/>
                <w:szCs w:val="20"/>
              </w:rPr>
              <w:t xml:space="preserve"> </w:t>
            </w:r>
          </w:p>
          <w:p w:rsidR="00875330" w:rsidRPr="00135BFA" w:rsidRDefault="00503991" w:rsidP="00135BFA">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Antitrust Guidance and Other Meeting Policies:  </w:t>
            </w:r>
            <w:hyperlink r:id="rId16" w:history="1">
              <w:r w:rsidRPr="00503991">
                <w:rPr>
                  <w:rStyle w:val="Hyperlink"/>
                  <w:rFonts w:ascii="Times New Roman" w:hAnsi="Times New Roman"/>
                  <w:sz w:val="20"/>
                  <w:szCs w:val="20"/>
                </w:rPr>
                <w:t>http://www.naesb.org/misc/antitrust_guidance.doc</w:t>
              </w:r>
            </w:hyperlink>
          </w:p>
        </w:tc>
      </w:tr>
      <w:bookmarkEnd w:id="0"/>
      <w:bookmarkEnd w:id="1"/>
    </w:tbl>
    <w:p w:rsidR="004667C2" w:rsidRDefault="004667C2">
      <w:r>
        <w:br w:type="page"/>
      </w:r>
    </w:p>
    <w:tbl>
      <w:tblPr>
        <w:tblW w:w="9918" w:type="dxa"/>
        <w:tblInd w:w="108" w:type="dxa"/>
        <w:tblLayout w:type="fixed"/>
        <w:tblLook w:val="01E0" w:firstRow="1" w:lastRow="1" w:firstColumn="1" w:lastColumn="1" w:noHBand="0" w:noVBand="0"/>
      </w:tblPr>
      <w:tblGrid>
        <w:gridCol w:w="4950"/>
        <w:gridCol w:w="4950"/>
        <w:gridCol w:w="18"/>
      </w:tblGrid>
      <w:tr w:rsidR="005A1EBA" w:rsidTr="004B7210">
        <w:tc>
          <w:tcPr>
            <w:tcW w:w="9918" w:type="dxa"/>
            <w:gridSpan w:val="3"/>
            <w:tcBorders>
              <w:bottom w:val="single" w:sz="4" w:space="0" w:color="auto"/>
            </w:tcBorders>
          </w:tcPr>
          <w:p w:rsidR="005A1EBA" w:rsidRDefault="005A1EBA" w:rsidP="004B7210">
            <w:pPr>
              <w:spacing w:before="240" w:after="120"/>
              <w:jc w:val="center"/>
              <w:rPr>
                <w:b/>
              </w:rPr>
            </w:pPr>
            <w:r>
              <w:rPr>
                <w:b/>
              </w:rPr>
              <w:lastRenderedPageBreak/>
              <w:t xml:space="preserve">Notes from the </w:t>
            </w:r>
            <w:r w:rsidR="00875330">
              <w:rPr>
                <w:b/>
              </w:rPr>
              <w:t>April 1</w:t>
            </w:r>
            <w:r>
              <w:rPr>
                <w:b/>
              </w:rPr>
              <w:t xml:space="preserve">, 2014 NAESB Board Gas-Electric Harmonization Committee Conference Call </w:t>
            </w:r>
          </w:p>
          <w:p w:rsidR="005A1EBA" w:rsidRDefault="005A1EBA" w:rsidP="004B7210">
            <w:pPr>
              <w:spacing w:after="120"/>
              <w:jc w:val="center"/>
              <w:rPr>
                <w:b/>
              </w:rPr>
            </w:pPr>
            <w:r>
              <w:rPr>
                <w:b/>
              </w:rPr>
              <w:t xml:space="preserve">GAS-ELECTRIC HARMONIZATION COMMITTEE </w:t>
            </w:r>
          </w:p>
        </w:tc>
      </w:tr>
      <w:tr w:rsidR="005A1EBA" w:rsidTr="004B7210">
        <w:trPr>
          <w:tblHeader/>
        </w:trPr>
        <w:tc>
          <w:tcPr>
            <w:tcW w:w="4950" w:type="dxa"/>
            <w:tcBorders>
              <w:top w:val="single" w:sz="4" w:space="0" w:color="auto"/>
              <w:bottom w:val="single" w:sz="4" w:space="0" w:color="auto"/>
            </w:tcBorders>
          </w:tcPr>
          <w:p w:rsidR="005A1EBA" w:rsidRDefault="005A1EBA" w:rsidP="004B7210">
            <w:pPr>
              <w:spacing w:before="40" w:after="20"/>
              <w:jc w:val="both"/>
              <w:rPr>
                <w:b/>
              </w:rPr>
            </w:pPr>
            <w:bookmarkStart w:id="3" w:name="_Hlk316634792"/>
            <w:r>
              <w:rPr>
                <w:b/>
              </w:rPr>
              <w:t>Name</w:t>
            </w:r>
          </w:p>
        </w:tc>
        <w:tc>
          <w:tcPr>
            <w:tcW w:w="4968" w:type="dxa"/>
            <w:gridSpan w:val="2"/>
            <w:tcBorders>
              <w:top w:val="single" w:sz="4" w:space="0" w:color="auto"/>
              <w:bottom w:val="single" w:sz="4" w:space="0" w:color="auto"/>
            </w:tcBorders>
          </w:tcPr>
          <w:p w:rsidR="005A1EBA" w:rsidRDefault="005A1EBA" w:rsidP="004B7210">
            <w:pPr>
              <w:keepNext/>
              <w:spacing w:before="40" w:after="20"/>
              <w:jc w:val="both"/>
              <w:rPr>
                <w:b/>
              </w:rPr>
            </w:pPr>
            <w:r>
              <w:rPr>
                <w:b/>
              </w:rPr>
              <w:t xml:space="preserve">Organization </w:t>
            </w:r>
          </w:p>
        </w:tc>
      </w:tr>
      <w:bookmarkEnd w:id="3"/>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4950" w:type="dxa"/>
          </w:tcPr>
          <w:p w:rsidR="005A1EBA" w:rsidRPr="001E69D9" w:rsidRDefault="005A1EBA" w:rsidP="004B7210">
            <w:pPr>
              <w:spacing w:before="100"/>
            </w:pPr>
            <w:r w:rsidRPr="001E69D9">
              <w:t>Tennessee Valley Authority</w:t>
            </w:r>
          </w:p>
        </w:tc>
      </w:tr>
      <w:tr w:rsidR="0066190F" w:rsidTr="004B7210">
        <w:trPr>
          <w:gridAfter w:val="1"/>
          <w:wAfter w:w="18" w:type="dxa"/>
        </w:trPr>
        <w:tc>
          <w:tcPr>
            <w:tcW w:w="4950" w:type="dxa"/>
          </w:tcPr>
          <w:p w:rsidR="0066190F" w:rsidRDefault="0066190F" w:rsidP="004B7210">
            <w:pPr>
              <w:pStyle w:val="Title"/>
              <w:jc w:val="left"/>
              <w:rPr>
                <w:rFonts w:ascii="Times New Roman" w:hAnsi="Times New Roman"/>
                <w:b w:val="0"/>
                <w:sz w:val="20"/>
              </w:rPr>
            </w:pPr>
            <w:r>
              <w:rPr>
                <w:rFonts w:ascii="Times New Roman" w:hAnsi="Times New Roman"/>
                <w:b w:val="0"/>
                <w:sz w:val="20"/>
              </w:rPr>
              <w:t>Doug Field</w:t>
            </w:r>
          </w:p>
        </w:tc>
        <w:tc>
          <w:tcPr>
            <w:tcW w:w="4950" w:type="dxa"/>
          </w:tcPr>
          <w:p w:rsidR="0066190F" w:rsidRDefault="0066190F" w:rsidP="004B7210">
            <w:pPr>
              <w:spacing w:before="100"/>
            </w:pPr>
            <w:r>
              <w:t>Southern Star Central Gas Pipeline</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Pr>
                <w:rFonts w:ascii="Times New Roman" w:hAnsi="Times New Roman"/>
                <w:b w:val="0"/>
                <w:sz w:val="20"/>
              </w:rPr>
              <w:t>Gregory Lander</w:t>
            </w:r>
          </w:p>
        </w:tc>
        <w:tc>
          <w:tcPr>
            <w:tcW w:w="4950" w:type="dxa"/>
          </w:tcPr>
          <w:p w:rsidR="005A1EBA" w:rsidRPr="0085540B" w:rsidRDefault="005A1EBA" w:rsidP="004B7210">
            <w:pPr>
              <w:spacing w:before="100"/>
            </w:pPr>
            <w:r>
              <w:t>Skipping Stone, LLC</w:t>
            </w:r>
          </w:p>
        </w:tc>
      </w:tr>
      <w:tr w:rsidR="005A1EBA" w:rsidTr="004B7210">
        <w:trPr>
          <w:gridAfter w:val="1"/>
          <w:wAfter w:w="18" w:type="dxa"/>
        </w:trPr>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Mark Stultz</w:t>
            </w:r>
          </w:p>
        </w:tc>
        <w:tc>
          <w:tcPr>
            <w:tcW w:w="4950" w:type="dxa"/>
          </w:tcPr>
          <w:p w:rsidR="005A1EBA" w:rsidRDefault="005A1EBA" w:rsidP="004B7210">
            <w:pPr>
              <w:spacing w:before="100"/>
            </w:pPr>
            <w:r>
              <w:t>BP Energy</w:t>
            </w:r>
          </w:p>
        </w:tc>
      </w:tr>
      <w:tr w:rsidR="005A1EBA" w:rsidTr="004B7210">
        <w:trPr>
          <w:gridAfter w:val="1"/>
          <w:wAfter w:w="18" w:type="dxa"/>
        </w:trPr>
        <w:tc>
          <w:tcPr>
            <w:tcW w:w="4950" w:type="dxa"/>
          </w:tcPr>
          <w:p w:rsidR="005A1EBA" w:rsidRPr="007F382C" w:rsidRDefault="005A1EBA" w:rsidP="004B7210">
            <w:pPr>
              <w:pStyle w:val="Title"/>
              <w:jc w:val="left"/>
              <w:rPr>
                <w:rFonts w:ascii="Times New Roman" w:hAnsi="Times New Roman"/>
                <w:sz w:val="20"/>
              </w:rPr>
            </w:pPr>
            <w:r w:rsidRPr="007F382C">
              <w:rPr>
                <w:rFonts w:ascii="Times New Roman" w:hAnsi="Times New Roman"/>
                <w:sz w:val="20"/>
              </w:rPr>
              <w:t xml:space="preserve">Sue Tierney </w:t>
            </w:r>
            <w:r w:rsidRPr="007F382C">
              <w:rPr>
                <w:rFonts w:ascii="Times New Roman" w:hAnsi="Times New Roman"/>
                <w:i/>
                <w:sz w:val="20"/>
              </w:rPr>
              <w:t>(Co-Chair)</w:t>
            </w:r>
          </w:p>
        </w:tc>
        <w:tc>
          <w:tcPr>
            <w:tcW w:w="4950" w:type="dxa"/>
          </w:tcPr>
          <w:p w:rsidR="005A1EBA" w:rsidRPr="0085540B" w:rsidRDefault="005A1EBA" w:rsidP="004B7210">
            <w:pPr>
              <w:spacing w:before="100"/>
            </w:pPr>
            <w:r>
              <w:t xml:space="preserve">Analysis Group, Inc. </w:t>
            </w:r>
          </w:p>
        </w:tc>
      </w:tr>
      <w:tr w:rsidR="005A1EBA" w:rsidTr="004B7210">
        <w:trPr>
          <w:tblHeader/>
        </w:trPr>
        <w:tc>
          <w:tcPr>
            <w:tcW w:w="9918" w:type="dxa"/>
            <w:gridSpan w:val="3"/>
            <w:tcBorders>
              <w:bottom w:val="single" w:sz="4" w:space="0" w:color="auto"/>
            </w:tcBorders>
          </w:tcPr>
          <w:p w:rsidR="005A1EBA" w:rsidRDefault="005A1EBA" w:rsidP="004B7210">
            <w:pPr>
              <w:keepNext/>
              <w:keepLines/>
              <w:spacing w:before="240" w:after="120"/>
              <w:jc w:val="center"/>
              <w:rPr>
                <w:b/>
              </w:rPr>
            </w:pPr>
            <w:r>
              <w:rPr>
                <w:b/>
              </w:rPr>
              <w:t>OTHER ATTENDEES</w:t>
            </w:r>
          </w:p>
        </w:tc>
      </w:tr>
      <w:tr w:rsidR="005A1EBA" w:rsidTr="004B7210">
        <w:trPr>
          <w:tblHeader/>
        </w:trPr>
        <w:tc>
          <w:tcPr>
            <w:tcW w:w="4950" w:type="dxa"/>
            <w:tcBorders>
              <w:top w:val="single" w:sz="4" w:space="0" w:color="auto"/>
              <w:bottom w:val="single" w:sz="4" w:space="0" w:color="auto"/>
            </w:tcBorders>
          </w:tcPr>
          <w:p w:rsidR="005A1EBA" w:rsidRDefault="005A1EBA" w:rsidP="004B7210">
            <w:pPr>
              <w:spacing w:before="40" w:after="20"/>
              <w:jc w:val="both"/>
              <w:rPr>
                <w:b/>
              </w:rPr>
            </w:pPr>
            <w:r>
              <w:rPr>
                <w:b/>
              </w:rPr>
              <w:t>Name</w:t>
            </w:r>
          </w:p>
        </w:tc>
        <w:tc>
          <w:tcPr>
            <w:tcW w:w="4968" w:type="dxa"/>
            <w:gridSpan w:val="2"/>
            <w:tcBorders>
              <w:top w:val="single" w:sz="4" w:space="0" w:color="auto"/>
              <w:bottom w:val="single" w:sz="4" w:space="0" w:color="auto"/>
            </w:tcBorders>
          </w:tcPr>
          <w:p w:rsidR="005A1EBA" w:rsidRDefault="005A1EBA" w:rsidP="004B7210">
            <w:pPr>
              <w:keepNext/>
              <w:spacing w:before="40" w:after="20"/>
              <w:jc w:val="both"/>
              <w:rPr>
                <w:b/>
              </w:rPr>
            </w:pPr>
            <w:r>
              <w:rPr>
                <w:b/>
              </w:rPr>
              <w:t xml:space="preserve">Organization </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8B0F73">
              <w:rPr>
                <w:rFonts w:ascii="Times New Roman" w:hAnsi="Times New Roman"/>
                <w:b w:val="0"/>
                <w:sz w:val="20"/>
              </w:rPr>
              <w:t>Steve Abbey</w:t>
            </w:r>
          </w:p>
        </w:tc>
        <w:tc>
          <w:tcPr>
            <w:tcW w:w="4968" w:type="dxa"/>
            <w:gridSpan w:val="2"/>
          </w:tcPr>
          <w:p w:rsidR="005A1EBA" w:rsidRPr="00EF14E2" w:rsidRDefault="005A1EBA" w:rsidP="004B7210">
            <w:pPr>
              <w:spacing w:before="100"/>
            </w:pPr>
            <w:r w:rsidRPr="008B0F73">
              <w:t>Anadarko Petroleum Corporation</w:t>
            </w:r>
          </w:p>
        </w:tc>
      </w:tr>
      <w:tr w:rsidR="005A1EBA" w:rsidTr="004B7210">
        <w:tc>
          <w:tcPr>
            <w:tcW w:w="4950" w:type="dxa"/>
          </w:tcPr>
          <w:p w:rsidR="005A1EBA" w:rsidRPr="0085540B" w:rsidRDefault="00434A28" w:rsidP="004B7210">
            <w:pPr>
              <w:pStyle w:val="Title"/>
              <w:jc w:val="left"/>
              <w:rPr>
                <w:rFonts w:ascii="Times New Roman" w:hAnsi="Times New Roman"/>
                <w:b w:val="0"/>
                <w:sz w:val="20"/>
              </w:rPr>
            </w:pPr>
            <w:r>
              <w:rPr>
                <w:rFonts w:ascii="Times New Roman" w:hAnsi="Times New Roman"/>
                <w:b w:val="0"/>
                <w:sz w:val="20"/>
              </w:rPr>
              <w:t>Scott Billiot</w:t>
            </w:r>
          </w:p>
        </w:tc>
        <w:tc>
          <w:tcPr>
            <w:tcW w:w="4968" w:type="dxa"/>
            <w:gridSpan w:val="2"/>
          </w:tcPr>
          <w:p w:rsidR="005A1EBA" w:rsidRPr="0085540B" w:rsidRDefault="00434A28" w:rsidP="004B7210">
            <w:pPr>
              <w:spacing w:before="100"/>
            </w:pPr>
            <w:r>
              <w:t>Oglethorpe Power</w:t>
            </w:r>
          </w:p>
        </w:tc>
      </w:tr>
      <w:tr w:rsidR="005A1EBA" w:rsidTr="004B7210">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968" w:type="dxa"/>
            <w:gridSpan w:val="2"/>
          </w:tcPr>
          <w:p w:rsidR="005A1EBA" w:rsidRPr="0085540B" w:rsidRDefault="005A1EBA" w:rsidP="004B7210">
            <w:pPr>
              <w:spacing w:before="100"/>
            </w:pPr>
            <w:r w:rsidRPr="0085540B">
              <w:t>NAESB</w:t>
            </w:r>
          </w:p>
        </w:tc>
      </w:tr>
      <w:tr w:rsidR="005A1EBA" w:rsidTr="004B7210">
        <w:tc>
          <w:tcPr>
            <w:tcW w:w="4950" w:type="dxa"/>
          </w:tcPr>
          <w:p w:rsidR="005A1EBA" w:rsidRPr="0085540B" w:rsidRDefault="0066190F" w:rsidP="004B7210">
            <w:pPr>
              <w:pStyle w:val="Title"/>
              <w:jc w:val="left"/>
              <w:rPr>
                <w:rFonts w:ascii="Times New Roman" w:hAnsi="Times New Roman"/>
                <w:b w:val="0"/>
                <w:sz w:val="20"/>
              </w:rPr>
            </w:pPr>
            <w:r>
              <w:rPr>
                <w:rFonts w:ascii="Times New Roman" w:hAnsi="Times New Roman"/>
                <w:b w:val="0"/>
                <w:sz w:val="20"/>
              </w:rPr>
              <w:t>Jack Cashin</w:t>
            </w:r>
          </w:p>
        </w:tc>
        <w:tc>
          <w:tcPr>
            <w:tcW w:w="4968" w:type="dxa"/>
            <w:gridSpan w:val="2"/>
          </w:tcPr>
          <w:p w:rsidR="005A1EBA" w:rsidRPr="0085540B" w:rsidRDefault="0066190F" w:rsidP="004B7210">
            <w:pPr>
              <w:spacing w:before="100"/>
            </w:pPr>
            <w:r>
              <w:t>EPSA</w:t>
            </w:r>
          </w:p>
        </w:tc>
      </w:tr>
      <w:tr w:rsidR="005A1EBA" w:rsidTr="004B7210">
        <w:tc>
          <w:tcPr>
            <w:tcW w:w="4950" w:type="dxa"/>
          </w:tcPr>
          <w:p w:rsidR="005A1EBA" w:rsidRPr="0085540B" w:rsidRDefault="0066190F" w:rsidP="004B7210">
            <w:pPr>
              <w:pStyle w:val="Title"/>
              <w:jc w:val="left"/>
              <w:rPr>
                <w:rFonts w:ascii="Times New Roman" w:hAnsi="Times New Roman"/>
                <w:b w:val="0"/>
                <w:sz w:val="20"/>
              </w:rPr>
            </w:pPr>
            <w:r>
              <w:rPr>
                <w:rFonts w:ascii="Times New Roman" w:hAnsi="Times New Roman"/>
                <w:b w:val="0"/>
                <w:sz w:val="20"/>
              </w:rPr>
              <w:t>Pete Connor</w:t>
            </w:r>
          </w:p>
        </w:tc>
        <w:tc>
          <w:tcPr>
            <w:tcW w:w="4968" w:type="dxa"/>
            <w:gridSpan w:val="2"/>
          </w:tcPr>
          <w:p w:rsidR="005A1EBA" w:rsidRPr="0085540B" w:rsidRDefault="0066190F" w:rsidP="004B7210">
            <w:pPr>
              <w:spacing w:before="100"/>
            </w:pPr>
            <w:r>
              <w:t>Representing AGA</w:t>
            </w:r>
          </w:p>
        </w:tc>
      </w:tr>
      <w:tr w:rsidR="005A1EBA" w:rsidTr="004B7210">
        <w:tc>
          <w:tcPr>
            <w:tcW w:w="4950" w:type="dxa"/>
          </w:tcPr>
          <w:p w:rsidR="005A1EBA" w:rsidRDefault="00573943" w:rsidP="004B7210">
            <w:pPr>
              <w:pStyle w:val="Title"/>
              <w:jc w:val="left"/>
              <w:rPr>
                <w:rFonts w:ascii="Times New Roman" w:hAnsi="Times New Roman"/>
                <w:b w:val="0"/>
                <w:sz w:val="20"/>
              </w:rPr>
            </w:pPr>
            <w:r>
              <w:rPr>
                <w:rFonts w:ascii="Times New Roman" w:hAnsi="Times New Roman"/>
                <w:b w:val="0"/>
                <w:sz w:val="20"/>
              </w:rPr>
              <w:t>Kelly Daly</w:t>
            </w:r>
          </w:p>
        </w:tc>
        <w:tc>
          <w:tcPr>
            <w:tcW w:w="4968" w:type="dxa"/>
            <w:gridSpan w:val="2"/>
          </w:tcPr>
          <w:p w:rsidR="005A1EBA" w:rsidRPr="00A602B3" w:rsidRDefault="00573943">
            <w:pPr>
              <w:spacing w:before="100"/>
            </w:pPr>
            <w:r>
              <w:t>Stinson</w:t>
            </w:r>
            <w:r w:rsidR="00782BA0">
              <w:t xml:space="preserve"> Leonard Street</w:t>
            </w:r>
            <w:r>
              <w:t xml:space="preserve"> LLP</w:t>
            </w:r>
          </w:p>
        </w:tc>
      </w:tr>
      <w:tr w:rsidR="004A68D9" w:rsidTr="004B7210">
        <w:tc>
          <w:tcPr>
            <w:tcW w:w="4950" w:type="dxa"/>
          </w:tcPr>
          <w:p w:rsidR="004A68D9" w:rsidRDefault="004A68D9" w:rsidP="004B7210">
            <w:pPr>
              <w:pStyle w:val="Title"/>
              <w:jc w:val="left"/>
              <w:rPr>
                <w:rFonts w:ascii="Times New Roman" w:hAnsi="Times New Roman"/>
                <w:b w:val="0"/>
                <w:sz w:val="20"/>
              </w:rPr>
            </w:pPr>
            <w:r>
              <w:rPr>
                <w:rFonts w:ascii="Times New Roman" w:hAnsi="Times New Roman"/>
                <w:b w:val="0"/>
                <w:sz w:val="20"/>
              </w:rPr>
              <w:t>Michael Desselle</w:t>
            </w:r>
          </w:p>
        </w:tc>
        <w:tc>
          <w:tcPr>
            <w:tcW w:w="4968" w:type="dxa"/>
            <w:gridSpan w:val="2"/>
          </w:tcPr>
          <w:p w:rsidR="004A68D9" w:rsidRDefault="004A68D9" w:rsidP="004B7210">
            <w:pPr>
              <w:spacing w:before="100"/>
            </w:pPr>
            <w:r>
              <w:t>Southwest Power Pool</w:t>
            </w:r>
          </w:p>
        </w:tc>
      </w:tr>
      <w:tr w:rsidR="0066190F" w:rsidTr="004B7210">
        <w:tc>
          <w:tcPr>
            <w:tcW w:w="4950" w:type="dxa"/>
          </w:tcPr>
          <w:p w:rsidR="0066190F" w:rsidRDefault="0066190F" w:rsidP="004B7210">
            <w:pPr>
              <w:pStyle w:val="Title"/>
              <w:jc w:val="left"/>
              <w:rPr>
                <w:rFonts w:ascii="Times New Roman" w:hAnsi="Times New Roman"/>
                <w:b w:val="0"/>
                <w:sz w:val="20"/>
              </w:rPr>
            </w:pPr>
            <w:r>
              <w:rPr>
                <w:rFonts w:ascii="Times New Roman" w:hAnsi="Times New Roman"/>
                <w:b w:val="0"/>
                <w:sz w:val="20"/>
              </w:rPr>
              <w:t>Wayne Gardner</w:t>
            </w:r>
          </w:p>
        </w:tc>
        <w:tc>
          <w:tcPr>
            <w:tcW w:w="4968" w:type="dxa"/>
            <w:gridSpan w:val="2"/>
          </w:tcPr>
          <w:p w:rsidR="0066190F" w:rsidRPr="007F5055" w:rsidRDefault="0066190F" w:rsidP="004B7210">
            <w:pPr>
              <w:spacing w:before="100"/>
            </w:pPr>
            <w:r>
              <w:t>NAESB Advisory Council</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A602B3">
              <w:rPr>
                <w:rFonts w:ascii="Times New Roman" w:hAnsi="Times New Roman"/>
                <w:b w:val="0"/>
                <w:sz w:val="20"/>
              </w:rPr>
              <w:t>Susan Ginsberg</w:t>
            </w:r>
          </w:p>
        </w:tc>
        <w:tc>
          <w:tcPr>
            <w:tcW w:w="4968" w:type="dxa"/>
            <w:gridSpan w:val="2"/>
          </w:tcPr>
          <w:p w:rsidR="005A1EBA" w:rsidRDefault="005A1EBA" w:rsidP="004B7210">
            <w:pPr>
              <w:spacing w:before="100"/>
            </w:pPr>
            <w:r>
              <w:t>IPAA</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Bret Griffin</w:t>
            </w:r>
          </w:p>
        </w:tc>
        <w:tc>
          <w:tcPr>
            <w:tcW w:w="4968" w:type="dxa"/>
            <w:gridSpan w:val="2"/>
          </w:tcPr>
          <w:p w:rsidR="005A1EBA" w:rsidRDefault="005A1EBA" w:rsidP="004B7210">
            <w:pPr>
              <w:spacing w:before="100"/>
            </w:pPr>
            <w:r>
              <w:t>MEAG Power</w:t>
            </w:r>
          </w:p>
        </w:tc>
      </w:tr>
      <w:tr w:rsidR="004A68D9" w:rsidTr="004B7210">
        <w:tc>
          <w:tcPr>
            <w:tcW w:w="4950" w:type="dxa"/>
          </w:tcPr>
          <w:p w:rsidR="004A68D9" w:rsidRDefault="004A68D9" w:rsidP="004B7210">
            <w:pPr>
              <w:pStyle w:val="Title"/>
              <w:jc w:val="left"/>
              <w:rPr>
                <w:rFonts w:ascii="Times New Roman" w:hAnsi="Times New Roman"/>
                <w:b w:val="0"/>
                <w:sz w:val="20"/>
              </w:rPr>
            </w:pPr>
            <w:r>
              <w:rPr>
                <w:rFonts w:ascii="Times New Roman" w:hAnsi="Times New Roman"/>
                <w:b w:val="0"/>
                <w:sz w:val="20"/>
              </w:rPr>
              <w:t>Tom Gwilliam</w:t>
            </w:r>
          </w:p>
        </w:tc>
        <w:tc>
          <w:tcPr>
            <w:tcW w:w="4968" w:type="dxa"/>
            <w:gridSpan w:val="2"/>
          </w:tcPr>
          <w:p w:rsidR="004A68D9" w:rsidRPr="00970084" w:rsidRDefault="004A68D9" w:rsidP="004B7210">
            <w:pPr>
              <w:spacing w:before="100"/>
            </w:pPr>
            <w:r>
              <w:t>Iroquois Gas Transmission System</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Chris Hargett</w:t>
            </w:r>
          </w:p>
        </w:tc>
        <w:tc>
          <w:tcPr>
            <w:tcW w:w="4968" w:type="dxa"/>
            <w:gridSpan w:val="2"/>
          </w:tcPr>
          <w:p w:rsidR="005A1EBA" w:rsidRDefault="005A1EBA" w:rsidP="004B7210">
            <w:pPr>
              <w:spacing w:before="100"/>
            </w:pPr>
            <w:r w:rsidRPr="00970084">
              <w:t>Consolidated Edison Company of New York, Inc</w:t>
            </w:r>
            <w:r>
              <w:t>.</w:t>
            </w:r>
          </w:p>
        </w:tc>
      </w:tr>
      <w:tr w:rsidR="005A1EBA" w:rsidTr="004B7210">
        <w:tc>
          <w:tcPr>
            <w:tcW w:w="4950" w:type="dxa"/>
          </w:tcPr>
          <w:p w:rsidR="005A1EBA" w:rsidRDefault="00573943" w:rsidP="004B7210">
            <w:pPr>
              <w:pStyle w:val="Title"/>
              <w:jc w:val="left"/>
              <w:rPr>
                <w:rFonts w:ascii="Times New Roman" w:hAnsi="Times New Roman"/>
                <w:b w:val="0"/>
                <w:sz w:val="20"/>
              </w:rPr>
            </w:pPr>
            <w:r>
              <w:rPr>
                <w:rFonts w:ascii="Times New Roman" w:hAnsi="Times New Roman"/>
                <w:b w:val="0"/>
                <w:sz w:val="20"/>
              </w:rPr>
              <w:t>Marie Knox</w:t>
            </w:r>
          </w:p>
        </w:tc>
        <w:tc>
          <w:tcPr>
            <w:tcW w:w="4968" w:type="dxa"/>
            <w:gridSpan w:val="2"/>
          </w:tcPr>
          <w:p w:rsidR="005A1EBA" w:rsidRDefault="00573943" w:rsidP="004B7210">
            <w:pPr>
              <w:spacing w:before="100"/>
            </w:pPr>
            <w:r>
              <w:t>MISO</w:t>
            </w:r>
          </w:p>
        </w:tc>
      </w:tr>
      <w:tr w:rsidR="00573943" w:rsidTr="004B7210">
        <w:tc>
          <w:tcPr>
            <w:tcW w:w="4950" w:type="dxa"/>
          </w:tcPr>
          <w:p w:rsidR="00573943" w:rsidRDefault="00573943" w:rsidP="00573943">
            <w:pPr>
              <w:pStyle w:val="Title"/>
              <w:jc w:val="left"/>
              <w:rPr>
                <w:rFonts w:ascii="Times New Roman" w:hAnsi="Times New Roman"/>
                <w:b w:val="0"/>
                <w:sz w:val="20"/>
              </w:rPr>
            </w:pPr>
            <w:r>
              <w:rPr>
                <w:rFonts w:ascii="Times New Roman" w:hAnsi="Times New Roman"/>
                <w:b w:val="0"/>
                <w:sz w:val="20"/>
              </w:rPr>
              <w:t>Jared Luner</w:t>
            </w:r>
          </w:p>
        </w:tc>
        <w:tc>
          <w:tcPr>
            <w:tcW w:w="4968" w:type="dxa"/>
            <w:gridSpan w:val="2"/>
          </w:tcPr>
          <w:p w:rsidR="00573943" w:rsidRDefault="00573943" w:rsidP="004B7210">
            <w:pPr>
              <w:spacing w:before="100"/>
            </w:pPr>
            <w:r>
              <w:t>Xcel Energy</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Elizabeth Mallett</w:t>
            </w:r>
          </w:p>
        </w:tc>
        <w:tc>
          <w:tcPr>
            <w:tcW w:w="4968" w:type="dxa"/>
            <w:gridSpan w:val="2"/>
          </w:tcPr>
          <w:p w:rsidR="005A1EBA" w:rsidRDefault="0066190F" w:rsidP="004B7210">
            <w:pPr>
              <w:spacing w:before="100"/>
            </w:pPr>
            <w:r>
              <w:t>NAESB</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D9742A">
              <w:rPr>
                <w:rFonts w:ascii="Times New Roman" w:hAnsi="Times New Roman"/>
                <w:b w:val="0"/>
                <w:sz w:val="20"/>
              </w:rPr>
              <w:t>Paul McCurley</w:t>
            </w:r>
          </w:p>
        </w:tc>
        <w:tc>
          <w:tcPr>
            <w:tcW w:w="4968" w:type="dxa"/>
            <w:gridSpan w:val="2"/>
          </w:tcPr>
          <w:p w:rsidR="005A1EBA" w:rsidRDefault="005A1EBA" w:rsidP="004B7210">
            <w:pPr>
              <w:spacing w:before="100"/>
            </w:pPr>
            <w:r>
              <w:t>NRECA</w:t>
            </w:r>
          </w:p>
        </w:tc>
      </w:tr>
      <w:tr w:rsidR="005A1EBA" w:rsidTr="004B7210">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968" w:type="dxa"/>
            <w:gridSpan w:val="2"/>
          </w:tcPr>
          <w:p w:rsidR="005A1EBA" w:rsidRPr="0085540B" w:rsidRDefault="005A1EBA" w:rsidP="004B7210">
            <w:pPr>
              <w:spacing w:before="100"/>
            </w:pPr>
            <w:r w:rsidRPr="0085540B">
              <w:t>NAESB</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Sherri Monteith</w:t>
            </w:r>
          </w:p>
        </w:tc>
        <w:tc>
          <w:tcPr>
            <w:tcW w:w="4968" w:type="dxa"/>
            <w:gridSpan w:val="2"/>
          </w:tcPr>
          <w:p w:rsidR="005A1EBA" w:rsidRPr="0085540B" w:rsidRDefault="005A1EBA" w:rsidP="004B7210">
            <w:pPr>
              <w:spacing w:before="100"/>
            </w:pPr>
            <w:r>
              <w:t>American Electric Power</w:t>
            </w:r>
          </w:p>
        </w:tc>
      </w:tr>
      <w:tr w:rsidR="00573943" w:rsidTr="004B7210">
        <w:tc>
          <w:tcPr>
            <w:tcW w:w="4950" w:type="dxa"/>
          </w:tcPr>
          <w:p w:rsidR="00573943" w:rsidRDefault="00573943" w:rsidP="004B7210">
            <w:pPr>
              <w:pStyle w:val="Title"/>
              <w:jc w:val="left"/>
              <w:rPr>
                <w:rFonts w:ascii="Times New Roman" w:hAnsi="Times New Roman"/>
                <w:b w:val="0"/>
                <w:sz w:val="20"/>
              </w:rPr>
            </w:pPr>
            <w:r>
              <w:rPr>
                <w:rFonts w:ascii="Times New Roman" w:hAnsi="Times New Roman"/>
                <w:b w:val="0"/>
                <w:sz w:val="20"/>
              </w:rPr>
              <w:t>David Nilsson</w:t>
            </w:r>
          </w:p>
        </w:tc>
        <w:tc>
          <w:tcPr>
            <w:tcW w:w="4968" w:type="dxa"/>
            <w:gridSpan w:val="2"/>
          </w:tcPr>
          <w:p w:rsidR="00573943" w:rsidRDefault="00573943" w:rsidP="004B7210">
            <w:pPr>
              <w:spacing w:before="100"/>
            </w:pPr>
            <w:r>
              <w:t>Power Costs Inc.</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7F5055">
              <w:rPr>
                <w:rFonts w:ascii="Times New Roman" w:hAnsi="Times New Roman"/>
                <w:b w:val="0"/>
                <w:sz w:val="20"/>
              </w:rPr>
              <w:t>Gene Nowak</w:t>
            </w:r>
          </w:p>
        </w:tc>
        <w:tc>
          <w:tcPr>
            <w:tcW w:w="4968" w:type="dxa"/>
            <w:gridSpan w:val="2"/>
          </w:tcPr>
          <w:p w:rsidR="005A1EBA" w:rsidRPr="00970084" w:rsidRDefault="005A1EBA" w:rsidP="004B7210">
            <w:pPr>
              <w:spacing w:before="100"/>
            </w:pPr>
            <w:r>
              <w:t>Kinder Morgan</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Delia Patterson</w:t>
            </w:r>
          </w:p>
        </w:tc>
        <w:tc>
          <w:tcPr>
            <w:tcW w:w="4968" w:type="dxa"/>
            <w:gridSpan w:val="2"/>
          </w:tcPr>
          <w:p w:rsidR="005A1EBA" w:rsidRPr="00D9742A" w:rsidRDefault="0066190F" w:rsidP="004B7210">
            <w:pPr>
              <w:spacing w:before="100"/>
            </w:pPr>
            <w:r>
              <w:t>APPA</w:t>
            </w:r>
          </w:p>
        </w:tc>
      </w:tr>
      <w:tr w:rsidR="004A68D9" w:rsidTr="004B7210">
        <w:tc>
          <w:tcPr>
            <w:tcW w:w="4950" w:type="dxa"/>
          </w:tcPr>
          <w:p w:rsidR="004A68D9" w:rsidRPr="008B0F73" w:rsidRDefault="004A68D9" w:rsidP="004B7210">
            <w:pPr>
              <w:pStyle w:val="Title"/>
              <w:jc w:val="left"/>
              <w:rPr>
                <w:rFonts w:ascii="Times New Roman" w:hAnsi="Times New Roman"/>
                <w:b w:val="0"/>
                <w:sz w:val="20"/>
              </w:rPr>
            </w:pPr>
            <w:r>
              <w:rPr>
                <w:rFonts w:ascii="Times New Roman" w:hAnsi="Times New Roman"/>
                <w:b w:val="0"/>
                <w:sz w:val="20"/>
              </w:rPr>
              <w:t>Norman Pedersen</w:t>
            </w:r>
          </w:p>
        </w:tc>
        <w:tc>
          <w:tcPr>
            <w:tcW w:w="4968" w:type="dxa"/>
            <w:gridSpan w:val="2"/>
          </w:tcPr>
          <w:p w:rsidR="004A68D9" w:rsidRPr="008B0F73" w:rsidRDefault="004A68D9" w:rsidP="004B7210">
            <w:pPr>
              <w:spacing w:before="100"/>
            </w:pPr>
            <w:r w:rsidRPr="004A68D9">
              <w:t>Southern California Generation Coalition</w:t>
            </w:r>
          </w:p>
        </w:tc>
      </w:tr>
      <w:tr w:rsidR="004A68D9" w:rsidTr="004B7210">
        <w:tc>
          <w:tcPr>
            <w:tcW w:w="4950" w:type="dxa"/>
          </w:tcPr>
          <w:p w:rsidR="004A68D9" w:rsidRPr="008B0F73" w:rsidRDefault="004A68D9" w:rsidP="004B7210">
            <w:pPr>
              <w:pStyle w:val="Title"/>
              <w:jc w:val="left"/>
              <w:rPr>
                <w:rFonts w:ascii="Times New Roman" w:hAnsi="Times New Roman"/>
                <w:b w:val="0"/>
                <w:sz w:val="20"/>
              </w:rPr>
            </w:pPr>
            <w:r>
              <w:rPr>
                <w:rFonts w:ascii="Times New Roman" w:hAnsi="Times New Roman"/>
                <w:b w:val="0"/>
                <w:sz w:val="20"/>
              </w:rPr>
              <w:t>Shahriar Sahba</w:t>
            </w:r>
          </w:p>
        </w:tc>
        <w:tc>
          <w:tcPr>
            <w:tcW w:w="4968" w:type="dxa"/>
            <w:gridSpan w:val="2"/>
          </w:tcPr>
          <w:p w:rsidR="004A68D9" w:rsidRPr="008B0F73" w:rsidRDefault="004A68D9" w:rsidP="004B7210">
            <w:pPr>
              <w:spacing w:before="100"/>
            </w:pPr>
            <w:r>
              <w:t>OATI</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8B0F73">
              <w:rPr>
                <w:rFonts w:ascii="Times New Roman" w:hAnsi="Times New Roman"/>
                <w:b w:val="0"/>
                <w:sz w:val="20"/>
              </w:rPr>
              <w:t>Anita Schafer</w:t>
            </w:r>
          </w:p>
        </w:tc>
        <w:tc>
          <w:tcPr>
            <w:tcW w:w="4968" w:type="dxa"/>
            <w:gridSpan w:val="2"/>
          </w:tcPr>
          <w:p w:rsidR="005A1EBA" w:rsidRDefault="005A1EBA" w:rsidP="004B7210">
            <w:pPr>
              <w:spacing w:before="100"/>
            </w:pPr>
            <w:r w:rsidRPr="008B0F73">
              <w:t>Duke Energy Corp.</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lastRenderedPageBreak/>
              <w:t>Ben Schoene</w:t>
            </w:r>
          </w:p>
        </w:tc>
        <w:tc>
          <w:tcPr>
            <w:tcW w:w="4968" w:type="dxa"/>
            <w:gridSpan w:val="2"/>
          </w:tcPr>
          <w:p w:rsidR="005A1EBA" w:rsidRPr="008B0F73" w:rsidRDefault="005A1EBA" w:rsidP="004B7210">
            <w:pPr>
              <w:spacing w:before="100"/>
            </w:pPr>
            <w:r w:rsidRPr="00C86221">
              <w:t>ConocoPhillips Company</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Caroline Trum</w:t>
            </w:r>
          </w:p>
        </w:tc>
        <w:tc>
          <w:tcPr>
            <w:tcW w:w="4968" w:type="dxa"/>
            <w:gridSpan w:val="2"/>
          </w:tcPr>
          <w:p w:rsidR="005A1EBA" w:rsidRPr="00A602B3" w:rsidRDefault="0066190F" w:rsidP="004B7210">
            <w:pPr>
              <w:spacing w:before="100"/>
            </w:pPr>
            <w:r>
              <w:t>NAESB</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7F5055">
              <w:rPr>
                <w:rFonts w:ascii="Times New Roman" w:hAnsi="Times New Roman"/>
                <w:b w:val="0"/>
                <w:sz w:val="20"/>
              </w:rPr>
              <w:t>Caitlin Tweed</w:t>
            </w:r>
          </w:p>
        </w:tc>
        <w:tc>
          <w:tcPr>
            <w:tcW w:w="4968" w:type="dxa"/>
            <w:gridSpan w:val="2"/>
          </w:tcPr>
          <w:p w:rsidR="005A1EBA" w:rsidRDefault="005A1EBA" w:rsidP="004B7210">
            <w:pPr>
              <w:spacing w:before="100"/>
            </w:pPr>
            <w:r>
              <w:t>Bracewell &amp; Giuliani</w:t>
            </w:r>
          </w:p>
        </w:tc>
      </w:tr>
      <w:tr w:rsidR="00434A28" w:rsidTr="004B7210">
        <w:tc>
          <w:tcPr>
            <w:tcW w:w="4950" w:type="dxa"/>
          </w:tcPr>
          <w:p w:rsidR="00434A28" w:rsidRDefault="00434A28" w:rsidP="004B7210">
            <w:pPr>
              <w:pStyle w:val="Title"/>
              <w:jc w:val="left"/>
              <w:rPr>
                <w:rFonts w:ascii="Times New Roman" w:hAnsi="Times New Roman"/>
                <w:b w:val="0"/>
                <w:sz w:val="20"/>
              </w:rPr>
            </w:pPr>
            <w:r>
              <w:rPr>
                <w:rFonts w:ascii="Times New Roman" w:hAnsi="Times New Roman"/>
                <w:b w:val="0"/>
                <w:sz w:val="20"/>
              </w:rPr>
              <w:t>Mark Werner</w:t>
            </w:r>
          </w:p>
        </w:tc>
        <w:tc>
          <w:tcPr>
            <w:tcW w:w="4968" w:type="dxa"/>
            <w:gridSpan w:val="2"/>
          </w:tcPr>
          <w:p w:rsidR="00434A28" w:rsidRDefault="00434A28" w:rsidP="004B7210">
            <w:pPr>
              <w:spacing w:before="100"/>
            </w:pPr>
            <w:r>
              <w:t>CPS Energy</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EF14E2">
              <w:rPr>
                <w:rFonts w:ascii="Times New Roman" w:hAnsi="Times New Roman"/>
                <w:b w:val="0"/>
                <w:sz w:val="20"/>
              </w:rPr>
              <w:t>Randy Young</w:t>
            </w:r>
          </w:p>
        </w:tc>
        <w:tc>
          <w:tcPr>
            <w:tcW w:w="4968" w:type="dxa"/>
            <w:gridSpan w:val="2"/>
          </w:tcPr>
          <w:p w:rsidR="005A1EBA" w:rsidRPr="00D9742A" w:rsidRDefault="005A1EBA" w:rsidP="004B7210">
            <w:pPr>
              <w:spacing w:before="100"/>
            </w:pPr>
            <w:r w:rsidRPr="00EF14E2">
              <w:t>Boardwalk Pipeline Partners, LP</w:t>
            </w:r>
          </w:p>
        </w:tc>
      </w:tr>
    </w:tbl>
    <w:p w:rsidR="005A1EBA" w:rsidRDefault="005A1EBA">
      <w:pPr>
        <w:spacing w:before="120"/>
        <w:rPr>
          <w:bCs/>
        </w:rPr>
      </w:pPr>
    </w:p>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7"/>
      <w:footerReference w:type="default" r:id="rId18"/>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A8" w:rsidRDefault="00050DA8">
      <w:r>
        <w:separator/>
      </w:r>
    </w:p>
  </w:endnote>
  <w:endnote w:type="continuationSeparator" w:id="0">
    <w:p w:rsidR="00050DA8" w:rsidRDefault="0005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Footer"/>
      <w:pBdr>
        <w:top w:val="single" w:sz="18" w:space="1" w:color="auto"/>
      </w:pBdr>
      <w:jc w:val="right"/>
    </w:pPr>
    <w:r>
      <w:t xml:space="preserve">NAESB Board Gas-Electric Harmonization Committee – </w:t>
    </w:r>
    <w:r w:rsidR="00E37756">
      <w:t>April 1</w:t>
    </w:r>
    <w:r>
      <w:t>, 2014</w:t>
    </w:r>
  </w:p>
  <w:p w:rsidR="004B7210" w:rsidRDefault="004B7210">
    <w:pPr>
      <w:pStyle w:val="Footer"/>
      <w:pBdr>
        <w:top w:val="single" w:sz="18" w:space="1" w:color="auto"/>
      </w:pBdr>
      <w:jc w:val="right"/>
    </w:pPr>
    <w:r>
      <w:t xml:space="preserve">Page </w:t>
    </w:r>
    <w:r>
      <w:fldChar w:fldCharType="begin"/>
    </w:r>
    <w:r>
      <w:instrText xml:space="preserve"> PAGE </w:instrText>
    </w:r>
    <w:r>
      <w:fldChar w:fldCharType="separate"/>
    </w:r>
    <w:r w:rsidR="00017277">
      <w:rPr>
        <w:noProof/>
      </w:rPr>
      <w:t>3</w:t>
    </w:r>
    <w:r>
      <w:rPr>
        <w:noProof/>
      </w:rPr>
      <w:fldChar w:fldCharType="end"/>
    </w:r>
    <w:r>
      <w:t xml:space="preserve"> of </w:t>
    </w:r>
    <w:r w:rsidR="00050DA8">
      <w:fldChar w:fldCharType="begin"/>
    </w:r>
    <w:r w:rsidR="00050DA8">
      <w:instrText xml:space="preserve"> NUMPAGES </w:instrText>
    </w:r>
    <w:r w:rsidR="00050DA8">
      <w:fldChar w:fldCharType="separate"/>
    </w:r>
    <w:r w:rsidR="00017277">
      <w:rPr>
        <w:noProof/>
      </w:rPr>
      <w:t>3</w:t>
    </w:r>
    <w:r w:rsidR="00050DA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A8" w:rsidRDefault="00050DA8">
      <w:r>
        <w:separator/>
      </w:r>
    </w:p>
  </w:footnote>
  <w:footnote w:type="continuationSeparator" w:id="0">
    <w:p w:rsidR="00050DA8" w:rsidRDefault="0005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210" w:rsidRDefault="004B72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29383C" w:rsidRDefault="0029383C"/>
                </w:txbxContent>
              </v:textbox>
            </v:rect>
          </w:pict>
        </mc:Fallback>
      </mc:AlternateContent>
    </w:r>
  </w:p>
  <w:p w:rsidR="004B7210" w:rsidRDefault="004B7210">
    <w:pPr>
      <w:pStyle w:val="Header"/>
      <w:tabs>
        <w:tab w:val="left" w:pos="1080"/>
      </w:tabs>
      <w:ind w:left="2160"/>
      <w:rPr>
        <w:rFonts w:ascii="Bookman Old Style" w:hAnsi="Bookman Old Style"/>
        <w:b/>
        <w:sz w:val="28"/>
      </w:rPr>
    </w:pPr>
  </w:p>
  <w:p w:rsidR="004B7210" w:rsidRDefault="004B7210">
    <w:pPr>
      <w:pStyle w:val="Header"/>
      <w:tabs>
        <w:tab w:val="left" w:pos="1080"/>
      </w:tabs>
      <w:ind w:left="1800"/>
      <w:jc w:val="right"/>
      <w:rPr>
        <w:b/>
        <w:spacing w:val="20"/>
        <w:sz w:val="32"/>
      </w:rPr>
    </w:pPr>
    <w:r>
      <w:rPr>
        <w:b/>
        <w:spacing w:val="20"/>
        <w:sz w:val="32"/>
      </w:rPr>
      <w:t>North American Energy Standards Board</w:t>
    </w:r>
  </w:p>
  <w:p w:rsidR="004B7210" w:rsidRDefault="004B721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B7210" w:rsidRDefault="004B7210">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B7210" w:rsidRDefault="004B7210">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B7210" w:rsidRDefault="004B721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EBA4F2E"/>
    <w:multiLevelType w:val="hybridMultilevel"/>
    <w:tmpl w:val="B0FE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924FE3"/>
    <w:multiLevelType w:val="hybridMultilevel"/>
    <w:tmpl w:val="F48E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2">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1"/>
  </w:num>
  <w:num w:numId="5">
    <w:abstractNumId w:val="3"/>
  </w:num>
  <w:num w:numId="6">
    <w:abstractNumId w:val="18"/>
  </w:num>
  <w:num w:numId="7">
    <w:abstractNumId w:val="5"/>
  </w:num>
  <w:num w:numId="8">
    <w:abstractNumId w:val="26"/>
  </w:num>
  <w:num w:numId="9">
    <w:abstractNumId w:val="28"/>
  </w:num>
  <w:num w:numId="10">
    <w:abstractNumId w:val="41"/>
  </w:num>
  <w:num w:numId="11">
    <w:abstractNumId w:val="4"/>
  </w:num>
  <w:num w:numId="12">
    <w:abstractNumId w:val="17"/>
  </w:num>
  <w:num w:numId="13">
    <w:abstractNumId w:val="40"/>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7"/>
  </w:num>
  <w:num w:numId="22">
    <w:abstractNumId w:val="10"/>
  </w:num>
  <w:num w:numId="23">
    <w:abstractNumId w:val="11"/>
  </w:num>
  <w:num w:numId="24">
    <w:abstractNumId w:val="15"/>
  </w:num>
  <w:num w:numId="25">
    <w:abstractNumId w:val="24"/>
  </w:num>
  <w:num w:numId="26">
    <w:abstractNumId w:val="35"/>
  </w:num>
  <w:num w:numId="27">
    <w:abstractNumId w:val="33"/>
  </w:num>
  <w:num w:numId="28">
    <w:abstractNumId w:val="2"/>
  </w:num>
  <w:num w:numId="29">
    <w:abstractNumId w:val="27"/>
  </w:num>
  <w:num w:numId="30">
    <w:abstractNumId w:val="39"/>
  </w:num>
  <w:num w:numId="31">
    <w:abstractNumId w:val="9"/>
  </w:num>
  <w:num w:numId="32">
    <w:abstractNumId w:val="23"/>
  </w:num>
  <w:num w:numId="33">
    <w:abstractNumId w:val="36"/>
  </w:num>
  <w:num w:numId="34">
    <w:abstractNumId w:val="42"/>
  </w:num>
  <w:num w:numId="35">
    <w:abstractNumId w:val="6"/>
  </w:num>
  <w:num w:numId="36">
    <w:abstractNumId w:val="7"/>
  </w:num>
  <w:num w:numId="37">
    <w:abstractNumId w:val="13"/>
  </w:num>
  <w:num w:numId="38">
    <w:abstractNumId w:val="22"/>
  </w:num>
  <w:num w:numId="39">
    <w:abstractNumId w:val="32"/>
  </w:num>
  <w:num w:numId="40">
    <w:abstractNumId w:val="14"/>
  </w:num>
  <w:num w:numId="41">
    <w:abstractNumId w:val="38"/>
  </w:num>
  <w:num w:numId="42">
    <w:abstractNumId w:val="3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277"/>
    <w:rsid w:val="00017E73"/>
    <w:rsid w:val="0002033B"/>
    <w:rsid w:val="00032477"/>
    <w:rsid w:val="000418F5"/>
    <w:rsid w:val="00047687"/>
    <w:rsid w:val="00050256"/>
    <w:rsid w:val="00050DA8"/>
    <w:rsid w:val="00053050"/>
    <w:rsid w:val="00062835"/>
    <w:rsid w:val="00071830"/>
    <w:rsid w:val="00071A66"/>
    <w:rsid w:val="0008184D"/>
    <w:rsid w:val="00095C67"/>
    <w:rsid w:val="000B22ED"/>
    <w:rsid w:val="000B67BE"/>
    <w:rsid w:val="000B68BD"/>
    <w:rsid w:val="000D08BD"/>
    <w:rsid w:val="000D1F0F"/>
    <w:rsid w:val="000E3A30"/>
    <w:rsid w:val="000F4DE5"/>
    <w:rsid w:val="00112476"/>
    <w:rsid w:val="00113465"/>
    <w:rsid w:val="00115B4D"/>
    <w:rsid w:val="00131C5F"/>
    <w:rsid w:val="00135BFA"/>
    <w:rsid w:val="00137EA8"/>
    <w:rsid w:val="001457AD"/>
    <w:rsid w:val="00153A24"/>
    <w:rsid w:val="00171035"/>
    <w:rsid w:val="00176CE9"/>
    <w:rsid w:val="00180238"/>
    <w:rsid w:val="00194A0D"/>
    <w:rsid w:val="001A33E6"/>
    <w:rsid w:val="001B4F19"/>
    <w:rsid w:val="001D4819"/>
    <w:rsid w:val="001E69D9"/>
    <w:rsid w:val="00200674"/>
    <w:rsid w:val="002066E7"/>
    <w:rsid w:val="00207796"/>
    <w:rsid w:val="00213FCF"/>
    <w:rsid w:val="00217A94"/>
    <w:rsid w:val="00220A7E"/>
    <w:rsid w:val="0027443D"/>
    <w:rsid w:val="002915F2"/>
    <w:rsid w:val="0029383C"/>
    <w:rsid w:val="002A5287"/>
    <w:rsid w:val="002C3B25"/>
    <w:rsid w:val="002D081F"/>
    <w:rsid w:val="002D243E"/>
    <w:rsid w:val="00314982"/>
    <w:rsid w:val="00316A19"/>
    <w:rsid w:val="00324F5F"/>
    <w:rsid w:val="003353C3"/>
    <w:rsid w:val="00341B8B"/>
    <w:rsid w:val="00350889"/>
    <w:rsid w:val="003621CC"/>
    <w:rsid w:val="00376F58"/>
    <w:rsid w:val="00385998"/>
    <w:rsid w:val="0039157F"/>
    <w:rsid w:val="003A23C4"/>
    <w:rsid w:val="003A3A47"/>
    <w:rsid w:val="003A45B2"/>
    <w:rsid w:val="003B02B2"/>
    <w:rsid w:val="003B25B9"/>
    <w:rsid w:val="003C56F4"/>
    <w:rsid w:val="003E4CF5"/>
    <w:rsid w:val="003F03DF"/>
    <w:rsid w:val="00401A41"/>
    <w:rsid w:val="004027B0"/>
    <w:rsid w:val="004078DC"/>
    <w:rsid w:val="00434A28"/>
    <w:rsid w:val="004658F0"/>
    <w:rsid w:val="004667C2"/>
    <w:rsid w:val="00475704"/>
    <w:rsid w:val="0048022B"/>
    <w:rsid w:val="004840C0"/>
    <w:rsid w:val="004A68D9"/>
    <w:rsid w:val="004A6B27"/>
    <w:rsid w:val="004B29F2"/>
    <w:rsid w:val="004B7210"/>
    <w:rsid w:val="004C072E"/>
    <w:rsid w:val="004E1926"/>
    <w:rsid w:val="004E2159"/>
    <w:rsid w:val="004F30F8"/>
    <w:rsid w:val="00503991"/>
    <w:rsid w:val="00507E4E"/>
    <w:rsid w:val="00510337"/>
    <w:rsid w:val="0052731E"/>
    <w:rsid w:val="00530E02"/>
    <w:rsid w:val="005339E5"/>
    <w:rsid w:val="005404DE"/>
    <w:rsid w:val="00542123"/>
    <w:rsid w:val="00544E40"/>
    <w:rsid w:val="00554313"/>
    <w:rsid w:val="00554E35"/>
    <w:rsid w:val="00561474"/>
    <w:rsid w:val="0056406C"/>
    <w:rsid w:val="005717F0"/>
    <w:rsid w:val="00573943"/>
    <w:rsid w:val="005A0147"/>
    <w:rsid w:val="005A0C1C"/>
    <w:rsid w:val="005A1EBA"/>
    <w:rsid w:val="005A5A5C"/>
    <w:rsid w:val="005B2E39"/>
    <w:rsid w:val="005B707C"/>
    <w:rsid w:val="005C6470"/>
    <w:rsid w:val="005D0B6F"/>
    <w:rsid w:val="005D175A"/>
    <w:rsid w:val="005E5473"/>
    <w:rsid w:val="005F3D43"/>
    <w:rsid w:val="005F7413"/>
    <w:rsid w:val="00612E72"/>
    <w:rsid w:val="00636E27"/>
    <w:rsid w:val="00646EA9"/>
    <w:rsid w:val="0066190F"/>
    <w:rsid w:val="00664B3A"/>
    <w:rsid w:val="006A00A1"/>
    <w:rsid w:val="006A574F"/>
    <w:rsid w:val="006B2D07"/>
    <w:rsid w:val="006B4B30"/>
    <w:rsid w:val="006C6FCE"/>
    <w:rsid w:val="006F70E4"/>
    <w:rsid w:val="00706A27"/>
    <w:rsid w:val="00707EA8"/>
    <w:rsid w:val="007108D4"/>
    <w:rsid w:val="00725ACD"/>
    <w:rsid w:val="007506D5"/>
    <w:rsid w:val="007532E6"/>
    <w:rsid w:val="0077652A"/>
    <w:rsid w:val="00782BA0"/>
    <w:rsid w:val="007B68AF"/>
    <w:rsid w:val="007C5872"/>
    <w:rsid w:val="007D75CD"/>
    <w:rsid w:val="007F382C"/>
    <w:rsid w:val="00814195"/>
    <w:rsid w:val="00834D5B"/>
    <w:rsid w:val="0085540B"/>
    <w:rsid w:val="00867AB1"/>
    <w:rsid w:val="00875330"/>
    <w:rsid w:val="00877BC9"/>
    <w:rsid w:val="00886BD7"/>
    <w:rsid w:val="008870EC"/>
    <w:rsid w:val="008A10B1"/>
    <w:rsid w:val="008C2FA7"/>
    <w:rsid w:val="008C37AD"/>
    <w:rsid w:val="008D0943"/>
    <w:rsid w:val="008E1481"/>
    <w:rsid w:val="00906707"/>
    <w:rsid w:val="00927668"/>
    <w:rsid w:val="00930382"/>
    <w:rsid w:val="009369CD"/>
    <w:rsid w:val="009501E4"/>
    <w:rsid w:val="009524C5"/>
    <w:rsid w:val="009554B0"/>
    <w:rsid w:val="0096212E"/>
    <w:rsid w:val="009633C3"/>
    <w:rsid w:val="00966440"/>
    <w:rsid w:val="0098466C"/>
    <w:rsid w:val="009A7704"/>
    <w:rsid w:val="009B796D"/>
    <w:rsid w:val="009C1FE6"/>
    <w:rsid w:val="009D10B8"/>
    <w:rsid w:val="009E02C7"/>
    <w:rsid w:val="009E7277"/>
    <w:rsid w:val="009F0F0F"/>
    <w:rsid w:val="00A14C6A"/>
    <w:rsid w:val="00A23B7A"/>
    <w:rsid w:val="00A27816"/>
    <w:rsid w:val="00A579EE"/>
    <w:rsid w:val="00A85E69"/>
    <w:rsid w:val="00A95BEB"/>
    <w:rsid w:val="00A95D15"/>
    <w:rsid w:val="00AB7BAB"/>
    <w:rsid w:val="00AD029D"/>
    <w:rsid w:val="00AD7136"/>
    <w:rsid w:val="00B02F98"/>
    <w:rsid w:val="00B06276"/>
    <w:rsid w:val="00B35C2C"/>
    <w:rsid w:val="00B44029"/>
    <w:rsid w:val="00B52287"/>
    <w:rsid w:val="00B776EA"/>
    <w:rsid w:val="00B90E6B"/>
    <w:rsid w:val="00BA03C3"/>
    <w:rsid w:val="00BA0845"/>
    <w:rsid w:val="00BA6AD0"/>
    <w:rsid w:val="00BA7BF2"/>
    <w:rsid w:val="00BB57F2"/>
    <w:rsid w:val="00BE25C4"/>
    <w:rsid w:val="00BE49DA"/>
    <w:rsid w:val="00C033AB"/>
    <w:rsid w:val="00C05362"/>
    <w:rsid w:val="00C11DE9"/>
    <w:rsid w:val="00C167EA"/>
    <w:rsid w:val="00C2376D"/>
    <w:rsid w:val="00C3599D"/>
    <w:rsid w:val="00C40AC3"/>
    <w:rsid w:val="00C52AB6"/>
    <w:rsid w:val="00C575DA"/>
    <w:rsid w:val="00C6049A"/>
    <w:rsid w:val="00C60C27"/>
    <w:rsid w:val="00C60F16"/>
    <w:rsid w:val="00C86E97"/>
    <w:rsid w:val="00C96AE3"/>
    <w:rsid w:val="00CA355A"/>
    <w:rsid w:val="00CA69FD"/>
    <w:rsid w:val="00CD2B48"/>
    <w:rsid w:val="00CF0F49"/>
    <w:rsid w:val="00CF15F5"/>
    <w:rsid w:val="00CF2893"/>
    <w:rsid w:val="00D025A2"/>
    <w:rsid w:val="00D075F3"/>
    <w:rsid w:val="00D343ED"/>
    <w:rsid w:val="00D633E5"/>
    <w:rsid w:val="00D66893"/>
    <w:rsid w:val="00D74881"/>
    <w:rsid w:val="00D75345"/>
    <w:rsid w:val="00D9013B"/>
    <w:rsid w:val="00D90EC5"/>
    <w:rsid w:val="00DA6418"/>
    <w:rsid w:val="00DB3C42"/>
    <w:rsid w:val="00DB6569"/>
    <w:rsid w:val="00DC2A77"/>
    <w:rsid w:val="00DC5265"/>
    <w:rsid w:val="00DD1713"/>
    <w:rsid w:val="00DD4847"/>
    <w:rsid w:val="00DF467B"/>
    <w:rsid w:val="00E132C1"/>
    <w:rsid w:val="00E1364F"/>
    <w:rsid w:val="00E37756"/>
    <w:rsid w:val="00E45CF6"/>
    <w:rsid w:val="00E4678A"/>
    <w:rsid w:val="00E706B8"/>
    <w:rsid w:val="00E74D67"/>
    <w:rsid w:val="00E82CAE"/>
    <w:rsid w:val="00E928C2"/>
    <w:rsid w:val="00EC5C84"/>
    <w:rsid w:val="00EE0ECD"/>
    <w:rsid w:val="00EF5447"/>
    <w:rsid w:val="00F16094"/>
    <w:rsid w:val="00F212B0"/>
    <w:rsid w:val="00F42F7B"/>
    <w:rsid w:val="00F5208B"/>
    <w:rsid w:val="00F567BA"/>
    <w:rsid w:val="00F56CEF"/>
    <w:rsid w:val="00F86595"/>
    <w:rsid w:val="00F939D7"/>
    <w:rsid w:val="00FA7A0C"/>
    <w:rsid w:val="00FB055A"/>
    <w:rsid w:val="00FF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membership_report_031914.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membership_chart_031914.pp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primer_2013.pdf" TargetMode="External"/><Relationship Id="rId5" Type="http://schemas.openxmlformats.org/officeDocument/2006/relationships/settings" Target="settings.xml"/><Relationship Id="rId15" Type="http://schemas.openxmlformats.org/officeDocument/2006/relationships/hyperlink" Target="http://www.naesb.org/pdf4/geh040114a.docx" TargetMode="External"/><Relationship Id="rId10" Type="http://schemas.openxmlformats.org/officeDocument/2006/relationships/hyperlink" Target="http://www.naesb.org/pdf4/correspondence_mdesselle_032514_geh.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df4/geh_040114am_w1.doc" TargetMode="External"/><Relationship Id="rId14" Type="http://schemas.openxmlformats.org/officeDocument/2006/relationships/hyperlink" Target="http://www.naesb.org/pdf4/naesb_work_product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6A60-F482-4D4C-991E-5B4A5FC9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2014-04-02T15:32:00Z</dcterms:created>
  <dcterms:modified xsi:type="dcterms:W3CDTF">2014-04-02T15:32:00Z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