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50BA2" w14:textId="044EE09F" w:rsidR="005D6A89" w:rsidRPr="003A0B63" w:rsidRDefault="00421847" w:rsidP="007D73E4">
      <w:pPr>
        <w:spacing w:after="0" w:line="240" w:lineRule="auto"/>
        <w:rPr>
          <w:rFonts w:ascii="Times New Roman" w:eastAsia="Times New Roman" w:hAnsi="Times New Roman" w:cs="Times New Roman"/>
          <w:b/>
          <w:bCs/>
          <w:sz w:val="24"/>
          <w:szCs w:val="24"/>
        </w:rPr>
      </w:pPr>
      <w:r w:rsidRPr="003A0B63">
        <w:rPr>
          <w:rFonts w:ascii="Times New Roman" w:eastAsia="Times New Roman" w:hAnsi="Times New Roman" w:cs="Times New Roman"/>
          <w:b/>
          <w:bCs/>
          <w:sz w:val="24"/>
          <w:szCs w:val="24"/>
        </w:rPr>
        <w:t xml:space="preserve">Supplemental Comments </w:t>
      </w:r>
      <w:r w:rsidR="00970EFF">
        <w:rPr>
          <w:rFonts w:ascii="Times New Roman" w:eastAsia="Times New Roman" w:hAnsi="Times New Roman" w:cs="Times New Roman"/>
          <w:b/>
          <w:bCs/>
          <w:sz w:val="24"/>
          <w:szCs w:val="24"/>
        </w:rPr>
        <w:t>of the Natural Gas Supply Association</w:t>
      </w:r>
    </w:p>
    <w:p w14:paraId="63810A64" w14:textId="0D77217A" w:rsidR="000B54FF" w:rsidRDefault="00421847" w:rsidP="007D73E4">
      <w:pPr>
        <w:spacing w:after="0" w:line="240" w:lineRule="auto"/>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November 8, 20</w:t>
      </w:r>
      <w:r w:rsidR="005D6A89" w:rsidRPr="003A0B63">
        <w:rPr>
          <w:rFonts w:ascii="Times New Roman" w:eastAsia="Times New Roman" w:hAnsi="Times New Roman" w:cs="Times New Roman"/>
          <w:sz w:val="24"/>
          <w:szCs w:val="24"/>
        </w:rPr>
        <w:t>22,</w:t>
      </w:r>
      <w:r w:rsidRPr="003A0B63">
        <w:rPr>
          <w:rFonts w:ascii="Times New Roman" w:eastAsia="Times New Roman" w:hAnsi="Times New Roman" w:cs="Times New Roman"/>
          <w:sz w:val="24"/>
          <w:szCs w:val="24"/>
        </w:rPr>
        <w:t xml:space="preserve"> Forum Questions</w:t>
      </w:r>
    </w:p>
    <w:p w14:paraId="2E4C095B" w14:textId="523881EA" w:rsidR="00970EFF" w:rsidRPr="003A0B63" w:rsidRDefault="00970EFF" w:rsidP="007D73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November 28, 2022</w:t>
      </w:r>
    </w:p>
    <w:p w14:paraId="312EF393" w14:textId="5538562A" w:rsidR="00A55AB2" w:rsidRPr="008D6416" w:rsidRDefault="005D6A89" w:rsidP="002C464E">
      <w:pPr>
        <w:spacing w:before="115" w:after="0" w:line="240" w:lineRule="auto"/>
        <w:rPr>
          <w:rFonts w:ascii="Times New Roman" w:eastAsiaTheme="minorEastAsia" w:hAnsi="Times New Roman" w:cs="Times New Roman"/>
          <w:kern w:val="24"/>
          <w:sz w:val="24"/>
          <w:szCs w:val="24"/>
        </w:rPr>
      </w:pPr>
      <w:r w:rsidRPr="008D6416">
        <w:rPr>
          <w:rFonts w:ascii="Times New Roman" w:eastAsiaTheme="minorEastAsia" w:hAnsi="Times New Roman" w:cs="Times New Roman"/>
          <w:kern w:val="24"/>
          <w:sz w:val="24"/>
          <w:szCs w:val="24"/>
        </w:rPr>
        <w:t xml:space="preserve">The comments filed in conjunction with the latest series of questions </w:t>
      </w:r>
      <w:r w:rsidR="0018032D" w:rsidRPr="008D6416">
        <w:rPr>
          <w:rFonts w:ascii="Times New Roman" w:eastAsiaTheme="minorEastAsia" w:hAnsi="Times New Roman" w:cs="Times New Roman"/>
          <w:kern w:val="24"/>
          <w:sz w:val="24"/>
          <w:szCs w:val="24"/>
        </w:rPr>
        <w:t>and the</w:t>
      </w:r>
      <w:r w:rsidRPr="008D6416">
        <w:rPr>
          <w:rFonts w:ascii="Times New Roman" w:eastAsiaTheme="minorEastAsia" w:hAnsi="Times New Roman" w:cs="Times New Roman"/>
          <w:kern w:val="24"/>
          <w:sz w:val="24"/>
          <w:szCs w:val="24"/>
        </w:rPr>
        <w:t xml:space="preserve"> discussion during the November 8</w:t>
      </w:r>
      <w:r w:rsidRPr="008D6416">
        <w:rPr>
          <w:rFonts w:ascii="Times New Roman" w:eastAsiaTheme="minorEastAsia" w:hAnsi="Times New Roman" w:cs="Times New Roman"/>
          <w:kern w:val="24"/>
          <w:sz w:val="24"/>
          <w:szCs w:val="24"/>
          <w:vertAlign w:val="superscript"/>
        </w:rPr>
        <w:t>th</w:t>
      </w:r>
      <w:r w:rsidRPr="008D6416">
        <w:rPr>
          <w:rFonts w:ascii="Times New Roman" w:eastAsiaTheme="minorEastAsia" w:hAnsi="Times New Roman" w:cs="Times New Roman"/>
          <w:kern w:val="24"/>
          <w:sz w:val="24"/>
          <w:szCs w:val="24"/>
        </w:rPr>
        <w:t xml:space="preserve"> forum highlighted some </w:t>
      </w:r>
      <w:r w:rsidR="0018032D" w:rsidRPr="008D6416">
        <w:rPr>
          <w:rFonts w:ascii="Times New Roman" w:eastAsiaTheme="minorEastAsia" w:hAnsi="Times New Roman" w:cs="Times New Roman"/>
          <w:kern w:val="24"/>
          <w:sz w:val="24"/>
          <w:szCs w:val="24"/>
        </w:rPr>
        <w:t>areas in which NGSA believes clarifications would be beneficial for future discussions</w:t>
      </w:r>
      <w:r w:rsidR="00AA62CF" w:rsidRPr="008D6416">
        <w:rPr>
          <w:rFonts w:ascii="Times New Roman" w:eastAsiaTheme="minorEastAsia" w:hAnsi="Times New Roman" w:cs="Times New Roman"/>
          <w:kern w:val="24"/>
          <w:sz w:val="24"/>
          <w:szCs w:val="24"/>
        </w:rPr>
        <w:t xml:space="preserve">. </w:t>
      </w:r>
      <w:r w:rsidR="0018032D" w:rsidRPr="008D6416">
        <w:rPr>
          <w:rFonts w:ascii="Times New Roman" w:eastAsiaTheme="minorEastAsia" w:hAnsi="Times New Roman" w:cs="Times New Roman"/>
          <w:kern w:val="24"/>
          <w:sz w:val="24"/>
          <w:szCs w:val="24"/>
        </w:rPr>
        <w:t xml:space="preserve">Also, at a high level, we have noticed an </w:t>
      </w:r>
      <w:r w:rsidR="003B032C" w:rsidRPr="008D6416">
        <w:rPr>
          <w:rFonts w:ascii="Times New Roman" w:eastAsiaTheme="minorEastAsia" w:hAnsi="Times New Roman" w:cs="Times New Roman"/>
          <w:kern w:val="24"/>
          <w:sz w:val="24"/>
          <w:szCs w:val="24"/>
        </w:rPr>
        <w:t>underlying thread in the conversation</w:t>
      </w:r>
      <w:r w:rsidR="0018032D" w:rsidRPr="008D6416">
        <w:rPr>
          <w:rFonts w:ascii="Times New Roman" w:eastAsiaTheme="minorEastAsia" w:hAnsi="Times New Roman" w:cs="Times New Roman"/>
          <w:kern w:val="24"/>
          <w:sz w:val="24"/>
          <w:szCs w:val="24"/>
        </w:rPr>
        <w:t>s</w:t>
      </w:r>
      <w:r w:rsidR="003B032C" w:rsidRPr="008D6416">
        <w:rPr>
          <w:rFonts w:ascii="Times New Roman" w:eastAsiaTheme="minorEastAsia" w:hAnsi="Times New Roman" w:cs="Times New Roman"/>
          <w:kern w:val="24"/>
          <w:sz w:val="24"/>
          <w:szCs w:val="24"/>
        </w:rPr>
        <w:t xml:space="preserve"> that reflects </w:t>
      </w:r>
      <w:r w:rsidR="00642B82" w:rsidRPr="008D6416">
        <w:rPr>
          <w:rFonts w:ascii="Times New Roman" w:eastAsiaTheme="minorEastAsia" w:hAnsi="Times New Roman" w:cs="Times New Roman"/>
          <w:kern w:val="24"/>
          <w:sz w:val="24"/>
          <w:szCs w:val="24"/>
        </w:rPr>
        <w:t>some</w:t>
      </w:r>
      <w:r w:rsidR="003B032C" w:rsidRPr="008D6416">
        <w:rPr>
          <w:rFonts w:ascii="Times New Roman" w:eastAsiaTheme="minorEastAsia" w:hAnsi="Times New Roman" w:cs="Times New Roman"/>
          <w:kern w:val="24"/>
          <w:sz w:val="24"/>
          <w:szCs w:val="24"/>
        </w:rPr>
        <w:t xml:space="preserve"> misconception</w:t>
      </w:r>
      <w:r w:rsidR="00642B82" w:rsidRPr="008D6416">
        <w:rPr>
          <w:rFonts w:ascii="Times New Roman" w:eastAsiaTheme="minorEastAsia" w:hAnsi="Times New Roman" w:cs="Times New Roman"/>
          <w:kern w:val="24"/>
          <w:sz w:val="24"/>
          <w:szCs w:val="24"/>
        </w:rPr>
        <w:t>s</w:t>
      </w:r>
      <w:r w:rsidR="003B032C" w:rsidRPr="008D6416">
        <w:rPr>
          <w:rFonts w:ascii="Times New Roman" w:eastAsiaTheme="minorEastAsia" w:hAnsi="Times New Roman" w:cs="Times New Roman"/>
          <w:kern w:val="24"/>
          <w:sz w:val="24"/>
          <w:szCs w:val="24"/>
        </w:rPr>
        <w:t xml:space="preserve"> </w:t>
      </w:r>
      <w:r w:rsidR="0018032D" w:rsidRPr="008D6416">
        <w:rPr>
          <w:rFonts w:ascii="Times New Roman" w:eastAsiaTheme="minorEastAsia" w:hAnsi="Times New Roman" w:cs="Times New Roman"/>
          <w:kern w:val="24"/>
          <w:sz w:val="24"/>
          <w:szCs w:val="24"/>
        </w:rPr>
        <w:t xml:space="preserve">regarding where </w:t>
      </w:r>
      <w:r w:rsidR="003B032C" w:rsidRPr="008D6416">
        <w:rPr>
          <w:rFonts w:ascii="Times New Roman" w:eastAsiaTheme="minorEastAsia" w:hAnsi="Times New Roman" w:cs="Times New Roman"/>
          <w:kern w:val="24"/>
          <w:sz w:val="24"/>
          <w:szCs w:val="24"/>
        </w:rPr>
        <w:t>responsibilities</w:t>
      </w:r>
      <w:r w:rsidR="0018032D" w:rsidRPr="008D6416">
        <w:rPr>
          <w:rFonts w:ascii="Times New Roman" w:eastAsiaTheme="minorEastAsia" w:hAnsi="Times New Roman" w:cs="Times New Roman"/>
          <w:kern w:val="24"/>
          <w:sz w:val="24"/>
          <w:szCs w:val="24"/>
        </w:rPr>
        <w:t xml:space="preserve"> lie with respect to ensuring reliable gas delivery to gas generators</w:t>
      </w:r>
      <w:r w:rsidR="00AA62CF" w:rsidRPr="008D6416">
        <w:rPr>
          <w:rFonts w:ascii="Times New Roman" w:eastAsiaTheme="minorEastAsia" w:hAnsi="Times New Roman" w:cs="Times New Roman"/>
          <w:kern w:val="24"/>
          <w:sz w:val="24"/>
          <w:szCs w:val="24"/>
        </w:rPr>
        <w:t xml:space="preserve">. </w:t>
      </w:r>
      <w:r w:rsidR="0018032D" w:rsidRPr="008D6416">
        <w:rPr>
          <w:rFonts w:ascii="Times New Roman" w:eastAsiaTheme="minorEastAsia" w:hAnsi="Times New Roman" w:cs="Times New Roman"/>
          <w:kern w:val="24"/>
          <w:sz w:val="24"/>
          <w:szCs w:val="24"/>
        </w:rPr>
        <w:t>This misconception manifests into various proposals and solutions that are being offered</w:t>
      </w:r>
      <w:r w:rsidR="003B032C" w:rsidRPr="008D6416">
        <w:rPr>
          <w:rFonts w:ascii="Times New Roman" w:eastAsiaTheme="minorEastAsia" w:hAnsi="Times New Roman" w:cs="Times New Roman"/>
          <w:kern w:val="24"/>
          <w:sz w:val="24"/>
          <w:szCs w:val="24"/>
        </w:rPr>
        <w:t xml:space="preserve">. </w:t>
      </w:r>
      <w:r w:rsidR="00642B82" w:rsidRPr="008D6416">
        <w:rPr>
          <w:rFonts w:ascii="Times New Roman" w:eastAsiaTheme="minorEastAsia" w:hAnsi="Times New Roman" w:cs="Times New Roman"/>
          <w:kern w:val="24"/>
          <w:sz w:val="24"/>
          <w:szCs w:val="24"/>
        </w:rPr>
        <w:t>For this reason,</w:t>
      </w:r>
      <w:r w:rsidR="003B032C" w:rsidRPr="008D6416">
        <w:rPr>
          <w:rFonts w:ascii="Times New Roman" w:eastAsiaTheme="minorEastAsia" w:hAnsi="Times New Roman" w:cs="Times New Roman"/>
          <w:kern w:val="24"/>
          <w:sz w:val="24"/>
          <w:szCs w:val="24"/>
        </w:rPr>
        <w:t xml:space="preserve"> </w:t>
      </w:r>
      <w:r w:rsidR="0018032D" w:rsidRPr="008D6416">
        <w:rPr>
          <w:rFonts w:ascii="Times New Roman" w:eastAsiaTheme="minorEastAsia" w:hAnsi="Times New Roman" w:cs="Times New Roman"/>
          <w:kern w:val="24"/>
          <w:sz w:val="24"/>
          <w:szCs w:val="24"/>
        </w:rPr>
        <w:t xml:space="preserve">NGSA believes that clearly distinguishing </w:t>
      </w:r>
      <w:r w:rsidR="00167683" w:rsidRPr="008D6416">
        <w:rPr>
          <w:rFonts w:ascii="Times New Roman" w:eastAsiaTheme="minorEastAsia" w:hAnsi="Times New Roman" w:cs="Times New Roman"/>
          <w:kern w:val="24"/>
          <w:sz w:val="24"/>
          <w:szCs w:val="24"/>
        </w:rPr>
        <w:t xml:space="preserve">each industry’s </w:t>
      </w:r>
      <w:r w:rsidR="0018032D" w:rsidRPr="008D6416">
        <w:rPr>
          <w:rFonts w:ascii="Times New Roman" w:eastAsiaTheme="minorEastAsia" w:hAnsi="Times New Roman" w:cs="Times New Roman"/>
          <w:kern w:val="24"/>
          <w:sz w:val="24"/>
          <w:szCs w:val="24"/>
        </w:rPr>
        <w:t>responsibilities can facilitate progress in this forum</w:t>
      </w:r>
      <w:r w:rsidR="00AA62CF" w:rsidRPr="008D6416">
        <w:rPr>
          <w:rFonts w:ascii="Times New Roman" w:eastAsiaTheme="minorEastAsia" w:hAnsi="Times New Roman" w:cs="Times New Roman"/>
          <w:kern w:val="24"/>
          <w:sz w:val="24"/>
          <w:szCs w:val="24"/>
        </w:rPr>
        <w:t xml:space="preserve">. </w:t>
      </w:r>
    </w:p>
    <w:p w14:paraId="34863EB6" w14:textId="4A1D6736" w:rsidR="00A55AB2" w:rsidRPr="008D6416" w:rsidRDefault="00645D4E" w:rsidP="00A55AB2">
      <w:pPr>
        <w:pStyle w:val="ListParagraph"/>
        <w:numPr>
          <w:ilvl w:val="0"/>
          <w:numId w:val="7"/>
        </w:numPr>
        <w:spacing w:before="115"/>
        <w:rPr>
          <w:rFonts w:ascii="Times New Roman" w:eastAsiaTheme="minorEastAsia" w:hAnsi="Times New Roman" w:cs="Times New Roman"/>
          <w:b/>
          <w:bCs/>
          <w:kern w:val="24"/>
          <w:sz w:val="24"/>
          <w:szCs w:val="24"/>
        </w:rPr>
      </w:pPr>
      <w:r w:rsidRPr="008D6416">
        <w:rPr>
          <w:rFonts w:ascii="Times New Roman" w:eastAsiaTheme="minorEastAsia" w:hAnsi="Times New Roman" w:cs="Times New Roman"/>
          <w:b/>
          <w:bCs/>
          <w:kern w:val="24"/>
          <w:sz w:val="24"/>
          <w:szCs w:val="24"/>
        </w:rPr>
        <w:t xml:space="preserve">The </w:t>
      </w:r>
      <w:r w:rsidR="00A55AB2" w:rsidRPr="008D6416">
        <w:rPr>
          <w:rFonts w:ascii="Times New Roman" w:eastAsiaTheme="minorEastAsia" w:hAnsi="Times New Roman" w:cs="Times New Roman"/>
          <w:b/>
          <w:bCs/>
          <w:kern w:val="24"/>
          <w:sz w:val="24"/>
          <w:szCs w:val="24"/>
        </w:rPr>
        <w:t xml:space="preserve">Natural Gas and Power Sectors Both Have Important Yet Distinct Reliability Responsibilities </w:t>
      </w:r>
      <w:r w:rsidRPr="008D6416">
        <w:rPr>
          <w:rFonts w:ascii="Times New Roman" w:eastAsiaTheme="minorEastAsia" w:hAnsi="Times New Roman" w:cs="Times New Roman"/>
          <w:b/>
          <w:bCs/>
          <w:kern w:val="24"/>
          <w:sz w:val="24"/>
          <w:szCs w:val="24"/>
        </w:rPr>
        <w:t>to Support</w:t>
      </w:r>
      <w:r w:rsidR="00A55AB2" w:rsidRPr="008D6416">
        <w:rPr>
          <w:rFonts w:ascii="Times New Roman" w:eastAsiaTheme="minorEastAsia" w:hAnsi="Times New Roman" w:cs="Times New Roman"/>
          <w:b/>
          <w:bCs/>
          <w:kern w:val="24"/>
          <w:sz w:val="24"/>
          <w:szCs w:val="24"/>
        </w:rPr>
        <w:t xml:space="preserve"> Reliable Natural Gas Delivery in Power Markets</w:t>
      </w:r>
      <w:r w:rsidR="00D81830" w:rsidRPr="008D6416">
        <w:rPr>
          <w:rFonts w:ascii="Times New Roman" w:eastAsiaTheme="minorEastAsia" w:hAnsi="Times New Roman" w:cs="Times New Roman"/>
          <w:b/>
          <w:bCs/>
          <w:kern w:val="24"/>
          <w:sz w:val="24"/>
          <w:szCs w:val="24"/>
        </w:rPr>
        <w:t>.</w:t>
      </w:r>
    </w:p>
    <w:p w14:paraId="406207AE" w14:textId="77777777" w:rsidR="00A55AB2" w:rsidRPr="008D6416" w:rsidRDefault="00A55AB2" w:rsidP="00A55AB2">
      <w:pPr>
        <w:spacing w:after="0" w:line="240" w:lineRule="auto"/>
        <w:rPr>
          <w:rFonts w:ascii="Times New Roman" w:eastAsiaTheme="minorEastAsia" w:hAnsi="Times New Roman" w:cs="Times New Roman"/>
          <w:kern w:val="24"/>
          <w:sz w:val="24"/>
          <w:szCs w:val="24"/>
        </w:rPr>
      </w:pPr>
    </w:p>
    <w:p w14:paraId="10EB7616" w14:textId="5CF3B3F7" w:rsidR="00A55AB2" w:rsidRPr="008D6416" w:rsidRDefault="003B032C" w:rsidP="00A55AB2">
      <w:pPr>
        <w:spacing w:after="0" w:line="240" w:lineRule="auto"/>
        <w:rPr>
          <w:rFonts w:ascii="Times New Roman" w:eastAsiaTheme="minorEastAsia" w:hAnsi="Times New Roman" w:cs="Times New Roman"/>
          <w:kern w:val="24"/>
          <w:sz w:val="24"/>
          <w:szCs w:val="24"/>
        </w:rPr>
      </w:pPr>
      <w:r w:rsidRPr="008D6416">
        <w:rPr>
          <w:rFonts w:ascii="Times New Roman" w:eastAsiaTheme="minorEastAsia" w:hAnsi="Times New Roman" w:cs="Times New Roman"/>
          <w:kern w:val="24"/>
          <w:sz w:val="24"/>
          <w:szCs w:val="24"/>
        </w:rPr>
        <w:t xml:space="preserve">Both the gas industry and its customers have </w:t>
      </w:r>
      <w:r w:rsidR="00EA4BA2" w:rsidRPr="008D6416">
        <w:rPr>
          <w:rFonts w:ascii="Times New Roman" w:eastAsiaTheme="minorEastAsia" w:hAnsi="Times New Roman" w:cs="Times New Roman"/>
          <w:kern w:val="24"/>
          <w:sz w:val="24"/>
          <w:szCs w:val="24"/>
        </w:rPr>
        <w:t>important</w:t>
      </w:r>
      <w:r w:rsidRPr="008D6416">
        <w:rPr>
          <w:rFonts w:ascii="Times New Roman" w:eastAsiaTheme="minorEastAsia" w:hAnsi="Times New Roman" w:cs="Times New Roman"/>
          <w:kern w:val="24"/>
          <w:sz w:val="24"/>
          <w:szCs w:val="24"/>
        </w:rPr>
        <w:t xml:space="preserve"> responsibilities that must be met for reliable service. The </w:t>
      </w:r>
      <w:r w:rsidR="00D81830" w:rsidRPr="008D6416">
        <w:rPr>
          <w:rFonts w:ascii="Times New Roman" w:eastAsiaTheme="minorEastAsia" w:hAnsi="Times New Roman" w:cs="Times New Roman"/>
          <w:kern w:val="24"/>
          <w:sz w:val="24"/>
          <w:szCs w:val="24"/>
        </w:rPr>
        <w:t xml:space="preserve">natural </w:t>
      </w:r>
      <w:r w:rsidRPr="008D6416">
        <w:rPr>
          <w:rFonts w:ascii="Times New Roman" w:eastAsiaTheme="minorEastAsia" w:hAnsi="Times New Roman" w:cs="Times New Roman"/>
          <w:kern w:val="24"/>
          <w:sz w:val="24"/>
          <w:szCs w:val="24"/>
        </w:rPr>
        <w:t xml:space="preserve">gas industry is responsible for: </w:t>
      </w:r>
    </w:p>
    <w:p w14:paraId="230921A0" w14:textId="2EEB38B6" w:rsidR="00A55AB2" w:rsidRPr="008D6416" w:rsidRDefault="00A55AB2" w:rsidP="00A55AB2">
      <w:pPr>
        <w:spacing w:after="0" w:line="240" w:lineRule="auto"/>
        <w:rPr>
          <w:rFonts w:ascii="Times New Roman" w:eastAsiaTheme="minorEastAsia" w:hAnsi="Times New Roman" w:cs="Times New Roman"/>
          <w:kern w:val="24"/>
          <w:sz w:val="24"/>
          <w:szCs w:val="24"/>
        </w:rPr>
      </w:pPr>
      <w:r w:rsidRPr="008D6416">
        <w:rPr>
          <w:rFonts w:ascii="Times New Roman" w:eastAsiaTheme="minorEastAsia" w:hAnsi="Times New Roman" w:cs="Times New Roman"/>
          <w:kern w:val="24"/>
          <w:sz w:val="24"/>
          <w:szCs w:val="24"/>
        </w:rPr>
        <w:tab/>
      </w:r>
    </w:p>
    <w:p w14:paraId="305BBBB0" w14:textId="7F7CD91F" w:rsidR="00A55AB2" w:rsidRPr="008D6416" w:rsidRDefault="00A55AB2" w:rsidP="00A55AB2">
      <w:pPr>
        <w:numPr>
          <w:ilvl w:val="0"/>
          <w:numId w:val="4"/>
        </w:numPr>
        <w:tabs>
          <w:tab w:val="num" w:pos="-258"/>
        </w:tabs>
        <w:spacing w:after="0" w:line="240" w:lineRule="auto"/>
        <w:ind w:left="360"/>
        <w:contextualSpacing/>
        <w:rPr>
          <w:rFonts w:ascii="Times New Roman" w:eastAsia="Times New Roman" w:hAnsi="Times New Roman" w:cs="Times New Roman"/>
          <w:sz w:val="24"/>
          <w:szCs w:val="24"/>
        </w:rPr>
      </w:pPr>
      <w:r w:rsidRPr="008D6416">
        <w:rPr>
          <w:rFonts w:ascii="Times New Roman" w:eastAsiaTheme="minorEastAsia" w:hAnsi="Times New Roman" w:cs="Times New Roman"/>
          <w:kern w:val="24"/>
          <w:sz w:val="24"/>
          <w:szCs w:val="24"/>
        </w:rPr>
        <w:t>Providing safe and reliable operation of its assets</w:t>
      </w:r>
      <w:r w:rsidR="00D81830" w:rsidRPr="008D6416">
        <w:rPr>
          <w:rFonts w:ascii="Times New Roman" w:eastAsiaTheme="minorEastAsia" w:hAnsi="Times New Roman" w:cs="Times New Roman"/>
          <w:kern w:val="24"/>
          <w:sz w:val="24"/>
          <w:szCs w:val="24"/>
        </w:rPr>
        <w:t>,</w:t>
      </w:r>
    </w:p>
    <w:p w14:paraId="4A3C0A21" w14:textId="0A446DBF" w:rsidR="00A55AB2" w:rsidRPr="008D6416" w:rsidRDefault="00A55AB2" w:rsidP="00A55AB2">
      <w:pPr>
        <w:numPr>
          <w:ilvl w:val="0"/>
          <w:numId w:val="4"/>
        </w:numPr>
        <w:tabs>
          <w:tab w:val="num" w:pos="-258"/>
        </w:tabs>
        <w:spacing w:after="0" w:line="240" w:lineRule="auto"/>
        <w:ind w:left="360"/>
        <w:contextualSpacing/>
        <w:rPr>
          <w:rFonts w:ascii="Times New Roman" w:eastAsia="Times New Roman" w:hAnsi="Times New Roman" w:cs="Times New Roman"/>
          <w:sz w:val="24"/>
          <w:szCs w:val="24"/>
        </w:rPr>
      </w:pPr>
      <w:r w:rsidRPr="008D6416">
        <w:rPr>
          <w:rFonts w:ascii="Times New Roman" w:eastAsiaTheme="minorEastAsia" w:hAnsi="Times New Roman" w:cs="Times New Roman"/>
          <w:kern w:val="24"/>
          <w:sz w:val="24"/>
          <w:szCs w:val="24"/>
        </w:rPr>
        <w:t>Offering flexible and diverse product offerings</w:t>
      </w:r>
      <w:r w:rsidR="00D81830" w:rsidRPr="008D6416">
        <w:rPr>
          <w:rFonts w:ascii="Times New Roman" w:eastAsiaTheme="minorEastAsia" w:hAnsi="Times New Roman" w:cs="Times New Roman"/>
          <w:kern w:val="24"/>
          <w:sz w:val="24"/>
          <w:szCs w:val="24"/>
        </w:rPr>
        <w:t>,</w:t>
      </w:r>
      <w:r w:rsidRPr="008D6416">
        <w:rPr>
          <w:rFonts w:ascii="Times New Roman" w:eastAsiaTheme="minorEastAsia" w:hAnsi="Times New Roman" w:cs="Times New Roman"/>
          <w:kern w:val="24"/>
          <w:sz w:val="24"/>
          <w:szCs w:val="24"/>
        </w:rPr>
        <w:t xml:space="preserve"> </w:t>
      </w:r>
    </w:p>
    <w:p w14:paraId="748564DC" w14:textId="783335E1" w:rsidR="00EA4BA2" w:rsidRPr="008D6416" w:rsidRDefault="00A55AB2" w:rsidP="00A55AB2">
      <w:pPr>
        <w:numPr>
          <w:ilvl w:val="0"/>
          <w:numId w:val="4"/>
        </w:numPr>
        <w:tabs>
          <w:tab w:val="num" w:pos="-258"/>
        </w:tabs>
        <w:spacing w:after="0" w:line="240" w:lineRule="auto"/>
        <w:ind w:left="360"/>
        <w:contextualSpacing/>
        <w:rPr>
          <w:rFonts w:ascii="Times New Roman" w:eastAsia="Times New Roman" w:hAnsi="Times New Roman" w:cs="Times New Roman"/>
          <w:sz w:val="24"/>
          <w:szCs w:val="24"/>
        </w:rPr>
      </w:pPr>
      <w:r w:rsidRPr="008D6416">
        <w:rPr>
          <w:rFonts w:ascii="Times New Roman" w:eastAsiaTheme="minorEastAsia" w:hAnsi="Times New Roman" w:cs="Times New Roman"/>
          <w:kern w:val="24"/>
          <w:sz w:val="24"/>
          <w:szCs w:val="24"/>
        </w:rPr>
        <w:t>Meeting contractual commitments to its customers</w:t>
      </w:r>
      <w:r w:rsidR="00D81830" w:rsidRPr="008D6416">
        <w:rPr>
          <w:rFonts w:ascii="Times New Roman" w:eastAsiaTheme="minorEastAsia" w:hAnsi="Times New Roman" w:cs="Times New Roman"/>
          <w:kern w:val="24"/>
          <w:sz w:val="24"/>
          <w:szCs w:val="24"/>
        </w:rPr>
        <w:t>, and</w:t>
      </w:r>
      <w:r w:rsidR="00EA4BA2" w:rsidRPr="008D6416">
        <w:rPr>
          <w:rFonts w:ascii="Times New Roman" w:eastAsiaTheme="minorEastAsia" w:hAnsi="Times New Roman" w:cs="Times New Roman"/>
          <w:kern w:val="24"/>
          <w:sz w:val="24"/>
          <w:szCs w:val="24"/>
        </w:rPr>
        <w:t xml:space="preserve"> </w:t>
      </w:r>
    </w:p>
    <w:p w14:paraId="7C5D80DB" w14:textId="21EAC438" w:rsidR="00A55AB2" w:rsidRPr="008D6416" w:rsidRDefault="00EA4BA2" w:rsidP="00A55AB2">
      <w:pPr>
        <w:numPr>
          <w:ilvl w:val="0"/>
          <w:numId w:val="4"/>
        </w:numPr>
        <w:tabs>
          <w:tab w:val="num" w:pos="-258"/>
        </w:tabs>
        <w:spacing w:after="0" w:line="240" w:lineRule="auto"/>
        <w:ind w:left="360"/>
        <w:contextualSpacing/>
        <w:rPr>
          <w:rFonts w:ascii="Times New Roman" w:eastAsia="Times New Roman" w:hAnsi="Times New Roman" w:cs="Times New Roman"/>
          <w:sz w:val="24"/>
          <w:szCs w:val="24"/>
        </w:rPr>
      </w:pPr>
      <w:r w:rsidRPr="008D6416">
        <w:rPr>
          <w:rFonts w:ascii="Times New Roman" w:eastAsiaTheme="minorEastAsia" w:hAnsi="Times New Roman" w:cs="Times New Roman"/>
          <w:kern w:val="24"/>
          <w:sz w:val="24"/>
          <w:szCs w:val="24"/>
        </w:rPr>
        <w:t xml:space="preserve">Expanding system assets to meet </w:t>
      </w:r>
      <w:r w:rsidR="0027727C" w:rsidRPr="008D6416">
        <w:rPr>
          <w:rFonts w:ascii="Times New Roman" w:eastAsiaTheme="minorEastAsia" w:hAnsi="Times New Roman" w:cs="Times New Roman"/>
          <w:kern w:val="24"/>
          <w:sz w:val="24"/>
          <w:szCs w:val="24"/>
        </w:rPr>
        <w:t xml:space="preserve">incremental </w:t>
      </w:r>
      <w:r w:rsidRPr="008D6416">
        <w:rPr>
          <w:rFonts w:ascii="Times New Roman" w:eastAsiaTheme="minorEastAsia" w:hAnsi="Times New Roman" w:cs="Times New Roman"/>
          <w:kern w:val="24"/>
          <w:sz w:val="24"/>
          <w:szCs w:val="24"/>
        </w:rPr>
        <w:t xml:space="preserve">contractual commitments </w:t>
      </w:r>
      <w:r w:rsidR="0027727C" w:rsidRPr="008D6416">
        <w:rPr>
          <w:rFonts w:ascii="Times New Roman" w:eastAsiaTheme="minorEastAsia" w:hAnsi="Times New Roman" w:cs="Times New Roman"/>
          <w:kern w:val="24"/>
          <w:sz w:val="24"/>
          <w:szCs w:val="24"/>
        </w:rPr>
        <w:t>for capacity subscribed in advance by firm shippers</w:t>
      </w:r>
      <w:r w:rsidR="001A2C2C" w:rsidRPr="008D6416">
        <w:rPr>
          <w:rFonts w:ascii="Times New Roman" w:eastAsiaTheme="minorEastAsia" w:hAnsi="Times New Roman" w:cs="Times New Roman"/>
          <w:kern w:val="24"/>
          <w:sz w:val="24"/>
          <w:szCs w:val="24"/>
        </w:rPr>
        <w:t>.</w:t>
      </w:r>
    </w:p>
    <w:p w14:paraId="7C001911" w14:textId="2ACE9EC2" w:rsidR="00A55AB2" w:rsidRPr="008D6416" w:rsidRDefault="00A55AB2" w:rsidP="00A55AB2">
      <w:pPr>
        <w:spacing w:after="0" w:line="240" w:lineRule="auto"/>
        <w:contextualSpacing/>
        <w:rPr>
          <w:rFonts w:ascii="Times New Roman" w:eastAsiaTheme="minorEastAsia" w:hAnsi="Times New Roman" w:cs="Times New Roman"/>
          <w:kern w:val="24"/>
          <w:sz w:val="24"/>
          <w:szCs w:val="24"/>
        </w:rPr>
      </w:pPr>
    </w:p>
    <w:p w14:paraId="023F32B5" w14:textId="72D775CD" w:rsidR="00A55AB2" w:rsidRPr="008D6416" w:rsidRDefault="00A55AB2" w:rsidP="00A55AB2">
      <w:pPr>
        <w:spacing w:after="0" w:line="240" w:lineRule="auto"/>
        <w:contextualSpacing/>
        <w:rPr>
          <w:rFonts w:ascii="Times New Roman" w:eastAsiaTheme="minorEastAsia" w:hAnsi="Times New Roman" w:cs="Times New Roman"/>
          <w:kern w:val="24"/>
          <w:sz w:val="24"/>
          <w:szCs w:val="24"/>
        </w:rPr>
      </w:pPr>
      <w:r w:rsidRPr="008D6416">
        <w:rPr>
          <w:rFonts w:ascii="Times New Roman" w:eastAsiaTheme="minorEastAsia" w:hAnsi="Times New Roman" w:cs="Times New Roman"/>
          <w:kern w:val="24"/>
          <w:sz w:val="24"/>
          <w:szCs w:val="24"/>
        </w:rPr>
        <w:t xml:space="preserve">Likewise, </w:t>
      </w:r>
      <w:r w:rsidR="00D81830" w:rsidRPr="008D6416">
        <w:rPr>
          <w:rFonts w:ascii="Times New Roman" w:eastAsiaTheme="minorEastAsia" w:hAnsi="Times New Roman" w:cs="Times New Roman"/>
          <w:kern w:val="24"/>
          <w:sz w:val="24"/>
          <w:szCs w:val="24"/>
        </w:rPr>
        <w:t xml:space="preserve">natural gas generators, like all natural gas customers, </w:t>
      </w:r>
      <w:r w:rsidR="00031366" w:rsidRPr="008D6416">
        <w:rPr>
          <w:rFonts w:ascii="Times New Roman" w:eastAsiaTheme="minorEastAsia" w:hAnsi="Times New Roman" w:cs="Times New Roman"/>
          <w:kern w:val="24"/>
          <w:sz w:val="24"/>
          <w:szCs w:val="24"/>
        </w:rPr>
        <w:t xml:space="preserve">are </w:t>
      </w:r>
      <w:r w:rsidRPr="008D6416">
        <w:rPr>
          <w:rFonts w:ascii="Times New Roman" w:eastAsiaTheme="minorEastAsia" w:hAnsi="Times New Roman" w:cs="Times New Roman"/>
          <w:kern w:val="24"/>
          <w:sz w:val="24"/>
          <w:szCs w:val="24"/>
        </w:rPr>
        <w:t>responsib</w:t>
      </w:r>
      <w:r w:rsidR="00031366" w:rsidRPr="008D6416">
        <w:rPr>
          <w:rFonts w:ascii="Times New Roman" w:eastAsiaTheme="minorEastAsia" w:hAnsi="Times New Roman" w:cs="Times New Roman"/>
          <w:kern w:val="24"/>
          <w:sz w:val="24"/>
          <w:szCs w:val="24"/>
        </w:rPr>
        <w:t>le for</w:t>
      </w:r>
      <w:r w:rsidRPr="008D6416">
        <w:rPr>
          <w:rFonts w:ascii="Times New Roman" w:eastAsiaTheme="minorEastAsia" w:hAnsi="Times New Roman" w:cs="Times New Roman"/>
          <w:kern w:val="24"/>
          <w:sz w:val="24"/>
          <w:szCs w:val="24"/>
        </w:rPr>
        <w:t>:</w:t>
      </w:r>
    </w:p>
    <w:p w14:paraId="19622964" w14:textId="77777777" w:rsidR="00A55AB2" w:rsidRPr="008D6416" w:rsidRDefault="00A55AB2" w:rsidP="00A55AB2">
      <w:pPr>
        <w:spacing w:after="0" w:line="240" w:lineRule="auto"/>
        <w:contextualSpacing/>
        <w:rPr>
          <w:rFonts w:ascii="Times New Roman" w:eastAsiaTheme="minorEastAsia" w:hAnsi="Times New Roman" w:cs="Times New Roman"/>
          <w:kern w:val="24"/>
          <w:sz w:val="24"/>
          <w:szCs w:val="24"/>
        </w:rPr>
      </w:pPr>
    </w:p>
    <w:p w14:paraId="2F3FAF40" w14:textId="62711D29" w:rsidR="00A55AB2" w:rsidRPr="008D6416" w:rsidRDefault="00A55AB2" w:rsidP="00A55AB2">
      <w:pPr>
        <w:pStyle w:val="ListParagraph"/>
        <w:numPr>
          <w:ilvl w:val="0"/>
          <w:numId w:val="8"/>
        </w:numPr>
        <w:contextualSpacing/>
        <w:rPr>
          <w:rFonts w:ascii="Times New Roman" w:eastAsia="Times New Roman" w:hAnsi="Times New Roman" w:cs="Times New Roman"/>
          <w:sz w:val="24"/>
          <w:szCs w:val="24"/>
        </w:rPr>
      </w:pPr>
      <w:r w:rsidRPr="008D6416">
        <w:rPr>
          <w:rFonts w:ascii="Times New Roman" w:eastAsiaTheme="minorEastAsia" w:hAnsi="Times New Roman" w:cs="Times New Roman"/>
          <w:kern w:val="24"/>
          <w:sz w:val="24"/>
          <w:szCs w:val="24"/>
        </w:rPr>
        <w:t>Assess</w:t>
      </w:r>
      <w:r w:rsidR="003068B3" w:rsidRPr="008D6416">
        <w:rPr>
          <w:rFonts w:ascii="Times New Roman" w:eastAsiaTheme="minorEastAsia" w:hAnsi="Times New Roman" w:cs="Times New Roman"/>
          <w:kern w:val="24"/>
          <w:sz w:val="24"/>
          <w:szCs w:val="24"/>
        </w:rPr>
        <w:t>ing</w:t>
      </w:r>
      <w:r w:rsidRPr="008D6416">
        <w:rPr>
          <w:rFonts w:ascii="Times New Roman" w:eastAsiaTheme="minorEastAsia" w:hAnsi="Times New Roman" w:cs="Times New Roman"/>
          <w:kern w:val="24"/>
          <w:sz w:val="24"/>
          <w:szCs w:val="24"/>
        </w:rPr>
        <w:t xml:space="preserve"> </w:t>
      </w:r>
      <w:r w:rsidR="00031366" w:rsidRPr="008D6416">
        <w:rPr>
          <w:rFonts w:ascii="Times New Roman" w:eastAsiaTheme="minorEastAsia" w:hAnsi="Times New Roman" w:cs="Times New Roman"/>
          <w:kern w:val="24"/>
          <w:sz w:val="24"/>
          <w:szCs w:val="24"/>
        </w:rPr>
        <w:t>their</w:t>
      </w:r>
      <w:r w:rsidRPr="008D6416">
        <w:rPr>
          <w:rFonts w:ascii="Times New Roman" w:eastAsiaTheme="minorEastAsia" w:hAnsi="Times New Roman" w:cs="Times New Roman"/>
          <w:kern w:val="24"/>
          <w:sz w:val="24"/>
          <w:szCs w:val="24"/>
        </w:rPr>
        <w:t xml:space="preserve"> own fuel needs and the level of reliability </w:t>
      </w:r>
      <w:r w:rsidR="00031366" w:rsidRPr="008D6416">
        <w:rPr>
          <w:rFonts w:ascii="Times New Roman" w:eastAsiaTheme="minorEastAsia" w:hAnsi="Times New Roman" w:cs="Times New Roman"/>
          <w:kern w:val="24"/>
          <w:sz w:val="24"/>
          <w:szCs w:val="24"/>
        </w:rPr>
        <w:t>they</w:t>
      </w:r>
      <w:r w:rsidRPr="008D6416">
        <w:rPr>
          <w:rFonts w:ascii="Times New Roman" w:eastAsiaTheme="minorEastAsia" w:hAnsi="Times New Roman" w:cs="Times New Roman"/>
          <w:kern w:val="24"/>
          <w:sz w:val="24"/>
          <w:szCs w:val="24"/>
        </w:rPr>
        <w:t xml:space="preserve"> require</w:t>
      </w:r>
      <w:r w:rsidR="00D81830" w:rsidRPr="008D6416">
        <w:rPr>
          <w:rFonts w:ascii="Times New Roman" w:eastAsiaTheme="minorEastAsia" w:hAnsi="Times New Roman" w:cs="Times New Roman"/>
          <w:kern w:val="24"/>
          <w:sz w:val="24"/>
          <w:szCs w:val="24"/>
        </w:rPr>
        <w:t xml:space="preserve"> and</w:t>
      </w:r>
    </w:p>
    <w:p w14:paraId="3A1428AF" w14:textId="3DF6B291" w:rsidR="003068B3" w:rsidRPr="008D6416" w:rsidRDefault="00A55AB2" w:rsidP="003068B3">
      <w:pPr>
        <w:pStyle w:val="ListParagraph"/>
        <w:numPr>
          <w:ilvl w:val="0"/>
          <w:numId w:val="8"/>
        </w:numPr>
        <w:contextualSpacing/>
        <w:rPr>
          <w:rFonts w:ascii="Times New Roman" w:eastAsia="Times New Roman" w:hAnsi="Times New Roman" w:cs="Times New Roman"/>
          <w:sz w:val="24"/>
          <w:szCs w:val="24"/>
        </w:rPr>
      </w:pPr>
      <w:r w:rsidRPr="008D6416">
        <w:rPr>
          <w:rFonts w:ascii="Times New Roman" w:eastAsiaTheme="minorEastAsia" w:hAnsi="Times New Roman" w:cs="Times New Roman"/>
          <w:kern w:val="24"/>
          <w:sz w:val="24"/>
          <w:szCs w:val="24"/>
        </w:rPr>
        <w:t>Ensur</w:t>
      </w:r>
      <w:r w:rsidR="003068B3" w:rsidRPr="008D6416">
        <w:rPr>
          <w:rFonts w:ascii="Times New Roman" w:eastAsiaTheme="minorEastAsia" w:hAnsi="Times New Roman" w:cs="Times New Roman"/>
          <w:kern w:val="24"/>
          <w:sz w:val="24"/>
          <w:szCs w:val="24"/>
        </w:rPr>
        <w:t>ing</w:t>
      </w:r>
      <w:r w:rsidRPr="008D6416">
        <w:rPr>
          <w:rFonts w:ascii="Times New Roman" w:eastAsiaTheme="minorEastAsia" w:hAnsi="Times New Roman" w:cs="Times New Roman"/>
          <w:kern w:val="24"/>
          <w:sz w:val="24"/>
          <w:szCs w:val="24"/>
        </w:rPr>
        <w:t xml:space="preserve"> those needs are </w:t>
      </w:r>
      <w:r w:rsidR="0027727C" w:rsidRPr="008D6416">
        <w:rPr>
          <w:rFonts w:ascii="Times New Roman" w:eastAsiaTheme="minorEastAsia" w:hAnsi="Times New Roman" w:cs="Times New Roman"/>
          <w:kern w:val="24"/>
          <w:sz w:val="24"/>
          <w:szCs w:val="24"/>
        </w:rPr>
        <w:t xml:space="preserve">adequately </w:t>
      </w:r>
      <w:r w:rsidRPr="008D6416">
        <w:rPr>
          <w:rFonts w:ascii="Times New Roman" w:eastAsiaTheme="minorEastAsia" w:hAnsi="Times New Roman" w:cs="Times New Roman"/>
          <w:kern w:val="24"/>
          <w:sz w:val="24"/>
          <w:szCs w:val="24"/>
        </w:rPr>
        <w:t>backed by contractual commitments and assets</w:t>
      </w:r>
      <w:r w:rsidR="001A2C2C" w:rsidRPr="008D6416">
        <w:rPr>
          <w:rFonts w:ascii="Times New Roman" w:eastAsiaTheme="minorEastAsia" w:hAnsi="Times New Roman" w:cs="Times New Roman"/>
          <w:kern w:val="24"/>
          <w:sz w:val="24"/>
          <w:szCs w:val="24"/>
        </w:rPr>
        <w:t>.</w:t>
      </w:r>
      <w:r w:rsidRPr="008D6416">
        <w:rPr>
          <w:rFonts w:ascii="Times New Roman" w:eastAsiaTheme="minorEastAsia" w:hAnsi="Times New Roman" w:cs="Times New Roman"/>
          <w:kern w:val="24"/>
          <w:sz w:val="24"/>
          <w:szCs w:val="24"/>
        </w:rPr>
        <w:t xml:space="preserve"> </w:t>
      </w:r>
    </w:p>
    <w:p w14:paraId="7AB4FA9A" w14:textId="5204CE46" w:rsidR="00A55AB2" w:rsidRPr="008D6416" w:rsidRDefault="00A55AB2" w:rsidP="00A55AB2">
      <w:pPr>
        <w:contextualSpacing/>
        <w:rPr>
          <w:rFonts w:ascii="Times New Roman" w:eastAsia="Times New Roman" w:hAnsi="Times New Roman" w:cs="Times New Roman"/>
          <w:sz w:val="24"/>
          <w:szCs w:val="24"/>
        </w:rPr>
      </w:pPr>
    </w:p>
    <w:p w14:paraId="1D6A2DDF" w14:textId="727070EF" w:rsidR="00A55AB2" w:rsidRPr="003A0B63" w:rsidRDefault="00A55AB2" w:rsidP="00A55AB2">
      <w:pPr>
        <w:contextualSpacing/>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While natural gas industry system operators can encourage</w:t>
      </w:r>
      <w:r w:rsidR="0027727C" w:rsidRPr="003A0B63">
        <w:rPr>
          <w:rFonts w:ascii="Times New Roman" w:eastAsia="Times New Roman" w:hAnsi="Times New Roman" w:cs="Times New Roman"/>
          <w:sz w:val="24"/>
          <w:szCs w:val="24"/>
        </w:rPr>
        <w:t xml:space="preserve"> </w:t>
      </w:r>
      <w:r w:rsidR="00031366" w:rsidRPr="003A0B63">
        <w:rPr>
          <w:rFonts w:ascii="Times New Roman" w:eastAsia="Times New Roman" w:hAnsi="Times New Roman" w:cs="Times New Roman"/>
          <w:sz w:val="24"/>
          <w:szCs w:val="24"/>
        </w:rPr>
        <w:t>their</w:t>
      </w:r>
      <w:r w:rsidRPr="003A0B63">
        <w:rPr>
          <w:rFonts w:ascii="Times New Roman" w:eastAsia="Times New Roman" w:hAnsi="Times New Roman" w:cs="Times New Roman"/>
          <w:sz w:val="24"/>
          <w:szCs w:val="24"/>
        </w:rPr>
        <w:t xml:space="preserve"> customers to select product offerings that better match their needs, </w:t>
      </w:r>
      <w:r w:rsidR="00EA4BA2" w:rsidRPr="003A0B63">
        <w:rPr>
          <w:rFonts w:ascii="Times New Roman" w:eastAsia="Times New Roman" w:hAnsi="Times New Roman" w:cs="Times New Roman"/>
          <w:sz w:val="24"/>
          <w:szCs w:val="24"/>
        </w:rPr>
        <w:t xml:space="preserve">it is up to </w:t>
      </w:r>
      <w:r w:rsidR="00D81830" w:rsidRPr="003A0B63">
        <w:rPr>
          <w:rFonts w:ascii="Times New Roman" w:eastAsia="Times New Roman" w:hAnsi="Times New Roman" w:cs="Times New Roman"/>
          <w:sz w:val="24"/>
          <w:szCs w:val="24"/>
        </w:rPr>
        <w:t xml:space="preserve">the individual </w:t>
      </w:r>
      <w:r w:rsidR="00EA4BA2" w:rsidRPr="003A0B63">
        <w:rPr>
          <w:rFonts w:ascii="Times New Roman" w:eastAsia="Times New Roman" w:hAnsi="Times New Roman" w:cs="Times New Roman"/>
          <w:sz w:val="24"/>
          <w:szCs w:val="24"/>
        </w:rPr>
        <w:t>customer</w:t>
      </w:r>
      <w:r w:rsidR="00D81830" w:rsidRPr="003A0B63">
        <w:rPr>
          <w:rFonts w:ascii="Times New Roman" w:eastAsia="Times New Roman" w:hAnsi="Times New Roman" w:cs="Times New Roman"/>
          <w:sz w:val="24"/>
          <w:szCs w:val="24"/>
        </w:rPr>
        <w:t xml:space="preserve"> </w:t>
      </w:r>
      <w:r w:rsidR="00EA4BA2" w:rsidRPr="003A0B63">
        <w:rPr>
          <w:rFonts w:ascii="Times New Roman" w:eastAsia="Times New Roman" w:hAnsi="Times New Roman" w:cs="Times New Roman"/>
          <w:sz w:val="24"/>
          <w:szCs w:val="24"/>
        </w:rPr>
        <w:t xml:space="preserve">to ultimately select and commit to services that they desire with the understanding that the natural gas operators will be planning their services around meeting those commitments </w:t>
      </w:r>
      <w:r w:rsidR="0027727C" w:rsidRPr="003A0B63">
        <w:rPr>
          <w:rFonts w:ascii="Times New Roman" w:eastAsia="Times New Roman" w:hAnsi="Times New Roman" w:cs="Times New Roman"/>
          <w:sz w:val="24"/>
          <w:szCs w:val="24"/>
        </w:rPr>
        <w:t>as specified in</w:t>
      </w:r>
      <w:r w:rsidR="00EA4BA2" w:rsidRPr="003A0B63">
        <w:rPr>
          <w:rFonts w:ascii="Times New Roman" w:eastAsia="Times New Roman" w:hAnsi="Times New Roman" w:cs="Times New Roman"/>
          <w:sz w:val="24"/>
          <w:szCs w:val="24"/>
        </w:rPr>
        <w:t xml:space="preserve"> the contract and pipeline tariffs</w:t>
      </w:r>
      <w:r w:rsidR="00AA62CF" w:rsidRPr="003A0B63">
        <w:rPr>
          <w:rFonts w:ascii="Times New Roman" w:eastAsia="Times New Roman" w:hAnsi="Times New Roman" w:cs="Times New Roman"/>
          <w:sz w:val="24"/>
          <w:szCs w:val="24"/>
        </w:rPr>
        <w:t xml:space="preserve">. </w:t>
      </w:r>
      <w:r w:rsidR="00EA4BA2" w:rsidRPr="003A0B63">
        <w:rPr>
          <w:rFonts w:ascii="Times New Roman" w:eastAsia="Times New Roman" w:hAnsi="Times New Roman" w:cs="Times New Roman"/>
          <w:sz w:val="24"/>
          <w:szCs w:val="24"/>
        </w:rPr>
        <w:t xml:space="preserve">Thus, </w:t>
      </w:r>
      <w:r w:rsidR="00D81830" w:rsidRPr="003A0B63">
        <w:rPr>
          <w:rFonts w:ascii="Times New Roman" w:eastAsia="Times New Roman" w:hAnsi="Times New Roman" w:cs="Times New Roman"/>
          <w:sz w:val="24"/>
          <w:szCs w:val="24"/>
        </w:rPr>
        <w:t>it is up to</w:t>
      </w:r>
      <w:r w:rsidR="00EA4BA2" w:rsidRPr="003A0B63">
        <w:rPr>
          <w:rFonts w:ascii="Times New Roman" w:eastAsia="Times New Roman" w:hAnsi="Times New Roman" w:cs="Times New Roman"/>
          <w:sz w:val="24"/>
          <w:szCs w:val="24"/>
        </w:rPr>
        <w:t xml:space="preserve"> the customer </w:t>
      </w:r>
      <w:r w:rsidR="00D81830" w:rsidRPr="003A0B63">
        <w:rPr>
          <w:rFonts w:ascii="Times New Roman" w:eastAsia="Times New Roman" w:hAnsi="Times New Roman" w:cs="Times New Roman"/>
          <w:sz w:val="24"/>
          <w:szCs w:val="24"/>
        </w:rPr>
        <w:t xml:space="preserve">to </w:t>
      </w:r>
      <w:r w:rsidR="00EA4BA2" w:rsidRPr="003A0B63">
        <w:rPr>
          <w:rFonts w:ascii="Times New Roman" w:eastAsia="Times New Roman" w:hAnsi="Times New Roman" w:cs="Times New Roman"/>
          <w:sz w:val="24"/>
          <w:szCs w:val="24"/>
        </w:rPr>
        <w:t>invest in their own reliability.</w:t>
      </w:r>
    </w:p>
    <w:p w14:paraId="2EEB9838" w14:textId="1F3B700A" w:rsidR="00105DAC" w:rsidRPr="003A0B63" w:rsidRDefault="00105DAC" w:rsidP="00A55AB2">
      <w:pPr>
        <w:contextualSpacing/>
        <w:rPr>
          <w:rFonts w:ascii="Times New Roman" w:eastAsia="Times New Roman" w:hAnsi="Times New Roman" w:cs="Times New Roman"/>
          <w:sz w:val="24"/>
          <w:szCs w:val="24"/>
        </w:rPr>
      </w:pPr>
    </w:p>
    <w:p w14:paraId="4646055A" w14:textId="07527995" w:rsidR="00105DAC" w:rsidRPr="003A0B63" w:rsidRDefault="00105DAC" w:rsidP="00A55AB2">
      <w:pPr>
        <w:contextualSpacing/>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 xml:space="preserve">Similarly, while we understand that there are complexities inherent in organized markets that create various obstacles that make it difficult for gas generators to enter into contractual commitments for the fuel </w:t>
      </w:r>
      <w:r w:rsidR="0027727C" w:rsidRPr="003A0B63">
        <w:rPr>
          <w:rFonts w:ascii="Times New Roman" w:eastAsia="Times New Roman" w:hAnsi="Times New Roman" w:cs="Times New Roman"/>
          <w:sz w:val="24"/>
          <w:szCs w:val="24"/>
        </w:rPr>
        <w:t>that is essential to run their</w:t>
      </w:r>
      <w:r w:rsidRPr="003A0B63">
        <w:rPr>
          <w:rFonts w:ascii="Times New Roman" w:eastAsia="Times New Roman" w:hAnsi="Times New Roman" w:cs="Times New Roman"/>
          <w:sz w:val="24"/>
          <w:szCs w:val="24"/>
        </w:rPr>
        <w:t xml:space="preserve"> natural gas units, another industry cannot be expected to take actions or provide special entitlements without payment</w:t>
      </w:r>
      <w:r w:rsidR="00D81830" w:rsidRPr="003A0B63">
        <w:rPr>
          <w:rFonts w:ascii="Times New Roman" w:eastAsia="Times New Roman" w:hAnsi="Times New Roman" w:cs="Times New Roman"/>
          <w:sz w:val="24"/>
          <w:szCs w:val="24"/>
        </w:rPr>
        <w:t>s or contractual commitments in place</w:t>
      </w:r>
      <w:r w:rsidR="0091747C">
        <w:rPr>
          <w:rFonts w:ascii="Times New Roman" w:eastAsia="Times New Roman" w:hAnsi="Times New Roman" w:cs="Times New Roman"/>
          <w:sz w:val="24"/>
          <w:szCs w:val="24"/>
        </w:rPr>
        <w:t xml:space="preserve"> consistent with its own operational capabilities and risk tolerance</w:t>
      </w:r>
      <w:r w:rsidRPr="003A0B63">
        <w:rPr>
          <w:rFonts w:ascii="Times New Roman" w:eastAsia="Times New Roman" w:hAnsi="Times New Roman" w:cs="Times New Roman"/>
          <w:sz w:val="24"/>
          <w:szCs w:val="24"/>
        </w:rPr>
        <w:t xml:space="preserve">.  </w:t>
      </w:r>
      <w:r w:rsidR="007D73E4" w:rsidRPr="003A0B63">
        <w:rPr>
          <w:rFonts w:ascii="Times New Roman" w:eastAsia="Times New Roman" w:hAnsi="Times New Roman" w:cs="Times New Roman"/>
          <w:sz w:val="24"/>
          <w:szCs w:val="24"/>
        </w:rPr>
        <w:t>As with any type of business, the choice of what and when to purchase is left to the consumer</w:t>
      </w:r>
      <w:r w:rsidR="00AA62CF" w:rsidRPr="003A0B63">
        <w:rPr>
          <w:rFonts w:ascii="Times New Roman" w:eastAsia="Times New Roman" w:hAnsi="Times New Roman" w:cs="Times New Roman"/>
          <w:sz w:val="24"/>
          <w:szCs w:val="24"/>
        </w:rPr>
        <w:t xml:space="preserve">. </w:t>
      </w:r>
    </w:p>
    <w:p w14:paraId="5BDCBDCC" w14:textId="3E6A1B65" w:rsidR="00105DAC" w:rsidRPr="003A0B63" w:rsidRDefault="00105DAC" w:rsidP="00A55AB2">
      <w:pPr>
        <w:contextualSpacing/>
        <w:rPr>
          <w:rFonts w:ascii="Times New Roman" w:eastAsia="Times New Roman" w:hAnsi="Times New Roman" w:cs="Times New Roman"/>
          <w:sz w:val="24"/>
          <w:szCs w:val="24"/>
        </w:rPr>
      </w:pPr>
    </w:p>
    <w:p w14:paraId="1E225B90" w14:textId="5827E24B" w:rsidR="003068B3" w:rsidRPr="003A0B63" w:rsidRDefault="00E5732E" w:rsidP="00A55AB2">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these responsibilities may appear </w:t>
      </w:r>
      <w:r w:rsidR="00105DAC" w:rsidRPr="003A0B63">
        <w:rPr>
          <w:rFonts w:ascii="Times New Roman" w:eastAsia="Times New Roman" w:hAnsi="Times New Roman" w:cs="Times New Roman"/>
          <w:sz w:val="24"/>
          <w:szCs w:val="24"/>
        </w:rPr>
        <w:t>rather obvious</w:t>
      </w:r>
      <w:r>
        <w:rPr>
          <w:rFonts w:ascii="Times New Roman" w:eastAsia="Times New Roman" w:hAnsi="Times New Roman" w:cs="Times New Roman"/>
          <w:sz w:val="24"/>
          <w:szCs w:val="24"/>
        </w:rPr>
        <w:t>, a number</w:t>
      </w:r>
      <w:r w:rsidR="00105DAC" w:rsidRPr="003A0B63">
        <w:rPr>
          <w:rFonts w:ascii="Times New Roman" w:eastAsia="Times New Roman" w:hAnsi="Times New Roman" w:cs="Times New Roman"/>
          <w:sz w:val="24"/>
          <w:szCs w:val="24"/>
        </w:rPr>
        <w:t xml:space="preserve"> of the </w:t>
      </w:r>
      <w:r w:rsidR="003068B3" w:rsidRPr="003A0B63">
        <w:rPr>
          <w:rFonts w:ascii="Times New Roman" w:eastAsia="Times New Roman" w:hAnsi="Times New Roman" w:cs="Times New Roman"/>
          <w:sz w:val="24"/>
          <w:szCs w:val="24"/>
        </w:rPr>
        <w:t xml:space="preserve">comments and </w:t>
      </w:r>
      <w:r w:rsidR="00105DAC" w:rsidRPr="003A0B63">
        <w:rPr>
          <w:rFonts w:ascii="Times New Roman" w:eastAsia="Times New Roman" w:hAnsi="Times New Roman" w:cs="Times New Roman"/>
          <w:sz w:val="24"/>
          <w:szCs w:val="24"/>
        </w:rPr>
        <w:t xml:space="preserve">proposals </w:t>
      </w:r>
      <w:r w:rsidR="003068B3" w:rsidRPr="003A0B63">
        <w:rPr>
          <w:rFonts w:ascii="Times New Roman" w:eastAsia="Times New Roman" w:hAnsi="Times New Roman" w:cs="Times New Roman"/>
          <w:sz w:val="24"/>
          <w:szCs w:val="24"/>
        </w:rPr>
        <w:t>suggested</w:t>
      </w:r>
      <w:r w:rsidR="00105DAC" w:rsidRPr="003A0B63">
        <w:rPr>
          <w:rFonts w:ascii="Times New Roman" w:eastAsia="Times New Roman" w:hAnsi="Times New Roman" w:cs="Times New Roman"/>
          <w:sz w:val="24"/>
          <w:szCs w:val="24"/>
        </w:rPr>
        <w:t xml:space="preserve"> in this forum appear to be looking for the </w:t>
      </w:r>
      <w:r w:rsidR="007D73E4" w:rsidRPr="003A0B63">
        <w:rPr>
          <w:rFonts w:ascii="Times New Roman" w:eastAsia="Times New Roman" w:hAnsi="Times New Roman" w:cs="Times New Roman"/>
          <w:sz w:val="24"/>
          <w:szCs w:val="24"/>
        </w:rPr>
        <w:t xml:space="preserve">natural gas system operators to </w:t>
      </w:r>
      <w:r w:rsidR="00767558">
        <w:rPr>
          <w:rFonts w:ascii="Times New Roman" w:eastAsia="Times New Roman" w:hAnsi="Times New Roman" w:cs="Times New Roman"/>
          <w:sz w:val="24"/>
          <w:szCs w:val="24"/>
        </w:rPr>
        <w:t xml:space="preserve">take on what is the responsibility of the customer in order to accommodate a generator’s special circumstances that result from </w:t>
      </w:r>
      <w:r w:rsidR="007D73E4" w:rsidRPr="003A0B63">
        <w:rPr>
          <w:rFonts w:ascii="Times New Roman" w:eastAsia="Times New Roman" w:hAnsi="Times New Roman" w:cs="Times New Roman"/>
          <w:sz w:val="24"/>
          <w:szCs w:val="24"/>
        </w:rPr>
        <w:t>power market uncertainties and their inability to pay for services</w:t>
      </w:r>
      <w:r w:rsidR="00767558">
        <w:rPr>
          <w:rFonts w:ascii="Times New Roman" w:eastAsia="Times New Roman" w:hAnsi="Times New Roman" w:cs="Times New Roman"/>
          <w:sz w:val="24"/>
          <w:szCs w:val="24"/>
        </w:rPr>
        <w:t xml:space="preserve"> in organized markets</w:t>
      </w:r>
      <w:r w:rsidR="00AA62CF" w:rsidRPr="003A0B63">
        <w:rPr>
          <w:rFonts w:ascii="Times New Roman" w:eastAsia="Times New Roman" w:hAnsi="Times New Roman" w:cs="Times New Roman"/>
          <w:sz w:val="24"/>
          <w:szCs w:val="24"/>
        </w:rPr>
        <w:t>.</w:t>
      </w:r>
      <w:r w:rsidR="00AA62CF">
        <w:rPr>
          <w:rFonts w:ascii="Times New Roman" w:eastAsia="Times New Roman" w:hAnsi="Times New Roman" w:cs="Times New Roman"/>
          <w:sz w:val="24"/>
          <w:szCs w:val="24"/>
        </w:rPr>
        <w:t xml:space="preserve"> </w:t>
      </w:r>
      <w:r w:rsidR="003068B3" w:rsidRPr="003A0B63">
        <w:rPr>
          <w:rFonts w:ascii="Times New Roman" w:eastAsia="Times New Roman" w:hAnsi="Times New Roman" w:cs="Times New Roman"/>
          <w:sz w:val="24"/>
          <w:szCs w:val="24"/>
        </w:rPr>
        <w:t>For example:</w:t>
      </w:r>
    </w:p>
    <w:p w14:paraId="27D248F4" w14:textId="5F2E309B" w:rsidR="003068B3" w:rsidRPr="003A0B63" w:rsidRDefault="003068B3" w:rsidP="003068B3">
      <w:pPr>
        <w:pStyle w:val="ListParagraph"/>
        <w:numPr>
          <w:ilvl w:val="0"/>
          <w:numId w:val="9"/>
        </w:numPr>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 xml:space="preserve">Signing long-term contracts is not a “good fit” for generators because they </w:t>
      </w:r>
      <w:r w:rsidR="00AA62CF" w:rsidRPr="003A0B63">
        <w:rPr>
          <w:rFonts w:ascii="Times New Roman" w:eastAsia="Times New Roman" w:hAnsi="Times New Roman" w:cs="Times New Roman"/>
          <w:sz w:val="24"/>
          <w:szCs w:val="24"/>
        </w:rPr>
        <w:t>do not</w:t>
      </w:r>
      <w:r w:rsidRPr="003A0B63">
        <w:rPr>
          <w:rFonts w:ascii="Times New Roman" w:eastAsia="Times New Roman" w:hAnsi="Times New Roman" w:cs="Times New Roman"/>
          <w:sz w:val="24"/>
          <w:szCs w:val="24"/>
        </w:rPr>
        <w:t xml:space="preserve"> know when they will be dispatched</w:t>
      </w:r>
      <w:r w:rsidR="00AA62CF" w:rsidRPr="003A0B63">
        <w:rPr>
          <w:rFonts w:ascii="Times New Roman" w:eastAsia="Times New Roman" w:hAnsi="Times New Roman" w:cs="Times New Roman"/>
          <w:sz w:val="24"/>
          <w:szCs w:val="24"/>
        </w:rPr>
        <w:t xml:space="preserve">. </w:t>
      </w:r>
    </w:p>
    <w:p w14:paraId="2A51479A" w14:textId="4C5C7690" w:rsidR="00124873" w:rsidRPr="003A0B63" w:rsidRDefault="003068B3" w:rsidP="00F15DCD">
      <w:pPr>
        <w:pStyle w:val="ListParagraph"/>
        <w:numPr>
          <w:ilvl w:val="0"/>
          <w:numId w:val="9"/>
        </w:numPr>
        <w:contextualSpacing/>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Expectations that more gas infrastructure will be built without customer commitments that provide</w:t>
      </w:r>
      <w:r w:rsidR="00B82C8F" w:rsidRPr="003A0B63">
        <w:rPr>
          <w:rFonts w:ascii="Times New Roman" w:eastAsia="Times New Roman" w:hAnsi="Times New Roman" w:cs="Times New Roman"/>
          <w:sz w:val="24"/>
          <w:szCs w:val="24"/>
        </w:rPr>
        <w:t>s: (1)</w:t>
      </w:r>
      <w:r w:rsidRPr="003A0B63">
        <w:rPr>
          <w:rFonts w:ascii="Times New Roman" w:eastAsia="Times New Roman" w:hAnsi="Times New Roman" w:cs="Times New Roman"/>
          <w:sz w:val="24"/>
          <w:szCs w:val="24"/>
        </w:rPr>
        <w:t xml:space="preserve"> th</w:t>
      </w:r>
      <w:r w:rsidR="00261161" w:rsidRPr="003A0B63">
        <w:rPr>
          <w:rFonts w:ascii="Times New Roman" w:eastAsia="Times New Roman" w:hAnsi="Times New Roman" w:cs="Times New Roman"/>
          <w:sz w:val="24"/>
          <w:szCs w:val="24"/>
        </w:rPr>
        <w:t xml:space="preserve">e financial viability </w:t>
      </w:r>
      <w:r w:rsidR="00B82C8F" w:rsidRPr="003A0B63">
        <w:rPr>
          <w:rFonts w:ascii="Times New Roman" w:eastAsia="Times New Roman" w:hAnsi="Times New Roman" w:cs="Times New Roman"/>
          <w:sz w:val="24"/>
          <w:szCs w:val="24"/>
        </w:rPr>
        <w:t xml:space="preserve">for </w:t>
      </w:r>
      <w:r w:rsidR="00261161" w:rsidRPr="003A0B63">
        <w:rPr>
          <w:rFonts w:ascii="Times New Roman" w:eastAsia="Times New Roman" w:hAnsi="Times New Roman" w:cs="Times New Roman"/>
          <w:sz w:val="24"/>
          <w:szCs w:val="24"/>
        </w:rPr>
        <w:t>the project</w:t>
      </w:r>
      <w:r w:rsidR="00B82C8F" w:rsidRPr="003A0B63">
        <w:rPr>
          <w:rFonts w:ascii="Times New Roman" w:eastAsia="Times New Roman" w:hAnsi="Times New Roman" w:cs="Times New Roman"/>
          <w:sz w:val="24"/>
          <w:szCs w:val="24"/>
        </w:rPr>
        <w:t xml:space="preserve">, (2) the </w:t>
      </w:r>
      <w:r w:rsidR="000E4B2B" w:rsidRPr="003A0B63">
        <w:rPr>
          <w:rFonts w:ascii="Times New Roman" w:eastAsia="Times New Roman" w:hAnsi="Times New Roman" w:cs="Times New Roman"/>
          <w:sz w:val="24"/>
          <w:szCs w:val="24"/>
        </w:rPr>
        <w:t xml:space="preserve">project developer </w:t>
      </w:r>
      <w:r w:rsidR="00261161" w:rsidRPr="003A0B63">
        <w:rPr>
          <w:rFonts w:ascii="Times New Roman" w:eastAsia="Times New Roman" w:hAnsi="Times New Roman" w:cs="Times New Roman"/>
          <w:sz w:val="24"/>
          <w:szCs w:val="24"/>
        </w:rPr>
        <w:t>the ability to secure financing</w:t>
      </w:r>
      <w:r w:rsidR="00B82C8F" w:rsidRPr="003A0B63">
        <w:rPr>
          <w:rFonts w:ascii="Times New Roman" w:eastAsia="Times New Roman" w:hAnsi="Times New Roman" w:cs="Times New Roman"/>
          <w:sz w:val="24"/>
          <w:szCs w:val="24"/>
        </w:rPr>
        <w:t xml:space="preserve">, and (3) </w:t>
      </w:r>
      <w:r w:rsidR="00BF7AB5" w:rsidRPr="003A0B63">
        <w:rPr>
          <w:rFonts w:ascii="Times New Roman" w:eastAsia="Times New Roman" w:hAnsi="Times New Roman" w:cs="Times New Roman"/>
          <w:sz w:val="24"/>
          <w:szCs w:val="24"/>
        </w:rPr>
        <w:t>supporting a strong “needs” showing to FERC</w:t>
      </w:r>
      <w:r w:rsidR="00AA62CF" w:rsidRPr="003A0B63">
        <w:rPr>
          <w:rFonts w:ascii="Times New Roman" w:eastAsia="Times New Roman" w:hAnsi="Times New Roman" w:cs="Times New Roman"/>
          <w:sz w:val="24"/>
          <w:szCs w:val="24"/>
        </w:rPr>
        <w:t xml:space="preserve">. </w:t>
      </w:r>
    </w:p>
    <w:p w14:paraId="525B16BB" w14:textId="53E18E60" w:rsidR="00222AA5" w:rsidRPr="003A0B63" w:rsidRDefault="0027175F" w:rsidP="00222AA5">
      <w:pPr>
        <w:pStyle w:val="ListParagraph"/>
        <w:numPr>
          <w:ilvl w:val="0"/>
          <w:numId w:val="9"/>
        </w:numPr>
        <w:contextualSpacing/>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Creating a “premium capacity reservation product” to accommodate daily peak for those with unanticipated demand, which is available today if there is sufficient investment to pay the costs of the investment required</w:t>
      </w:r>
      <w:r w:rsidR="00AA62CF" w:rsidRPr="003A0B63">
        <w:rPr>
          <w:rFonts w:ascii="Times New Roman" w:eastAsia="Times New Roman" w:hAnsi="Times New Roman" w:cs="Times New Roman"/>
          <w:sz w:val="24"/>
          <w:szCs w:val="24"/>
        </w:rPr>
        <w:t xml:space="preserve">. </w:t>
      </w:r>
    </w:p>
    <w:p w14:paraId="15711DB9" w14:textId="1D0F6CF9" w:rsidR="0027175F" w:rsidRPr="003A0B63" w:rsidRDefault="00222AA5" w:rsidP="00222AA5">
      <w:pPr>
        <w:pStyle w:val="ListParagraph"/>
        <w:numPr>
          <w:ilvl w:val="0"/>
          <w:numId w:val="9"/>
        </w:numPr>
        <w:contextualSpacing/>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 xml:space="preserve">Looking for </w:t>
      </w:r>
      <w:r w:rsidR="0027175F" w:rsidRPr="003A0B63">
        <w:rPr>
          <w:rFonts w:ascii="Times New Roman" w:eastAsia="Times New Roman" w:hAnsi="Times New Roman" w:cs="Times New Roman"/>
          <w:sz w:val="24"/>
          <w:szCs w:val="24"/>
        </w:rPr>
        <w:t xml:space="preserve">ways to </w:t>
      </w:r>
      <w:r w:rsidRPr="003A0B63">
        <w:rPr>
          <w:rFonts w:ascii="Times New Roman" w:eastAsia="Times New Roman" w:hAnsi="Times New Roman" w:cs="Times New Roman"/>
          <w:sz w:val="24"/>
          <w:szCs w:val="24"/>
        </w:rPr>
        <w:t xml:space="preserve">better manage risk associated with just-in-time procurement practices </w:t>
      </w:r>
      <w:r w:rsidR="0027175F" w:rsidRPr="003A0B63">
        <w:rPr>
          <w:rFonts w:ascii="Times New Roman" w:eastAsia="Times New Roman" w:hAnsi="Times New Roman" w:cs="Times New Roman"/>
          <w:sz w:val="24"/>
          <w:szCs w:val="24"/>
        </w:rPr>
        <w:t xml:space="preserve">when advance </w:t>
      </w:r>
      <w:r w:rsidRPr="003A0B63">
        <w:rPr>
          <w:rFonts w:ascii="Times New Roman" w:eastAsia="Times New Roman" w:hAnsi="Times New Roman" w:cs="Times New Roman"/>
          <w:sz w:val="24"/>
          <w:szCs w:val="24"/>
        </w:rPr>
        <w:t>arrangements are not in place by:</w:t>
      </w:r>
      <w:r w:rsidR="0027175F" w:rsidRPr="003A0B63">
        <w:rPr>
          <w:rFonts w:ascii="Times New Roman" w:eastAsia="Times New Roman" w:hAnsi="Times New Roman" w:cs="Times New Roman"/>
          <w:sz w:val="24"/>
          <w:szCs w:val="24"/>
        </w:rPr>
        <w:t xml:space="preserve">  </w:t>
      </w:r>
    </w:p>
    <w:p w14:paraId="11F1C7D4" w14:textId="0BBC846F" w:rsidR="00222AA5" w:rsidRPr="003A0B63" w:rsidRDefault="00222AA5" w:rsidP="00222AA5">
      <w:pPr>
        <w:pStyle w:val="ListParagraph"/>
        <w:numPr>
          <w:ilvl w:val="0"/>
          <w:numId w:val="3"/>
        </w:numPr>
        <w:contextualSpacing/>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 xml:space="preserve">Proposing that pipelines include reserve capacity to account for contingencies </w:t>
      </w:r>
      <w:r w:rsidR="00BF7AB5" w:rsidRPr="003A0B63">
        <w:rPr>
          <w:rFonts w:ascii="Times New Roman" w:eastAsia="Times New Roman" w:hAnsi="Times New Roman" w:cs="Times New Roman"/>
          <w:sz w:val="24"/>
          <w:szCs w:val="24"/>
        </w:rPr>
        <w:t xml:space="preserve">in </w:t>
      </w:r>
      <w:r w:rsidR="007D73E4" w:rsidRPr="003A0B63">
        <w:rPr>
          <w:rFonts w:ascii="Times New Roman" w:eastAsia="Times New Roman" w:hAnsi="Times New Roman" w:cs="Times New Roman"/>
          <w:sz w:val="24"/>
          <w:szCs w:val="24"/>
        </w:rPr>
        <w:t>lieu of</w:t>
      </w:r>
      <w:r w:rsidRPr="003A0B63">
        <w:rPr>
          <w:rFonts w:ascii="Times New Roman" w:eastAsia="Times New Roman" w:hAnsi="Times New Roman" w:cs="Times New Roman"/>
          <w:sz w:val="24"/>
          <w:szCs w:val="24"/>
        </w:rPr>
        <w:t xml:space="preserve"> customers investing in their own contingency planning. </w:t>
      </w:r>
    </w:p>
    <w:p w14:paraId="03E160CD" w14:textId="535682FA" w:rsidR="00222AA5" w:rsidRPr="003A0B63" w:rsidRDefault="00222AA5" w:rsidP="00222AA5">
      <w:pPr>
        <w:pStyle w:val="ListParagraph"/>
        <w:numPr>
          <w:ilvl w:val="0"/>
          <w:numId w:val="3"/>
        </w:numPr>
        <w:contextualSpacing/>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 xml:space="preserve">Reprioritizing gas supplies and pipeline capacity during emergencies or </w:t>
      </w:r>
      <w:r w:rsidR="0027727C" w:rsidRPr="003A0B63">
        <w:rPr>
          <w:rFonts w:ascii="Times New Roman" w:eastAsia="Times New Roman" w:hAnsi="Times New Roman" w:cs="Times New Roman"/>
          <w:sz w:val="24"/>
          <w:szCs w:val="24"/>
        </w:rPr>
        <w:t>considering confiscation</w:t>
      </w:r>
      <w:r w:rsidRPr="003A0B63">
        <w:rPr>
          <w:rFonts w:ascii="Times New Roman" w:eastAsia="Times New Roman" w:hAnsi="Times New Roman" w:cs="Times New Roman"/>
          <w:sz w:val="24"/>
          <w:szCs w:val="24"/>
        </w:rPr>
        <w:t xml:space="preserve"> of capacity </w:t>
      </w:r>
      <w:r w:rsidR="0027727C" w:rsidRPr="003A0B63">
        <w:rPr>
          <w:rFonts w:ascii="Times New Roman" w:eastAsia="Times New Roman" w:hAnsi="Times New Roman" w:cs="Times New Roman"/>
          <w:sz w:val="24"/>
          <w:szCs w:val="24"/>
        </w:rPr>
        <w:t xml:space="preserve">from </w:t>
      </w:r>
      <w:r w:rsidRPr="003A0B63">
        <w:rPr>
          <w:rFonts w:ascii="Times New Roman" w:eastAsia="Times New Roman" w:hAnsi="Times New Roman" w:cs="Times New Roman"/>
          <w:sz w:val="24"/>
          <w:szCs w:val="24"/>
        </w:rPr>
        <w:t>other shippers with reserved capacity despite the fact that the availability of secondary points will be significantly restricted on any peak day</w:t>
      </w:r>
      <w:r w:rsidR="00AA62CF" w:rsidRPr="003A0B63">
        <w:rPr>
          <w:rFonts w:ascii="Times New Roman" w:eastAsia="Times New Roman" w:hAnsi="Times New Roman" w:cs="Times New Roman"/>
          <w:sz w:val="24"/>
          <w:szCs w:val="24"/>
        </w:rPr>
        <w:t xml:space="preserve">. </w:t>
      </w:r>
    </w:p>
    <w:p w14:paraId="16D424CA" w14:textId="03FFA069" w:rsidR="00222AA5" w:rsidRPr="003A0B63" w:rsidRDefault="00222AA5" w:rsidP="00222AA5">
      <w:pPr>
        <w:pStyle w:val="ListParagraph"/>
        <w:numPr>
          <w:ilvl w:val="0"/>
          <w:numId w:val="3"/>
        </w:numPr>
        <w:contextualSpacing/>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 xml:space="preserve">Securing real-time flow information </w:t>
      </w:r>
      <w:r w:rsidR="00BF7AB5" w:rsidRPr="003A0B63">
        <w:rPr>
          <w:rFonts w:ascii="Times New Roman" w:eastAsia="Times New Roman" w:hAnsi="Times New Roman" w:cs="Times New Roman"/>
          <w:sz w:val="24"/>
          <w:szCs w:val="24"/>
        </w:rPr>
        <w:t xml:space="preserve">and more transparency </w:t>
      </w:r>
      <w:r w:rsidRPr="003A0B63">
        <w:rPr>
          <w:rFonts w:ascii="Times New Roman" w:eastAsia="Times New Roman" w:hAnsi="Times New Roman" w:cs="Times New Roman"/>
          <w:sz w:val="24"/>
          <w:szCs w:val="24"/>
        </w:rPr>
        <w:t xml:space="preserve">to assess </w:t>
      </w:r>
      <w:r w:rsidR="00BF7AB5" w:rsidRPr="003A0B63">
        <w:rPr>
          <w:rFonts w:ascii="Times New Roman" w:eastAsia="Times New Roman" w:hAnsi="Times New Roman" w:cs="Times New Roman"/>
          <w:sz w:val="24"/>
          <w:szCs w:val="24"/>
        </w:rPr>
        <w:t xml:space="preserve">the </w:t>
      </w:r>
      <w:r w:rsidRPr="003A0B63">
        <w:rPr>
          <w:rFonts w:ascii="Times New Roman" w:eastAsia="Times New Roman" w:hAnsi="Times New Roman" w:cs="Times New Roman"/>
          <w:sz w:val="24"/>
          <w:szCs w:val="24"/>
        </w:rPr>
        <w:t>likelihood of meeting just-in-time procurement needs</w:t>
      </w:r>
      <w:r w:rsidR="0027727C" w:rsidRPr="003A0B63">
        <w:rPr>
          <w:rFonts w:ascii="Times New Roman" w:eastAsia="Times New Roman" w:hAnsi="Times New Roman" w:cs="Times New Roman"/>
          <w:sz w:val="24"/>
          <w:szCs w:val="24"/>
        </w:rPr>
        <w:t xml:space="preserve"> and</w:t>
      </w:r>
      <w:r w:rsidR="0027175F" w:rsidRPr="003A0B63">
        <w:rPr>
          <w:rFonts w:ascii="Times New Roman" w:eastAsia="Times New Roman" w:hAnsi="Times New Roman" w:cs="Times New Roman"/>
          <w:sz w:val="24"/>
          <w:szCs w:val="24"/>
        </w:rPr>
        <w:t xml:space="preserve"> actual pipeline utilization</w:t>
      </w:r>
      <w:r w:rsidR="00BF7AB5" w:rsidRPr="003A0B63">
        <w:rPr>
          <w:rFonts w:ascii="Times New Roman" w:eastAsia="Times New Roman" w:hAnsi="Times New Roman" w:cs="Times New Roman"/>
          <w:sz w:val="24"/>
          <w:szCs w:val="24"/>
        </w:rPr>
        <w:t>.</w:t>
      </w:r>
    </w:p>
    <w:p w14:paraId="7727C8F0" w14:textId="432CD949" w:rsidR="0027175F" w:rsidRPr="003A0B63" w:rsidRDefault="00222AA5" w:rsidP="00222AA5">
      <w:pPr>
        <w:pStyle w:val="ListParagraph"/>
        <w:numPr>
          <w:ilvl w:val="0"/>
          <w:numId w:val="3"/>
        </w:numPr>
        <w:contextualSpacing/>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 xml:space="preserve">Questioning whether pipelines may be too conservative in their use of </w:t>
      </w:r>
      <w:r w:rsidR="00AA62CF" w:rsidRPr="003A0B63">
        <w:rPr>
          <w:rFonts w:ascii="Times New Roman" w:eastAsia="Times New Roman" w:hAnsi="Times New Roman" w:cs="Times New Roman"/>
          <w:sz w:val="24"/>
          <w:szCs w:val="24"/>
        </w:rPr>
        <w:t>line pack</w:t>
      </w:r>
      <w:r w:rsidRPr="003A0B63">
        <w:rPr>
          <w:rFonts w:ascii="Times New Roman" w:eastAsia="Times New Roman" w:hAnsi="Times New Roman" w:cs="Times New Roman"/>
          <w:sz w:val="24"/>
          <w:szCs w:val="24"/>
        </w:rPr>
        <w:t xml:space="preserve"> to manage operations, which is their expertise</w:t>
      </w:r>
      <w:r w:rsidR="00AA62CF" w:rsidRPr="003A0B63">
        <w:rPr>
          <w:rFonts w:ascii="Times New Roman" w:eastAsia="Times New Roman" w:hAnsi="Times New Roman" w:cs="Times New Roman"/>
          <w:sz w:val="24"/>
          <w:szCs w:val="24"/>
        </w:rPr>
        <w:t xml:space="preserve">. </w:t>
      </w:r>
    </w:p>
    <w:p w14:paraId="20406AAF" w14:textId="3BECE0AE" w:rsidR="00222AA5" w:rsidRPr="003A0B63" w:rsidRDefault="00BF7AB5" w:rsidP="00222AA5">
      <w:pPr>
        <w:pStyle w:val="ListParagraph"/>
        <w:numPr>
          <w:ilvl w:val="0"/>
          <w:numId w:val="3"/>
        </w:numPr>
        <w:contextualSpacing/>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 xml:space="preserve">Proposing </w:t>
      </w:r>
      <w:r w:rsidR="00222AA5" w:rsidRPr="003A0B63">
        <w:rPr>
          <w:rFonts w:ascii="Times New Roman" w:eastAsia="Times New Roman" w:hAnsi="Times New Roman" w:cs="Times New Roman"/>
          <w:sz w:val="24"/>
          <w:szCs w:val="24"/>
        </w:rPr>
        <w:t xml:space="preserve">hourly nominations despite </w:t>
      </w:r>
      <w:r w:rsidR="0027727C" w:rsidRPr="003A0B63">
        <w:rPr>
          <w:rFonts w:ascii="Times New Roman" w:eastAsia="Times New Roman" w:hAnsi="Times New Roman" w:cs="Times New Roman"/>
          <w:sz w:val="24"/>
          <w:szCs w:val="24"/>
        </w:rPr>
        <w:t xml:space="preserve">the fact </w:t>
      </w:r>
      <w:r w:rsidR="00222AA5" w:rsidRPr="003A0B63">
        <w:rPr>
          <w:rFonts w:ascii="Times New Roman" w:eastAsia="Times New Roman" w:hAnsi="Times New Roman" w:cs="Times New Roman"/>
          <w:sz w:val="24"/>
          <w:szCs w:val="24"/>
        </w:rPr>
        <w:t xml:space="preserve">that </w:t>
      </w:r>
      <w:r w:rsidR="003E506F" w:rsidRPr="003A0B63">
        <w:rPr>
          <w:rFonts w:ascii="Times New Roman" w:eastAsia="Times New Roman" w:hAnsi="Times New Roman" w:cs="Times New Roman"/>
          <w:sz w:val="24"/>
          <w:szCs w:val="24"/>
        </w:rPr>
        <w:t>nominations during the Timely Cycle dictate flow priorities</w:t>
      </w:r>
      <w:r w:rsidR="00222AA5" w:rsidRPr="003A0B63">
        <w:rPr>
          <w:rFonts w:ascii="Times New Roman" w:eastAsia="Times New Roman" w:hAnsi="Times New Roman" w:cs="Times New Roman"/>
          <w:sz w:val="24"/>
          <w:szCs w:val="24"/>
        </w:rPr>
        <w:t xml:space="preserve"> and more nominations will not make more gas and capacity suddenly appear</w:t>
      </w:r>
      <w:r w:rsidR="00AA62CF" w:rsidRPr="003A0B63">
        <w:rPr>
          <w:rFonts w:ascii="Times New Roman" w:eastAsia="Times New Roman" w:hAnsi="Times New Roman" w:cs="Times New Roman"/>
          <w:sz w:val="24"/>
          <w:szCs w:val="24"/>
        </w:rPr>
        <w:t xml:space="preserve">. </w:t>
      </w:r>
    </w:p>
    <w:p w14:paraId="7B6D913A" w14:textId="77777777" w:rsidR="003068B3" w:rsidRPr="003A0B63" w:rsidRDefault="003068B3" w:rsidP="00A55AB2">
      <w:pPr>
        <w:contextualSpacing/>
        <w:rPr>
          <w:rFonts w:ascii="Times New Roman" w:eastAsia="Times New Roman" w:hAnsi="Times New Roman" w:cs="Times New Roman"/>
          <w:sz w:val="24"/>
          <w:szCs w:val="24"/>
        </w:rPr>
      </w:pPr>
    </w:p>
    <w:p w14:paraId="32D051EB" w14:textId="7E69217D" w:rsidR="003E506F" w:rsidRPr="003A0B63" w:rsidRDefault="00BF7AB5" w:rsidP="00A55AB2">
      <w:pPr>
        <w:contextualSpacing/>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 xml:space="preserve">While there may be ways to make some marginal improvements that enhance a generator’s ability to secure gas deliveries absent pre-arrangements, focusing </w:t>
      </w:r>
      <w:r w:rsidR="0091747C">
        <w:rPr>
          <w:rFonts w:ascii="Times New Roman" w:eastAsia="Times New Roman" w:hAnsi="Times New Roman" w:cs="Times New Roman"/>
          <w:sz w:val="24"/>
          <w:szCs w:val="24"/>
        </w:rPr>
        <w:t xml:space="preserve">too heavily </w:t>
      </w:r>
      <w:r w:rsidRPr="003A0B63">
        <w:rPr>
          <w:rFonts w:ascii="Times New Roman" w:eastAsia="Times New Roman" w:hAnsi="Times New Roman" w:cs="Times New Roman"/>
          <w:sz w:val="24"/>
          <w:szCs w:val="24"/>
        </w:rPr>
        <w:t>on just-in-time procurement enhancements will not provide the level of reliability that is going to be required, especially as more frequent ramping is required with less notice to support the integration of variable energy resources</w:t>
      </w:r>
      <w:r w:rsidR="00AA62CF" w:rsidRPr="003A0B63">
        <w:rPr>
          <w:rFonts w:ascii="Times New Roman" w:eastAsia="Times New Roman" w:hAnsi="Times New Roman" w:cs="Times New Roman"/>
          <w:sz w:val="24"/>
          <w:szCs w:val="24"/>
        </w:rPr>
        <w:t xml:space="preserve">. </w:t>
      </w:r>
      <w:r w:rsidR="003068B3" w:rsidRPr="003A0B63">
        <w:rPr>
          <w:rFonts w:ascii="Times New Roman" w:eastAsia="Times New Roman" w:hAnsi="Times New Roman" w:cs="Times New Roman"/>
          <w:sz w:val="24"/>
          <w:szCs w:val="24"/>
        </w:rPr>
        <w:t xml:space="preserve">Power customers are the </w:t>
      </w:r>
      <w:r w:rsidR="00137959" w:rsidRPr="003A0B63">
        <w:rPr>
          <w:rFonts w:ascii="Times New Roman" w:eastAsia="Times New Roman" w:hAnsi="Times New Roman" w:cs="Times New Roman"/>
          <w:sz w:val="24"/>
          <w:szCs w:val="24"/>
        </w:rPr>
        <w:t xml:space="preserve">natural </w:t>
      </w:r>
      <w:r w:rsidR="003068B3" w:rsidRPr="003A0B63">
        <w:rPr>
          <w:rFonts w:ascii="Times New Roman" w:eastAsia="Times New Roman" w:hAnsi="Times New Roman" w:cs="Times New Roman"/>
          <w:sz w:val="24"/>
          <w:szCs w:val="24"/>
        </w:rPr>
        <w:t>gas industry’s largest customer segment, representing about a third of our customers, which makes them extremely important, and we want to make sure there are good service options available to serve them</w:t>
      </w:r>
      <w:r w:rsidR="00AA62CF" w:rsidRPr="003A0B63">
        <w:rPr>
          <w:rFonts w:ascii="Times New Roman" w:eastAsia="Times New Roman" w:hAnsi="Times New Roman" w:cs="Times New Roman"/>
          <w:sz w:val="24"/>
          <w:szCs w:val="24"/>
        </w:rPr>
        <w:t xml:space="preserve">. </w:t>
      </w:r>
      <w:r w:rsidR="003068B3" w:rsidRPr="003A0B63">
        <w:rPr>
          <w:rFonts w:ascii="Times New Roman" w:eastAsia="Times New Roman" w:hAnsi="Times New Roman" w:cs="Times New Roman"/>
          <w:sz w:val="24"/>
          <w:szCs w:val="24"/>
        </w:rPr>
        <w:t xml:space="preserve">However, </w:t>
      </w:r>
      <w:r w:rsidR="00767558">
        <w:rPr>
          <w:rFonts w:ascii="Times New Roman" w:eastAsia="Times New Roman" w:hAnsi="Times New Roman" w:cs="Times New Roman"/>
          <w:sz w:val="24"/>
          <w:szCs w:val="24"/>
        </w:rPr>
        <w:t xml:space="preserve">the needs of </w:t>
      </w:r>
      <w:r w:rsidR="003068B3" w:rsidRPr="003A0B63">
        <w:rPr>
          <w:rFonts w:ascii="Times New Roman" w:eastAsia="Times New Roman" w:hAnsi="Times New Roman" w:cs="Times New Roman"/>
          <w:sz w:val="24"/>
          <w:szCs w:val="24"/>
        </w:rPr>
        <w:t xml:space="preserve">all </w:t>
      </w:r>
      <w:r w:rsidR="003A0B63">
        <w:rPr>
          <w:rFonts w:ascii="Times New Roman" w:eastAsia="Times New Roman" w:hAnsi="Times New Roman" w:cs="Times New Roman"/>
          <w:sz w:val="24"/>
          <w:szCs w:val="24"/>
        </w:rPr>
        <w:t xml:space="preserve">natural gas </w:t>
      </w:r>
      <w:r w:rsidR="003068B3" w:rsidRPr="003A0B63">
        <w:rPr>
          <w:rFonts w:ascii="Times New Roman" w:eastAsia="Times New Roman" w:hAnsi="Times New Roman" w:cs="Times New Roman"/>
          <w:sz w:val="24"/>
          <w:szCs w:val="24"/>
        </w:rPr>
        <w:t xml:space="preserve">customers </w:t>
      </w:r>
      <w:r w:rsidR="003A0B63">
        <w:rPr>
          <w:rFonts w:ascii="Times New Roman" w:eastAsia="Times New Roman" w:hAnsi="Times New Roman" w:cs="Times New Roman"/>
          <w:sz w:val="24"/>
          <w:szCs w:val="24"/>
        </w:rPr>
        <w:t>are</w:t>
      </w:r>
      <w:r w:rsidR="003A0B63" w:rsidRPr="003A0B63">
        <w:rPr>
          <w:rFonts w:ascii="Times New Roman" w:eastAsia="Times New Roman" w:hAnsi="Times New Roman" w:cs="Times New Roman"/>
          <w:sz w:val="24"/>
          <w:szCs w:val="24"/>
        </w:rPr>
        <w:t xml:space="preserve"> </w:t>
      </w:r>
      <w:r w:rsidR="00BA2DA3" w:rsidRPr="003A0B63">
        <w:rPr>
          <w:rFonts w:ascii="Times New Roman" w:eastAsia="Times New Roman" w:hAnsi="Times New Roman" w:cs="Times New Roman"/>
          <w:sz w:val="24"/>
          <w:szCs w:val="24"/>
        </w:rPr>
        <w:t>important,</w:t>
      </w:r>
      <w:r w:rsidR="003068B3" w:rsidRPr="003A0B63">
        <w:rPr>
          <w:rFonts w:ascii="Times New Roman" w:eastAsia="Times New Roman" w:hAnsi="Times New Roman" w:cs="Times New Roman"/>
          <w:sz w:val="24"/>
          <w:szCs w:val="24"/>
        </w:rPr>
        <w:t xml:space="preserve"> and each </w:t>
      </w:r>
      <w:r w:rsidR="00767558">
        <w:rPr>
          <w:rFonts w:ascii="Times New Roman" w:eastAsia="Times New Roman" w:hAnsi="Times New Roman" w:cs="Times New Roman"/>
          <w:sz w:val="24"/>
          <w:szCs w:val="24"/>
        </w:rPr>
        <w:t xml:space="preserve">customer </w:t>
      </w:r>
      <w:r w:rsidR="003068B3" w:rsidRPr="003A0B63">
        <w:rPr>
          <w:rFonts w:ascii="Times New Roman" w:eastAsia="Times New Roman" w:hAnsi="Times New Roman" w:cs="Times New Roman"/>
          <w:sz w:val="24"/>
          <w:szCs w:val="24"/>
        </w:rPr>
        <w:t xml:space="preserve">has their own uncertainties and financial burdens that they must </w:t>
      </w:r>
      <w:r w:rsidR="00767558">
        <w:rPr>
          <w:rFonts w:ascii="Times New Roman" w:eastAsia="Times New Roman" w:hAnsi="Times New Roman" w:cs="Times New Roman"/>
          <w:sz w:val="24"/>
          <w:szCs w:val="24"/>
        </w:rPr>
        <w:t xml:space="preserve">contend with </w:t>
      </w:r>
      <w:r w:rsidR="003068B3" w:rsidRPr="003A0B63">
        <w:rPr>
          <w:rFonts w:ascii="Times New Roman" w:eastAsia="Times New Roman" w:hAnsi="Times New Roman" w:cs="Times New Roman"/>
          <w:sz w:val="24"/>
          <w:szCs w:val="24"/>
        </w:rPr>
        <w:t xml:space="preserve">when balancing </w:t>
      </w:r>
      <w:r w:rsidR="00767558">
        <w:rPr>
          <w:rFonts w:ascii="Times New Roman" w:eastAsia="Times New Roman" w:hAnsi="Times New Roman" w:cs="Times New Roman"/>
          <w:sz w:val="24"/>
          <w:szCs w:val="24"/>
        </w:rPr>
        <w:t xml:space="preserve">those circumstances against the need to make </w:t>
      </w:r>
      <w:r w:rsidR="003068B3" w:rsidRPr="003A0B63">
        <w:rPr>
          <w:rFonts w:ascii="Times New Roman" w:eastAsia="Times New Roman" w:hAnsi="Times New Roman" w:cs="Times New Roman"/>
          <w:sz w:val="24"/>
          <w:szCs w:val="24"/>
        </w:rPr>
        <w:t xml:space="preserve">contractual commitments and the importance of </w:t>
      </w:r>
      <w:r w:rsidR="00767558">
        <w:rPr>
          <w:rFonts w:ascii="Times New Roman" w:eastAsia="Times New Roman" w:hAnsi="Times New Roman" w:cs="Times New Roman"/>
          <w:sz w:val="24"/>
          <w:szCs w:val="24"/>
        </w:rPr>
        <w:t>ensuring reliable operations</w:t>
      </w:r>
      <w:r w:rsidR="00AA62CF" w:rsidRPr="003A0B63">
        <w:rPr>
          <w:rFonts w:ascii="Times New Roman" w:eastAsia="Times New Roman" w:hAnsi="Times New Roman" w:cs="Times New Roman"/>
          <w:sz w:val="24"/>
          <w:szCs w:val="24"/>
        </w:rPr>
        <w:t xml:space="preserve">. </w:t>
      </w:r>
    </w:p>
    <w:p w14:paraId="3BD59865" w14:textId="260ACB2B" w:rsidR="00C47560" w:rsidRPr="003A0B63" w:rsidRDefault="00137959" w:rsidP="00C47560">
      <w:pPr>
        <w:pStyle w:val="NormalWeb"/>
        <w:shd w:val="clear" w:color="auto" w:fill="FFFFFF"/>
        <w:spacing w:before="0" w:beforeAutospacing="0" w:after="150" w:afterAutospacing="0"/>
      </w:pPr>
      <w:r w:rsidRPr="003A0B63">
        <w:t>Given that most</w:t>
      </w:r>
      <w:r w:rsidR="003E506F" w:rsidRPr="003A0B63">
        <w:t xml:space="preserve"> commenters prefer a market solution, </w:t>
      </w:r>
      <w:r w:rsidRPr="003A0B63">
        <w:t xml:space="preserve">it may be helpful for </w:t>
      </w:r>
      <w:r w:rsidR="003E506F" w:rsidRPr="003A0B63">
        <w:t xml:space="preserve">the </w:t>
      </w:r>
      <w:r w:rsidR="007156FD" w:rsidRPr="003A0B63">
        <w:t xml:space="preserve">power generation </w:t>
      </w:r>
      <w:r w:rsidR="003E506F" w:rsidRPr="003A0B63">
        <w:t xml:space="preserve">industry </w:t>
      </w:r>
      <w:r w:rsidRPr="003A0B63">
        <w:t xml:space="preserve">to examine the creative ways that </w:t>
      </w:r>
      <w:r w:rsidR="003E506F" w:rsidRPr="003A0B63">
        <w:t xml:space="preserve">LDCs procure </w:t>
      </w:r>
      <w:r w:rsidR="00885001" w:rsidRPr="003A0B63">
        <w:t xml:space="preserve">adequate </w:t>
      </w:r>
      <w:r w:rsidR="003E506F" w:rsidRPr="003A0B63">
        <w:t>capacity to meet their peak needs while defraying a large part of that cost</w:t>
      </w:r>
      <w:r w:rsidR="00885001" w:rsidRPr="003A0B63">
        <w:t xml:space="preserve"> </w:t>
      </w:r>
      <w:r w:rsidR="003E506F" w:rsidRPr="003A0B63">
        <w:t>(i</w:t>
      </w:r>
      <w:r w:rsidR="00885001" w:rsidRPr="003A0B63">
        <w:t>.</w:t>
      </w:r>
      <w:r w:rsidR="003E506F" w:rsidRPr="003A0B63">
        <w:t>e., reservation charges)</w:t>
      </w:r>
      <w:r w:rsidR="00AA62CF" w:rsidRPr="003A0B63">
        <w:t xml:space="preserve">. </w:t>
      </w:r>
      <w:r w:rsidR="003E506F" w:rsidRPr="003A0B63">
        <w:t>In Order No. 712</w:t>
      </w:r>
      <w:r w:rsidR="00C61611" w:rsidRPr="003A0B63">
        <w:t xml:space="preserve"> (Docket No. RM08-1)</w:t>
      </w:r>
      <w:r w:rsidR="003E506F" w:rsidRPr="003A0B63">
        <w:t>,</w:t>
      </w:r>
      <w:r w:rsidR="007A1110" w:rsidRPr="003A0B63">
        <w:rPr>
          <w:rStyle w:val="FootnoteReference"/>
        </w:rPr>
        <w:footnoteReference w:id="1"/>
      </w:r>
      <w:r w:rsidR="003E506F" w:rsidRPr="003A0B63">
        <w:t xml:space="preserve"> FERC clarified its capacity release rules to allow for Asset Management Agreements (“AMAs”). AMAs allow a capacity holder to release all or a portion of its capacity to an asset manager who agrees to supply the gas needs of the releasing shipper. </w:t>
      </w:r>
      <w:r w:rsidR="00C25ED8" w:rsidRPr="003A0B63">
        <w:t>An AMA is</w:t>
      </w:r>
      <w:r w:rsidR="003E506F" w:rsidRPr="003A0B63">
        <w:t xml:space="preserve"> a mechanism </w:t>
      </w:r>
      <w:r w:rsidR="005941CB" w:rsidRPr="003A0B63">
        <w:t>that enables</w:t>
      </w:r>
      <w:r w:rsidR="003E506F" w:rsidRPr="003A0B63">
        <w:t xml:space="preserve"> an entity to acquire capacity to meet </w:t>
      </w:r>
      <w:r w:rsidR="00C25ED8" w:rsidRPr="003A0B63">
        <w:t>its</w:t>
      </w:r>
      <w:r w:rsidR="003E506F" w:rsidRPr="003A0B63">
        <w:t xml:space="preserve"> peak needs</w:t>
      </w:r>
      <w:r w:rsidR="00C25ED8" w:rsidRPr="003A0B63">
        <w:t xml:space="preserve"> (with primary rights to its delivery location), to release that capacity to an asset manager when it is not needed so it can be used to create revenues for the </w:t>
      </w:r>
      <w:r w:rsidR="005757E9" w:rsidRPr="003A0B63">
        <w:t xml:space="preserve">releasing </w:t>
      </w:r>
      <w:r w:rsidR="00C25ED8" w:rsidRPr="003A0B63">
        <w:t>entity, and to ensure the capacity is always reserved to meet the releasing entity’s peak gas needs.</w:t>
      </w:r>
      <w:r w:rsidR="007A1110" w:rsidRPr="003A0B63">
        <w:t xml:space="preserve"> </w:t>
      </w:r>
      <w:r w:rsidR="00C47560" w:rsidRPr="003A0B63">
        <w:t>Order No. 712 defines an AMA as:</w:t>
      </w:r>
    </w:p>
    <w:p w14:paraId="0C4441DF" w14:textId="14A5E181" w:rsidR="00C47560" w:rsidRPr="003A0B63" w:rsidRDefault="00137959" w:rsidP="00C47560">
      <w:pPr>
        <w:pStyle w:val="NormalWeb"/>
        <w:shd w:val="clear" w:color="auto" w:fill="FFFFFF"/>
        <w:spacing w:before="0" w:beforeAutospacing="0" w:after="150" w:afterAutospacing="0"/>
        <w:ind w:left="720"/>
      </w:pPr>
      <w:r w:rsidRPr="003A0B63">
        <w:t>“…</w:t>
      </w:r>
      <w:r w:rsidR="00C47560" w:rsidRPr="003A0B63">
        <w:t>any prearranged release that contains a condition that the releasing shipper may, on any day during a minimum period of five months out of each twelve-month period of the release, call upon the replacement shipper to deliver to the releasing shipper a volume of gas up to one-hundred percent of the daily contract demand of the released transportation capacity. If the capacity release is for a period of less than one year, the asset manager’s delivery obligation described in the previous sentence must apply for the lesser of five months or the term of the release. If the capacity release is a release of storage capacity, the asset manager’s delivery obligation need only be one-hundred percent of the daily contract demand under the release for storage withdrawals.</w:t>
      </w:r>
      <w:r w:rsidRPr="003A0B63">
        <w:t>”</w:t>
      </w:r>
      <w:r w:rsidR="00D767D6" w:rsidRPr="003A0B63">
        <w:rPr>
          <w:rStyle w:val="FootnoteReference"/>
        </w:rPr>
        <w:footnoteReference w:id="2"/>
      </w:r>
      <w:r w:rsidR="00C47560" w:rsidRPr="003A0B63">
        <w:t> </w:t>
      </w:r>
    </w:p>
    <w:p w14:paraId="6E5941F1" w14:textId="2F4B44B5" w:rsidR="00846E23" w:rsidRPr="003A0B63" w:rsidRDefault="007A1110" w:rsidP="00A55AB2">
      <w:pPr>
        <w:contextualSpacing/>
        <w:rPr>
          <w:rFonts w:ascii="Times New Roman" w:eastAsia="Times New Roman" w:hAnsi="Times New Roman" w:cs="Times New Roman"/>
          <w:sz w:val="24"/>
          <w:szCs w:val="24"/>
        </w:rPr>
      </w:pPr>
      <w:r w:rsidRPr="008D6416">
        <w:rPr>
          <w:rFonts w:ascii="Times New Roman" w:hAnsi="Times New Roman" w:cs="Times New Roman"/>
          <w:sz w:val="24"/>
          <w:szCs w:val="24"/>
          <w:shd w:val="clear" w:color="auto" w:fill="FFFFFF"/>
        </w:rPr>
        <w:t>In approving use of AMAs, FERC acknowledged they provide important benefits to the natural gas and electric industries and savings for end-use customers.</w:t>
      </w:r>
      <w:r w:rsidRPr="008D6416">
        <w:rPr>
          <w:rStyle w:val="FootnoteReference"/>
          <w:sz w:val="24"/>
          <w:szCs w:val="24"/>
          <w:shd w:val="clear" w:color="auto" w:fill="FFFFFF"/>
        </w:rPr>
        <w:footnoteReference w:id="3"/>
      </w:r>
      <w:r w:rsidRPr="008D6416">
        <w:rPr>
          <w:rFonts w:ascii="Times New Roman" w:hAnsi="Times New Roman" w:cs="Times New Roman"/>
          <w:sz w:val="24"/>
          <w:szCs w:val="24"/>
          <w:shd w:val="clear" w:color="auto" w:fill="FFFFFF"/>
        </w:rPr>
        <w:t> </w:t>
      </w:r>
      <w:r w:rsidR="000C04E7" w:rsidRPr="008D6416">
        <w:rPr>
          <w:rFonts w:ascii="Times New Roman" w:hAnsi="Times New Roman" w:cs="Times New Roman"/>
          <w:sz w:val="24"/>
          <w:szCs w:val="24"/>
          <w:shd w:val="clear" w:color="auto" w:fill="FFFFFF"/>
        </w:rPr>
        <w:t xml:space="preserve">Any type of pipeline shipper, including gas-fired electric generators and local distribution companies, may use AMAs to optimize </w:t>
      </w:r>
      <w:r w:rsidR="00885001" w:rsidRPr="008D6416">
        <w:rPr>
          <w:rFonts w:ascii="Times New Roman" w:hAnsi="Times New Roman" w:cs="Times New Roman"/>
          <w:sz w:val="24"/>
          <w:szCs w:val="24"/>
          <w:shd w:val="clear" w:color="auto" w:fill="FFFFFF"/>
        </w:rPr>
        <w:t xml:space="preserve">their capacity when not in use, </w:t>
      </w:r>
      <w:r w:rsidR="00EC06D5" w:rsidRPr="008D6416">
        <w:rPr>
          <w:rFonts w:ascii="Times New Roman" w:hAnsi="Times New Roman" w:cs="Times New Roman"/>
          <w:sz w:val="24"/>
          <w:szCs w:val="24"/>
          <w:shd w:val="clear" w:color="auto" w:fill="FFFFFF"/>
        </w:rPr>
        <w:t xml:space="preserve">and to ensure </w:t>
      </w:r>
      <w:r w:rsidR="000C04E7" w:rsidRPr="008D6416">
        <w:rPr>
          <w:rFonts w:ascii="Times New Roman" w:hAnsi="Times New Roman" w:cs="Times New Roman"/>
          <w:sz w:val="24"/>
          <w:szCs w:val="24"/>
          <w:shd w:val="clear" w:color="auto" w:fill="FFFFFF"/>
        </w:rPr>
        <w:t>competitive gas supplies to decrease the as-delivered cost of natural gas to those customers.</w:t>
      </w:r>
      <w:r w:rsidR="0042504C" w:rsidRPr="008D6416">
        <w:rPr>
          <w:rFonts w:ascii="Times New Roman" w:hAnsi="Times New Roman" w:cs="Times New Roman"/>
          <w:sz w:val="24"/>
          <w:szCs w:val="24"/>
          <w:shd w:val="clear" w:color="auto" w:fill="FFFFFF"/>
        </w:rPr>
        <w:t xml:space="preserve"> </w:t>
      </w:r>
      <w:r w:rsidR="00137959" w:rsidRPr="008D6416">
        <w:rPr>
          <w:rFonts w:ascii="Times New Roman" w:hAnsi="Times New Roman" w:cs="Times New Roman"/>
          <w:sz w:val="24"/>
          <w:szCs w:val="24"/>
          <w:shd w:val="clear" w:color="auto" w:fill="FFFFFF"/>
        </w:rPr>
        <w:t xml:space="preserve">Thus, </w:t>
      </w:r>
      <w:r w:rsidR="0042504C" w:rsidRPr="008D6416">
        <w:rPr>
          <w:rFonts w:ascii="Times New Roman" w:hAnsi="Times New Roman" w:cs="Times New Roman"/>
          <w:sz w:val="24"/>
          <w:szCs w:val="24"/>
          <w:shd w:val="clear" w:color="auto" w:fill="FFFFFF"/>
        </w:rPr>
        <w:t xml:space="preserve">AMAs </w:t>
      </w:r>
      <w:r w:rsidR="00137959" w:rsidRPr="008D6416">
        <w:rPr>
          <w:rFonts w:ascii="Times New Roman" w:hAnsi="Times New Roman" w:cs="Times New Roman"/>
          <w:sz w:val="24"/>
          <w:szCs w:val="24"/>
          <w:shd w:val="clear" w:color="auto" w:fill="FFFFFF"/>
        </w:rPr>
        <w:t xml:space="preserve">can </w:t>
      </w:r>
      <w:r w:rsidR="0042504C" w:rsidRPr="008D6416">
        <w:rPr>
          <w:rFonts w:ascii="Times New Roman" w:hAnsi="Times New Roman" w:cs="Times New Roman"/>
          <w:sz w:val="24"/>
          <w:szCs w:val="24"/>
          <w:shd w:val="clear" w:color="auto" w:fill="FFFFFF"/>
        </w:rPr>
        <w:t xml:space="preserve">serve to </w:t>
      </w:r>
      <w:r w:rsidR="001252B6" w:rsidRPr="008D6416">
        <w:rPr>
          <w:rFonts w:ascii="Times New Roman" w:hAnsi="Times New Roman" w:cs="Times New Roman"/>
          <w:sz w:val="24"/>
          <w:szCs w:val="24"/>
          <w:shd w:val="clear" w:color="auto" w:fill="FFFFFF"/>
        </w:rPr>
        <w:t>lessen</w:t>
      </w:r>
      <w:r w:rsidR="0042504C" w:rsidRPr="008D6416">
        <w:rPr>
          <w:rFonts w:ascii="Times New Roman" w:hAnsi="Times New Roman" w:cs="Times New Roman"/>
          <w:sz w:val="24"/>
          <w:szCs w:val="24"/>
          <w:shd w:val="clear" w:color="auto" w:fill="FFFFFF"/>
        </w:rPr>
        <w:t xml:space="preserve"> the cost</w:t>
      </w:r>
      <w:r w:rsidR="001252B6" w:rsidRPr="008D6416">
        <w:rPr>
          <w:rFonts w:ascii="Times New Roman" w:hAnsi="Times New Roman" w:cs="Times New Roman"/>
          <w:sz w:val="24"/>
          <w:szCs w:val="24"/>
          <w:shd w:val="clear" w:color="auto" w:fill="FFFFFF"/>
        </w:rPr>
        <w:t>s that need to be recovered in organize</w:t>
      </w:r>
      <w:r w:rsidR="00137959" w:rsidRPr="008D6416">
        <w:rPr>
          <w:rFonts w:ascii="Times New Roman" w:hAnsi="Times New Roman" w:cs="Times New Roman"/>
          <w:sz w:val="24"/>
          <w:szCs w:val="24"/>
          <w:shd w:val="clear" w:color="auto" w:fill="FFFFFF"/>
        </w:rPr>
        <w:t>d</w:t>
      </w:r>
      <w:r w:rsidR="001252B6" w:rsidRPr="008D6416">
        <w:rPr>
          <w:rFonts w:ascii="Times New Roman" w:hAnsi="Times New Roman" w:cs="Times New Roman"/>
          <w:sz w:val="24"/>
          <w:szCs w:val="24"/>
          <w:shd w:val="clear" w:color="auto" w:fill="FFFFFF"/>
        </w:rPr>
        <w:t xml:space="preserve"> electricity markets to ensure </w:t>
      </w:r>
      <w:r w:rsidR="00CA0741" w:rsidRPr="008D6416">
        <w:rPr>
          <w:rFonts w:ascii="Times New Roman" w:hAnsi="Times New Roman" w:cs="Times New Roman"/>
          <w:sz w:val="24"/>
          <w:szCs w:val="24"/>
          <w:shd w:val="clear" w:color="auto" w:fill="FFFFFF"/>
        </w:rPr>
        <w:t>electricity reliability.</w:t>
      </w:r>
    </w:p>
    <w:p w14:paraId="04DF9D0D" w14:textId="70F70A8D" w:rsidR="00181629" w:rsidRPr="003A0B63" w:rsidRDefault="00181629" w:rsidP="00181629">
      <w:pPr>
        <w:pStyle w:val="ListParagraph"/>
        <w:numPr>
          <w:ilvl w:val="0"/>
          <w:numId w:val="7"/>
        </w:numPr>
        <w:contextualSpacing/>
        <w:rPr>
          <w:rFonts w:ascii="Times New Roman" w:eastAsia="Times New Roman" w:hAnsi="Times New Roman" w:cs="Times New Roman"/>
          <w:b/>
          <w:bCs/>
          <w:sz w:val="24"/>
          <w:szCs w:val="24"/>
        </w:rPr>
      </w:pPr>
      <w:r w:rsidRPr="003A0B63">
        <w:rPr>
          <w:rFonts w:ascii="Times New Roman" w:eastAsia="Times New Roman" w:hAnsi="Times New Roman" w:cs="Times New Roman"/>
          <w:b/>
          <w:bCs/>
          <w:sz w:val="24"/>
          <w:szCs w:val="24"/>
        </w:rPr>
        <w:t>It is Time to Begin Looking in Earnest at Changes in Market Design in Organized Markets</w:t>
      </w:r>
    </w:p>
    <w:p w14:paraId="19E390C2" w14:textId="77777777" w:rsidR="00181629" w:rsidRPr="003A0B63" w:rsidRDefault="00181629" w:rsidP="00181629">
      <w:pPr>
        <w:pStyle w:val="ListParagraph"/>
        <w:ind w:left="1080"/>
        <w:contextualSpacing/>
        <w:rPr>
          <w:rFonts w:ascii="Times New Roman" w:eastAsia="Times New Roman" w:hAnsi="Times New Roman" w:cs="Times New Roman"/>
          <w:b/>
          <w:bCs/>
          <w:sz w:val="24"/>
          <w:szCs w:val="24"/>
        </w:rPr>
      </w:pPr>
    </w:p>
    <w:p w14:paraId="07A9B4D5" w14:textId="297CB921" w:rsidR="00105DAC" w:rsidRPr="003A0B63" w:rsidRDefault="000E4B2B" w:rsidP="00A55AB2">
      <w:pPr>
        <w:contextualSpacing/>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 xml:space="preserve">The natural gas industry does not often weigh in on specific market design </w:t>
      </w:r>
      <w:r w:rsidR="00846E23" w:rsidRPr="003A0B63">
        <w:rPr>
          <w:rFonts w:ascii="Times New Roman" w:eastAsia="Times New Roman" w:hAnsi="Times New Roman" w:cs="Times New Roman"/>
          <w:sz w:val="24"/>
          <w:szCs w:val="24"/>
        </w:rPr>
        <w:t xml:space="preserve">proposals </w:t>
      </w:r>
      <w:r w:rsidRPr="003A0B63">
        <w:rPr>
          <w:rFonts w:ascii="Times New Roman" w:eastAsia="Times New Roman" w:hAnsi="Times New Roman" w:cs="Times New Roman"/>
          <w:sz w:val="24"/>
          <w:szCs w:val="24"/>
        </w:rPr>
        <w:t xml:space="preserve">in organized markets </w:t>
      </w:r>
      <w:r w:rsidR="00846E23" w:rsidRPr="003A0B63">
        <w:rPr>
          <w:rFonts w:ascii="Times New Roman" w:eastAsia="Times New Roman" w:hAnsi="Times New Roman" w:cs="Times New Roman"/>
          <w:sz w:val="24"/>
          <w:szCs w:val="24"/>
        </w:rPr>
        <w:t>because generally, we believe those are issues to be resolved by direct stakeholders in each region</w:t>
      </w:r>
      <w:r w:rsidR="00AA62CF" w:rsidRPr="003A0B63">
        <w:rPr>
          <w:rFonts w:ascii="Times New Roman" w:eastAsia="Times New Roman" w:hAnsi="Times New Roman" w:cs="Times New Roman"/>
          <w:sz w:val="24"/>
          <w:szCs w:val="24"/>
        </w:rPr>
        <w:t xml:space="preserve">. </w:t>
      </w:r>
      <w:r w:rsidR="00846E23" w:rsidRPr="003A0B63">
        <w:rPr>
          <w:rFonts w:ascii="Times New Roman" w:eastAsia="Times New Roman" w:hAnsi="Times New Roman" w:cs="Times New Roman"/>
          <w:sz w:val="24"/>
          <w:szCs w:val="24"/>
        </w:rPr>
        <w:t xml:space="preserve">However, we do assume that regional operators and their stakeholders are designing market mechanism </w:t>
      </w:r>
      <w:r w:rsidRPr="003A0B63">
        <w:rPr>
          <w:rFonts w:ascii="Times New Roman" w:eastAsia="Times New Roman" w:hAnsi="Times New Roman" w:cs="Times New Roman"/>
          <w:sz w:val="24"/>
          <w:szCs w:val="24"/>
        </w:rPr>
        <w:t>that allow resources to invest in their ability to reliably perform</w:t>
      </w:r>
      <w:r w:rsidR="00AA62CF" w:rsidRPr="003A0B63">
        <w:rPr>
          <w:rFonts w:ascii="Times New Roman" w:eastAsia="Times New Roman" w:hAnsi="Times New Roman" w:cs="Times New Roman"/>
          <w:sz w:val="24"/>
          <w:szCs w:val="24"/>
        </w:rPr>
        <w:t xml:space="preserve">. </w:t>
      </w:r>
      <w:r w:rsidR="00846E23" w:rsidRPr="003A0B63">
        <w:rPr>
          <w:rFonts w:ascii="Times New Roman" w:eastAsia="Times New Roman" w:hAnsi="Times New Roman" w:cs="Times New Roman"/>
          <w:sz w:val="24"/>
          <w:szCs w:val="24"/>
        </w:rPr>
        <w:t>Despite known deficiencies, however, t</w:t>
      </w:r>
      <w:r w:rsidRPr="003A0B63">
        <w:rPr>
          <w:rFonts w:ascii="Times New Roman" w:eastAsia="Times New Roman" w:hAnsi="Times New Roman" w:cs="Times New Roman"/>
          <w:sz w:val="24"/>
          <w:szCs w:val="24"/>
        </w:rPr>
        <w:t>here continues to be a strong resistance to taking a hard look at whether there should be market reforms in power markets that would make them a “better fit” by increasing certainty of dispatch and cost recovery of fuel</w:t>
      </w:r>
      <w:r w:rsidR="0027727C" w:rsidRPr="003A0B63">
        <w:rPr>
          <w:rFonts w:ascii="Times New Roman" w:eastAsia="Times New Roman" w:hAnsi="Times New Roman" w:cs="Times New Roman"/>
          <w:sz w:val="24"/>
          <w:szCs w:val="24"/>
        </w:rPr>
        <w:t>-related</w:t>
      </w:r>
      <w:r w:rsidRPr="003A0B63">
        <w:rPr>
          <w:rFonts w:ascii="Times New Roman" w:eastAsia="Times New Roman" w:hAnsi="Times New Roman" w:cs="Times New Roman"/>
          <w:sz w:val="24"/>
          <w:szCs w:val="24"/>
        </w:rPr>
        <w:t xml:space="preserve"> costs</w:t>
      </w:r>
      <w:r w:rsidR="00CD31E6" w:rsidRPr="003A0B63">
        <w:rPr>
          <w:rFonts w:ascii="Times New Roman" w:eastAsia="Times New Roman" w:hAnsi="Times New Roman" w:cs="Times New Roman"/>
          <w:sz w:val="24"/>
          <w:szCs w:val="24"/>
        </w:rPr>
        <w:t>, establishing ancillary services that compensate resources for their special attributes needed to maintain system reliability,</w:t>
      </w:r>
      <w:r w:rsidRPr="003A0B63">
        <w:rPr>
          <w:rFonts w:ascii="Times New Roman" w:eastAsia="Times New Roman" w:hAnsi="Times New Roman" w:cs="Times New Roman"/>
          <w:sz w:val="24"/>
          <w:szCs w:val="24"/>
        </w:rPr>
        <w:t xml:space="preserve"> as well as reexamining the duration of commitments made through capacity auctions.  </w:t>
      </w:r>
      <w:r w:rsidR="00846E23" w:rsidRPr="003A0B63">
        <w:rPr>
          <w:rFonts w:ascii="Times New Roman" w:eastAsia="Times New Roman" w:hAnsi="Times New Roman" w:cs="Times New Roman"/>
          <w:sz w:val="24"/>
          <w:szCs w:val="24"/>
        </w:rPr>
        <w:t xml:space="preserve">Recognizing that even more uncertainty of dispatch is likely to be introduced with increased balancing requirements to support </w:t>
      </w:r>
      <w:r w:rsidR="0027727C" w:rsidRPr="003A0B63">
        <w:rPr>
          <w:rFonts w:ascii="Times New Roman" w:eastAsia="Times New Roman" w:hAnsi="Times New Roman" w:cs="Times New Roman"/>
          <w:sz w:val="24"/>
          <w:szCs w:val="24"/>
        </w:rPr>
        <w:t xml:space="preserve">growing levels of </w:t>
      </w:r>
      <w:r w:rsidR="00846E23" w:rsidRPr="003A0B63">
        <w:rPr>
          <w:rFonts w:ascii="Times New Roman" w:eastAsia="Times New Roman" w:hAnsi="Times New Roman" w:cs="Times New Roman"/>
          <w:sz w:val="24"/>
          <w:szCs w:val="24"/>
        </w:rPr>
        <w:t xml:space="preserve">variable energy resources, the time is ripe for regional operators to provide greater certainty </w:t>
      </w:r>
      <w:r w:rsidR="0027727C" w:rsidRPr="003A0B63">
        <w:rPr>
          <w:rFonts w:ascii="Times New Roman" w:eastAsia="Times New Roman" w:hAnsi="Times New Roman" w:cs="Times New Roman"/>
          <w:sz w:val="24"/>
          <w:szCs w:val="24"/>
        </w:rPr>
        <w:t>through the</w:t>
      </w:r>
      <w:r w:rsidR="00846E23" w:rsidRPr="003A0B63">
        <w:rPr>
          <w:rFonts w:ascii="Times New Roman" w:eastAsia="Times New Roman" w:hAnsi="Times New Roman" w:cs="Times New Roman"/>
          <w:sz w:val="24"/>
          <w:szCs w:val="24"/>
        </w:rPr>
        <w:t xml:space="preserve"> design of their market constructs</w:t>
      </w:r>
      <w:r w:rsidR="00AA62CF" w:rsidRPr="003A0B63">
        <w:rPr>
          <w:rFonts w:ascii="Times New Roman" w:eastAsia="Times New Roman" w:hAnsi="Times New Roman" w:cs="Times New Roman"/>
          <w:sz w:val="24"/>
          <w:szCs w:val="24"/>
        </w:rPr>
        <w:t xml:space="preserve">. </w:t>
      </w:r>
    </w:p>
    <w:p w14:paraId="120E144B" w14:textId="412D48BA" w:rsidR="00A30DDC" w:rsidRPr="003A0B63" w:rsidRDefault="00A30DDC" w:rsidP="00A55AB2">
      <w:pPr>
        <w:contextualSpacing/>
        <w:rPr>
          <w:rFonts w:ascii="Times New Roman" w:eastAsia="Times New Roman" w:hAnsi="Times New Roman" w:cs="Times New Roman"/>
          <w:sz w:val="24"/>
          <w:szCs w:val="24"/>
        </w:rPr>
      </w:pPr>
    </w:p>
    <w:p w14:paraId="014BEC5A" w14:textId="3F28A627" w:rsidR="00A30DDC" w:rsidRPr="003A0B63" w:rsidRDefault="00CD31E6" w:rsidP="00A55AB2">
      <w:pPr>
        <w:contextualSpacing/>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 xml:space="preserve">Additionally, NGSA requests that NAESB schedule education sessions for </w:t>
      </w:r>
      <w:r w:rsidR="00137959" w:rsidRPr="003A0B63">
        <w:rPr>
          <w:rFonts w:ascii="Times New Roman" w:eastAsia="Times New Roman" w:hAnsi="Times New Roman" w:cs="Times New Roman"/>
          <w:sz w:val="24"/>
          <w:szCs w:val="24"/>
        </w:rPr>
        <w:t xml:space="preserve">forum </w:t>
      </w:r>
      <w:r w:rsidRPr="003A0B63">
        <w:rPr>
          <w:rFonts w:ascii="Times New Roman" w:eastAsia="Times New Roman" w:hAnsi="Times New Roman" w:cs="Times New Roman"/>
          <w:sz w:val="24"/>
          <w:szCs w:val="24"/>
        </w:rPr>
        <w:t xml:space="preserve">stakeholders to learn more about how each regional power market treats the </w:t>
      </w:r>
      <w:r w:rsidR="00137959" w:rsidRPr="003A0B63">
        <w:rPr>
          <w:rFonts w:ascii="Times New Roman" w:eastAsia="Times New Roman" w:hAnsi="Times New Roman" w:cs="Times New Roman"/>
          <w:sz w:val="24"/>
          <w:szCs w:val="24"/>
        </w:rPr>
        <w:t xml:space="preserve">cost </w:t>
      </w:r>
      <w:r w:rsidRPr="003A0B63">
        <w:rPr>
          <w:rFonts w:ascii="Times New Roman" w:eastAsia="Times New Roman" w:hAnsi="Times New Roman" w:cs="Times New Roman"/>
          <w:sz w:val="24"/>
          <w:szCs w:val="24"/>
        </w:rPr>
        <w:t>recovery of generator investments in fuel procurement and whether generators in that region believe those processes are sufficient</w:t>
      </w:r>
      <w:r w:rsidR="00AA62CF" w:rsidRPr="003A0B63">
        <w:rPr>
          <w:rFonts w:ascii="Times New Roman" w:eastAsia="Times New Roman" w:hAnsi="Times New Roman" w:cs="Times New Roman"/>
          <w:sz w:val="24"/>
          <w:szCs w:val="24"/>
        </w:rPr>
        <w:t xml:space="preserve">. </w:t>
      </w:r>
    </w:p>
    <w:p w14:paraId="039AA961" w14:textId="77777777" w:rsidR="00181629" w:rsidRPr="008D6416" w:rsidRDefault="00181629" w:rsidP="008D6416">
      <w:pPr>
        <w:spacing w:after="0" w:line="240" w:lineRule="auto"/>
        <w:rPr>
          <w:rFonts w:ascii="Times New Roman" w:eastAsiaTheme="minorEastAsia" w:hAnsi="Times New Roman" w:cs="Times New Roman"/>
          <w:kern w:val="24"/>
          <w:sz w:val="24"/>
          <w:szCs w:val="24"/>
        </w:rPr>
      </w:pPr>
    </w:p>
    <w:p w14:paraId="153A359D" w14:textId="275AE554" w:rsidR="006D6DEE" w:rsidRPr="003A0B63" w:rsidRDefault="006D6DEE" w:rsidP="003A0B63">
      <w:pPr>
        <w:pStyle w:val="ListParagraph"/>
        <w:numPr>
          <w:ilvl w:val="0"/>
          <w:numId w:val="7"/>
        </w:numPr>
        <w:rPr>
          <w:rFonts w:ascii="Times New Roman" w:eastAsia="Times New Roman" w:hAnsi="Times New Roman" w:cs="Times New Roman"/>
          <w:b/>
          <w:bCs/>
          <w:sz w:val="24"/>
          <w:szCs w:val="24"/>
        </w:rPr>
      </w:pPr>
      <w:r w:rsidRPr="003A0B63">
        <w:rPr>
          <w:rFonts w:ascii="Times New Roman" w:eastAsia="Times New Roman" w:hAnsi="Times New Roman" w:cs="Times New Roman"/>
          <w:b/>
          <w:bCs/>
          <w:sz w:val="24"/>
          <w:szCs w:val="24"/>
        </w:rPr>
        <w:t xml:space="preserve">Regional Operators </w:t>
      </w:r>
      <w:r w:rsidR="00222AA5" w:rsidRPr="003A0B63">
        <w:rPr>
          <w:rFonts w:ascii="Times New Roman" w:eastAsia="Times New Roman" w:hAnsi="Times New Roman" w:cs="Times New Roman"/>
          <w:b/>
          <w:bCs/>
          <w:sz w:val="24"/>
          <w:szCs w:val="24"/>
        </w:rPr>
        <w:t xml:space="preserve">Can be </w:t>
      </w:r>
      <w:r w:rsidR="007B57FD" w:rsidRPr="003A0B63">
        <w:rPr>
          <w:rFonts w:ascii="Times New Roman" w:eastAsia="Times New Roman" w:hAnsi="Times New Roman" w:cs="Times New Roman"/>
          <w:b/>
          <w:bCs/>
          <w:sz w:val="24"/>
          <w:szCs w:val="24"/>
        </w:rPr>
        <w:t xml:space="preserve">Advocates for Eliminating </w:t>
      </w:r>
      <w:r w:rsidR="003A0B63">
        <w:rPr>
          <w:rFonts w:ascii="Times New Roman" w:eastAsia="Times New Roman" w:hAnsi="Times New Roman" w:cs="Times New Roman"/>
          <w:b/>
          <w:bCs/>
          <w:sz w:val="24"/>
          <w:szCs w:val="24"/>
        </w:rPr>
        <w:t>Risks to</w:t>
      </w:r>
      <w:r w:rsidR="007B57FD" w:rsidRPr="003A0B63">
        <w:rPr>
          <w:rFonts w:ascii="Times New Roman" w:eastAsia="Times New Roman" w:hAnsi="Times New Roman" w:cs="Times New Roman"/>
          <w:b/>
          <w:bCs/>
          <w:sz w:val="24"/>
          <w:szCs w:val="24"/>
        </w:rPr>
        <w:t xml:space="preserve"> Reliable Operations of All System Resources</w:t>
      </w:r>
      <w:r w:rsidR="00222AA5" w:rsidRPr="003A0B63">
        <w:rPr>
          <w:rFonts w:ascii="Times New Roman" w:eastAsia="Times New Roman" w:hAnsi="Times New Roman" w:cs="Times New Roman"/>
          <w:b/>
          <w:bCs/>
          <w:sz w:val="24"/>
          <w:szCs w:val="24"/>
        </w:rPr>
        <w:t xml:space="preserve"> </w:t>
      </w:r>
      <w:r w:rsidR="003A0B63">
        <w:rPr>
          <w:rFonts w:ascii="Times New Roman" w:eastAsia="Times New Roman" w:hAnsi="Times New Roman" w:cs="Times New Roman"/>
          <w:b/>
          <w:bCs/>
          <w:sz w:val="24"/>
          <w:szCs w:val="24"/>
        </w:rPr>
        <w:t>While Also</w:t>
      </w:r>
      <w:r w:rsidR="003A0B63" w:rsidRPr="003A0B63">
        <w:rPr>
          <w:rFonts w:ascii="Times New Roman" w:eastAsia="Times New Roman" w:hAnsi="Times New Roman" w:cs="Times New Roman"/>
          <w:b/>
          <w:bCs/>
          <w:sz w:val="24"/>
          <w:szCs w:val="24"/>
        </w:rPr>
        <w:t xml:space="preserve"> </w:t>
      </w:r>
      <w:r w:rsidR="00222AA5" w:rsidRPr="003A0B63">
        <w:rPr>
          <w:rFonts w:ascii="Times New Roman" w:eastAsia="Times New Roman" w:hAnsi="Times New Roman" w:cs="Times New Roman"/>
          <w:b/>
          <w:bCs/>
          <w:sz w:val="24"/>
          <w:szCs w:val="24"/>
        </w:rPr>
        <w:t>Remain</w:t>
      </w:r>
      <w:r w:rsidR="003A0B63">
        <w:rPr>
          <w:rFonts w:ascii="Times New Roman" w:eastAsia="Times New Roman" w:hAnsi="Times New Roman" w:cs="Times New Roman"/>
          <w:b/>
          <w:bCs/>
          <w:sz w:val="24"/>
          <w:szCs w:val="24"/>
        </w:rPr>
        <w:t>ing</w:t>
      </w:r>
      <w:r w:rsidR="00222AA5" w:rsidRPr="003A0B63">
        <w:rPr>
          <w:rFonts w:ascii="Times New Roman" w:eastAsia="Times New Roman" w:hAnsi="Times New Roman" w:cs="Times New Roman"/>
          <w:b/>
          <w:bCs/>
          <w:sz w:val="24"/>
          <w:szCs w:val="24"/>
        </w:rPr>
        <w:t xml:space="preserve"> Fuel Neutral</w:t>
      </w:r>
      <w:r w:rsidR="00AA62CF" w:rsidRPr="003A0B63">
        <w:rPr>
          <w:rFonts w:ascii="Times New Roman" w:eastAsia="Times New Roman" w:hAnsi="Times New Roman" w:cs="Times New Roman"/>
          <w:b/>
          <w:bCs/>
          <w:sz w:val="24"/>
          <w:szCs w:val="24"/>
        </w:rPr>
        <w:t xml:space="preserve">. </w:t>
      </w:r>
    </w:p>
    <w:p w14:paraId="647A5E1A" w14:textId="77777777" w:rsidR="00CD31E6" w:rsidRPr="003A0B63" w:rsidRDefault="00CD31E6" w:rsidP="008D6416">
      <w:pPr>
        <w:spacing w:after="0" w:line="240" w:lineRule="auto"/>
        <w:rPr>
          <w:rFonts w:ascii="Times New Roman" w:eastAsia="Times New Roman" w:hAnsi="Times New Roman" w:cs="Times New Roman"/>
          <w:sz w:val="24"/>
          <w:szCs w:val="24"/>
        </w:rPr>
      </w:pPr>
    </w:p>
    <w:p w14:paraId="58F83E15" w14:textId="775BC404" w:rsidR="007B57FD" w:rsidRPr="003A0B63" w:rsidRDefault="007B57FD" w:rsidP="008D6416">
      <w:pPr>
        <w:spacing w:after="0" w:line="240" w:lineRule="auto"/>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 xml:space="preserve">During the </w:t>
      </w:r>
      <w:r w:rsidR="00C16A7A" w:rsidRPr="003A0B63">
        <w:rPr>
          <w:rFonts w:ascii="Times New Roman" w:eastAsia="Times New Roman" w:hAnsi="Times New Roman" w:cs="Times New Roman"/>
          <w:sz w:val="24"/>
          <w:szCs w:val="24"/>
        </w:rPr>
        <w:t>November 8</w:t>
      </w:r>
      <w:r w:rsidR="00C16A7A" w:rsidRPr="003A0B63">
        <w:rPr>
          <w:rFonts w:ascii="Times New Roman" w:eastAsia="Times New Roman" w:hAnsi="Times New Roman" w:cs="Times New Roman"/>
          <w:sz w:val="24"/>
          <w:szCs w:val="24"/>
          <w:vertAlign w:val="superscript"/>
        </w:rPr>
        <w:t>th</w:t>
      </w:r>
      <w:r w:rsidR="00C16A7A" w:rsidRPr="003A0B63">
        <w:rPr>
          <w:rFonts w:ascii="Times New Roman" w:eastAsia="Times New Roman" w:hAnsi="Times New Roman" w:cs="Times New Roman"/>
          <w:sz w:val="24"/>
          <w:szCs w:val="24"/>
        </w:rPr>
        <w:t xml:space="preserve"> </w:t>
      </w:r>
      <w:r w:rsidRPr="003A0B63">
        <w:rPr>
          <w:rFonts w:ascii="Times New Roman" w:eastAsia="Times New Roman" w:hAnsi="Times New Roman" w:cs="Times New Roman"/>
          <w:sz w:val="24"/>
          <w:szCs w:val="24"/>
        </w:rPr>
        <w:t xml:space="preserve">forum discussion, questions </w:t>
      </w:r>
      <w:r w:rsidR="00C16A7A" w:rsidRPr="003A0B63">
        <w:rPr>
          <w:rFonts w:ascii="Times New Roman" w:eastAsia="Times New Roman" w:hAnsi="Times New Roman" w:cs="Times New Roman"/>
          <w:sz w:val="24"/>
          <w:szCs w:val="24"/>
        </w:rPr>
        <w:t xml:space="preserve">were raised </w:t>
      </w:r>
      <w:r w:rsidRPr="003A0B63">
        <w:rPr>
          <w:rFonts w:ascii="Times New Roman" w:eastAsia="Times New Roman" w:hAnsi="Times New Roman" w:cs="Times New Roman"/>
          <w:sz w:val="24"/>
          <w:szCs w:val="24"/>
        </w:rPr>
        <w:t xml:space="preserve">about whether ISOs and RTOs </w:t>
      </w:r>
      <w:r w:rsidR="00C16A7A" w:rsidRPr="003A0B63">
        <w:rPr>
          <w:rFonts w:ascii="Times New Roman" w:eastAsia="Times New Roman" w:hAnsi="Times New Roman" w:cs="Times New Roman"/>
          <w:sz w:val="24"/>
          <w:szCs w:val="24"/>
        </w:rPr>
        <w:t xml:space="preserve">should </w:t>
      </w:r>
      <w:r w:rsidRPr="003A0B63">
        <w:rPr>
          <w:rFonts w:ascii="Times New Roman" w:eastAsia="Times New Roman" w:hAnsi="Times New Roman" w:cs="Times New Roman"/>
          <w:sz w:val="24"/>
          <w:szCs w:val="24"/>
        </w:rPr>
        <w:t>weigh in to support expansion of pipeline infrastructure that may be important to maintain operational flexibility and reliable services to gas generators in their region</w:t>
      </w:r>
      <w:r w:rsidR="00AA62CF" w:rsidRPr="003A0B63">
        <w:rPr>
          <w:rFonts w:ascii="Times New Roman" w:eastAsia="Times New Roman" w:hAnsi="Times New Roman" w:cs="Times New Roman"/>
          <w:sz w:val="24"/>
          <w:szCs w:val="24"/>
        </w:rPr>
        <w:t xml:space="preserve">. </w:t>
      </w:r>
      <w:r w:rsidRPr="003A0B63">
        <w:rPr>
          <w:rFonts w:ascii="Times New Roman" w:eastAsia="Times New Roman" w:hAnsi="Times New Roman" w:cs="Times New Roman"/>
          <w:sz w:val="24"/>
          <w:szCs w:val="24"/>
        </w:rPr>
        <w:t xml:space="preserve">There was some interest shown </w:t>
      </w:r>
      <w:r w:rsidR="00C16A7A" w:rsidRPr="003A0B63">
        <w:rPr>
          <w:rFonts w:ascii="Times New Roman" w:eastAsia="Times New Roman" w:hAnsi="Times New Roman" w:cs="Times New Roman"/>
          <w:sz w:val="24"/>
          <w:szCs w:val="24"/>
        </w:rPr>
        <w:t>by regional operators</w:t>
      </w:r>
      <w:r w:rsidR="00181629" w:rsidRPr="003A0B63">
        <w:rPr>
          <w:rFonts w:ascii="Times New Roman" w:eastAsia="Times New Roman" w:hAnsi="Times New Roman" w:cs="Times New Roman"/>
          <w:sz w:val="24"/>
          <w:szCs w:val="24"/>
        </w:rPr>
        <w:t>,</w:t>
      </w:r>
      <w:r w:rsidRPr="003A0B63">
        <w:rPr>
          <w:rFonts w:ascii="Times New Roman" w:eastAsia="Times New Roman" w:hAnsi="Times New Roman" w:cs="Times New Roman"/>
          <w:sz w:val="24"/>
          <w:szCs w:val="24"/>
        </w:rPr>
        <w:t xml:space="preserve"> but </w:t>
      </w:r>
      <w:r w:rsidR="00C16A7A" w:rsidRPr="003A0B63">
        <w:rPr>
          <w:rFonts w:ascii="Times New Roman" w:eastAsia="Times New Roman" w:hAnsi="Times New Roman" w:cs="Times New Roman"/>
          <w:sz w:val="24"/>
          <w:szCs w:val="24"/>
        </w:rPr>
        <w:t>some commenters suggested</w:t>
      </w:r>
      <w:r w:rsidRPr="003A0B63">
        <w:rPr>
          <w:rFonts w:ascii="Times New Roman" w:eastAsia="Times New Roman" w:hAnsi="Times New Roman" w:cs="Times New Roman"/>
          <w:sz w:val="24"/>
          <w:szCs w:val="24"/>
        </w:rPr>
        <w:t xml:space="preserve"> that RTOs are precluded from supporting gas infrastructure because they are committed to being fuel neutral</w:t>
      </w:r>
      <w:r w:rsidR="00AA62CF" w:rsidRPr="003A0B63">
        <w:rPr>
          <w:rFonts w:ascii="Times New Roman" w:eastAsia="Times New Roman" w:hAnsi="Times New Roman" w:cs="Times New Roman"/>
          <w:sz w:val="24"/>
          <w:szCs w:val="24"/>
        </w:rPr>
        <w:t xml:space="preserve">. </w:t>
      </w:r>
      <w:r w:rsidRPr="003A0B63">
        <w:rPr>
          <w:rFonts w:ascii="Times New Roman" w:eastAsia="Times New Roman" w:hAnsi="Times New Roman" w:cs="Times New Roman"/>
          <w:sz w:val="24"/>
          <w:szCs w:val="24"/>
        </w:rPr>
        <w:t xml:space="preserve">In the past year, we have seen some RTOs weigh in at FERC to support a more balanced certificate policy given the importance of gas infrastructure for system reliability and we hope </w:t>
      </w:r>
      <w:r w:rsidR="003A0B63">
        <w:rPr>
          <w:rFonts w:ascii="Times New Roman" w:eastAsia="Times New Roman" w:hAnsi="Times New Roman" w:cs="Times New Roman"/>
          <w:sz w:val="24"/>
          <w:szCs w:val="24"/>
        </w:rPr>
        <w:t>that regional operators will continue to weigh in when they believe pipeline projects are needed to maintain electric reliability</w:t>
      </w:r>
      <w:r w:rsidRPr="003A0B63">
        <w:rPr>
          <w:rFonts w:ascii="Times New Roman" w:eastAsia="Times New Roman" w:hAnsi="Times New Roman" w:cs="Times New Roman"/>
          <w:sz w:val="24"/>
          <w:szCs w:val="24"/>
        </w:rPr>
        <w:t xml:space="preserve"> because the voices of regional operators </w:t>
      </w:r>
      <w:r w:rsidR="00181629" w:rsidRPr="003A0B63">
        <w:rPr>
          <w:rFonts w:ascii="Times New Roman" w:eastAsia="Times New Roman" w:hAnsi="Times New Roman" w:cs="Times New Roman"/>
          <w:sz w:val="24"/>
          <w:szCs w:val="24"/>
        </w:rPr>
        <w:t>are</w:t>
      </w:r>
      <w:r w:rsidRPr="003A0B63">
        <w:rPr>
          <w:rFonts w:ascii="Times New Roman" w:eastAsia="Times New Roman" w:hAnsi="Times New Roman" w:cs="Times New Roman"/>
          <w:sz w:val="24"/>
          <w:szCs w:val="24"/>
        </w:rPr>
        <w:t xml:space="preserve"> </w:t>
      </w:r>
      <w:r w:rsidR="003A0B63">
        <w:rPr>
          <w:rFonts w:ascii="Times New Roman" w:eastAsia="Times New Roman" w:hAnsi="Times New Roman" w:cs="Times New Roman"/>
          <w:sz w:val="24"/>
          <w:szCs w:val="24"/>
        </w:rPr>
        <w:t xml:space="preserve">credible voices that </w:t>
      </w:r>
      <w:r w:rsidR="0027727C" w:rsidRPr="003A0B63">
        <w:rPr>
          <w:rFonts w:ascii="Times New Roman" w:eastAsia="Times New Roman" w:hAnsi="Times New Roman" w:cs="Times New Roman"/>
          <w:sz w:val="24"/>
          <w:szCs w:val="24"/>
        </w:rPr>
        <w:t xml:space="preserve">FERC </w:t>
      </w:r>
      <w:r w:rsidR="003A0B63">
        <w:rPr>
          <w:rFonts w:ascii="Times New Roman" w:eastAsia="Times New Roman" w:hAnsi="Times New Roman" w:cs="Times New Roman"/>
          <w:sz w:val="24"/>
          <w:szCs w:val="24"/>
        </w:rPr>
        <w:t xml:space="preserve">should hear from as they </w:t>
      </w:r>
      <w:r w:rsidR="0027727C" w:rsidRPr="003A0B63">
        <w:rPr>
          <w:rFonts w:ascii="Times New Roman" w:eastAsia="Times New Roman" w:hAnsi="Times New Roman" w:cs="Times New Roman"/>
          <w:sz w:val="24"/>
          <w:szCs w:val="24"/>
        </w:rPr>
        <w:t xml:space="preserve">evaluate </w:t>
      </w:r>
      <w:r w:rsidRPr="003A0B63">
        <w:rPr>
          <w:rFonts w:ascii="Times New Roman" w:eastAsia="Times New Roman" w:hAnsi="Times New Roman" w:cs="Times New Roman"/>
          <w:sz w:val="24"/>
          <w:szCs w:val="24"/>
        </w:rPr>
        <w:t xml:space="preserve">the need for new projects.  </w:t>
      </w:r>
    </w:p>
    <w:p w14:paraId="0600EB9A" w14:textId="77777777" w:rsidR="006F0007" w:rsidRDefault="006F0007" w:rsidP="00BA2DA3">
      <w:pPr>
        <w:rPr>
          <w:rFonts w:ascii="Times New Roman" w:eastAsia="Times New Roman" w:hAnsi="Times New Roman" w:cs="Times New Roman"/>
          <w:sz w:val="24"/>
          <w:szCs w:val="24"/>
        </w:rPr>
      </w:pPr>
    </w:p>
    <w:p w14:paraId="515CA4B7" w14:textId="05743D6A" w:rsidR="006D6DEE" w:rsidRPr="003A0B63" w:rsidRDefault="007B57FD" w:rsidP="00BA2DA3">
      <w:pPr>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In our view, there are two ways that regional operators can maintain fuel neutrality: (1) do not support any resources or (2) support all resources</w:t>
      </w:r>
      <w:r w:rsidR="00AA62CF" w:rsidRPr="003A0B63">
        <w:rPr>
          <w:rFonts w:ascii="Times New Roman" w:eastAsia="Times New Roman" w:hAnsi="Times New Roman" w:cs="Times New Roman"/>
          <w:sz w:val="24"/>
          <w:szCs w:val="24"/>
        </w:rPr>
        <w:t xml:space="preserve">. </w:t>
      </w:r>
      <w:r w:rsidR="000E4B2B" w:rsidRPr="008D6416">
        <w:rPr>
          <w:rFonts w:ascii="Times New Roman" w:eastAsiaTheme="minorEastAsia" w:hAnsi="Times New Roman" w:cs="Times New Roman"/>
          <w:kern w:val="24"/>
          <w:sz w:val="24"/>
          <w:szCs w:val="24"/>
        </w:rPr>
        <w:t xml:space="preserve">If there is anything hindering the ability of assets </w:t>
      </w:r>
      <w:r w:rsidRPr="008D6416">
        <w:rPr>
          <w:rFonts w:ascii="Times New Roman" w:eastAsiaTheme="minorEastAsia" w:hAnsi="Times New Roman" w:cs="Times New Roman"/>
          <w:kern w:val="24"/>
          <w:sz w:val="24"/>
          <w:szCs w:val="24"/>
        </w:rPr>
        <w:t>in a region</w:t>
      </w:r>
      <w:r w:rsidR="000E4B2B" w:rsidRPr="008D6416">
        <w:rPr>
          <w:rFonts w:ascii="Times New Roman" w:eastAsiaTheme="minorEastAsia" w:hAnsi="Times New Roman" w:cs="Times New Roman"/>
          <w:kern w:val="24"/>
          <w:sz w:val="24"/>
          <w:szCs w:val="24"/>
        </w:rPr>
        <w:t xml:space="preserve"> from being readily available to operate, the RTO should have </w:t>
      </w:r>
      <w:r w:rsidR="00C16A7A" w:rsidRPr="008D6416">
        <w:rPr>
          <w:rFonts w:ascii="Times New Roman" w:eastAsiaTheme="minorEastAsia" w:hAnsi="Times New Roman" w:cs="Times New Roman"/>
          <w:kern w:val="24"/>
          <w:sz w:val="24"/>
          <w:szCs w:val="24"/>
        </w:rPr>
        <w:t xml:space="preserve">not only the right but also </w:t>
      </w:r>
      <w:r w:rsidR="000E4B2B" w:rsidRPr="008D6416">
        <w:rPr>
          <w:rFonts w:ascii="Times New Roman" w:eastAsiaTheme="minorEastAsia" w:hAnsi="Times New Roman" w:cs="Times New Roman"/>
          <w:kern w:val="24"/>
          <w:sz w:val="24"/>
          <w:szCs w:val="24"/>
        </w:rPr>
        <w:t>the obligation to weigh in to support removal of those hindrances</w:t>
      </w:r>
      <w:r w:rsidRPr="008D6416">
        <w:rPr>
          <w:rFonts w:ascii="Times New Roman" w:eastAsiaTheme="minorEastAsia" w:hAnsi="Times New Roman" w:cs="Times New Roman"/>
          <w:kern w:val="24"/>
          <w:sz w:val="24"/>
          <w:szCs w:val="24"/>
        </w:rPr>
        <w:t xml:space="preserve"> whether it is for transmission constraints for wind, rail transport for coal or pipeline capacity for gas unit</w:t>
      </w:r>
      <w:r w:rsidR="00222AA5" w:rsidRPr="008D6416">
        <w:rPr>
          <w:rFonts w:ascii="Times New Roman" w:eastAsiaTheme="minorEastAsia" w:hAnsi="Times New Roman" w:cs="Times New Roman"/>
          <w:kern w:val="24"/>
          <w:sz w:val="24"/>
          <w:szCs w:val="24"/>
        </w:rPr>
        <w:t>s</w:t>
      </w:r>
      <w:r w:rsidR="00AA62CF" w:rsidRPr="008D6416">
        <w:rPr>
          <w:rFonts w:ascii="Times New Roman" w:eastAsiaTheme="minorEastAsia" w:hAnsi="Times New Roman" w:cs="Times New Roman"/>
          <w:kern w:val="24"/>
          <w:sz w:val="24"/>
          <w:szCs w:val="24"/>
        </w:rPr>
        <w:t xml:space="preserve">. </w:t>
      </w:r>
      <w:r w:rsidR="00C16A7A" w:rsidRPr="008D6416">
        <w:rPr>
          <w:rFonts w:ascii="Times New Roman" w:eastAsiaTheme="minorEastAsia" w:hAnsi="Times New Roman" w:cs="Times New Roman"/>
          <w:kern w:val="24"/>
          <w:sz w:val="24"/>
          <w:szCs w:val="24"/>
        </w:rPr>
        <w:t>Also, d</w:t>
      </w:r>
      <w:r w:rsidR="00BA2DA3" w:rsidRPr="008D6416">
        <w:rPr>
          <w:rFonts w:ascii="Times New Roman" w:eastAsiaTheme="minorEastAsia" w:hAnsi="Times New Roman" w:cs="Times New Roman"/>
          <w:kern w:val="24"/>
          <w:sz w:val="24"/>
          <w:szCs w:val="24"/>
        </w:rPr>
        <w:t xml:space="preserve">uring the last forum discussion, </w:t>
      </w:r>
      <w:r w:rsidR="00C16A7A" w:rsidRPr="008D6416">
        <w:rPr>
          <w:rFonts w:ascii="Times New Roman" w:eastAsiaTheme="minorEastAsia" w:hAnsi="Times New Roman" w:cs="Times New Roman"/>
          <w:kern w:val="24"/>
          <w:sz w:val="24"/>
          <w:szCs w:val="24"/>
        </w:rPr>
        <w:t>the regional operators called for more</w:t>
      </w:r>
      <w:r w:rsidR="00BA2DA3" w:rsidRPr="008D6416">
        <w:rPr>
          <w:rFonts w:ascii="Times New Roman" w:eastAsiaTheme="minorEastAsia" w:hAnsi="Times New Roman" w:cs="Times New Roman"/>
          <w:kern w:val="24"/>
          <w:sz w:val="24"/>
          <w:szCs w:val="24"/>
        </w:rPr>
        <w:t xml:space="preserve"> p</w:t>
      </w:r>
      <w:r w:rsidR="006D6DEE" w:rsidRPr="003A0B63">
        <w:rPr>
          <w:rFonts w:ascii="Times New Roman" w:eastAsia="Times New Roman" w:hAnsi="Times New Roman" w:cs="Times New Roman"/>
          <w:sz w:val="24"/>
          <w:szCs w:val="24"/>
        </w:rPr>
        <w:t>ipeline coordination on long-term planning</w:t>
      </w:r>
      <w:r w:rsidR="00AA62CF" w:rsidRPr="003A0B63">
        <w:rPr>
          <w:rFonts w:ascii="Times New Roman" w:eastAsia="Times New Roman" w:hAnsi="Times New Roman" w:cs="Times New Roman"/>
          <w:sz w:val="24"/>
          <w:szCs w:val="24"/>
        </w:rPr>
        <w:t xml:space="preserve">. </w:t>
      </w:r>
      <w:r w:rsidR="00C16A7A" w:rsidRPr="003A0B63">
        <w:rPr>
          <w:rFonts w:ascii="Times New Roman" w:eastAsia="Times New Roman" w:hAnsi="Times New Roman" w:cs="Times New Roman"/>
          <w:sz w:val="24"/>
          <w:szCs w:val="24"/>
        </w:rPr>
        <w:t>Long-term planning</w:t>
      </w:r>
      <w:r w:rsidR="00BA2DA3" w:rsidRPr="003A0B63">
        <w:rPr>
          <w:rFonts w:ascii="Times New Roman" w:eastAsia="Times New Roman" w:hAnsi="Times New Roman" w:cs="Times New Roman"/>
          <w:sz w:val="24"/>
          <w:szCs w:val="24"/>
        </w:rPr>
        <w:t xml:space="preserve"> discussions </w:t>
      </w:r>
      <w:r w:rsidR="00C16A7A" w:rsidRPr="003A0B63">
        <w:rPr>
          <w:rFonts w:ascii="Times New Roman" w:eastAsia="Times New Roman" w:hAnsi="Times New Roman" w:cs="Times New Roman"/>
          <w:sz w:val="24"/>
          <w:szCs w:val="24"/>
        </w:rPr>
        <w:t xml:space="preserve">may </w:t>
      </w:r>
      <w:r w:rsidR="00BA2DA3" w:rsidRPr="003A0B63">
        <w:rPr>
          <w:rFonts w:ascii="Times New Roman" w:eastAsia="Times New Roman" w:hAnsi="Times New Roman" w:cs="Times New Roman"/>
          <w:sz w:val="24"/>
          <w:szCs w:val="24"/>
        </w:rPr>
        <w:t>be helpful in increasing an RTO’s understanding of whether there is sufficient capacity in their region and the role they can pla</w:t>
      </w:r>
      <w:r w:rsidR="0027727C" w:rsidRPr="003A0B63">
        <w:rPr>
          <w:rFonts w:ascii="Times New Roman" w:eastAsia="Times New Roman" w:hAnsi="Times New Roman" w:cs="Times New Roman"/>
          <w:sz w:val="24"/>
          <w:szCs w:val="24"/>
        </w:rPr>
        <w:t>y</w:t>
      </w:r>
      <w:r w:rsidR="00BA2DA3" w:rsidRPr="003A0B63">
        <w:rPr>
          <w:rFonts w:ascii="Times New Roman" w:eastAsia="Times New Roman" w:hAnsi="Times New Roman" w:cs="Times New Roman"/>
          <w:sz w:val="24"/>
          <w:szCs w:val="24"/>
        </w:rPr>
        <w:t xml:space="preserve"> in facilitating the building of needed infrastructure</w:t>
      </w:r>
      <w:r w:rsidR="00AA62CF" w:rsidRPr="003A0B63">
        <w:rPr>
          <w:rFonts w:ascii="Times New Roman" w:eastAsia="Times New Roman" w:hAnsi="Times New Roman" w:cs="Times New Roman"/>
          <w:sz w:val="24"/>
          <w:szCs w:val="24"/>
        </w:rPr>
        <w:t xml:space="preserve">. </w:t>
      </w:r>
    </w:p>
    <w:p w14:paraId="1FA5303D" w14:textId="43108D97" w:rsidR="00C72037" w:rsidRPr="003A0B63" w:rsidRDefault="00850CC0" w:rsidP="00BA2DA3">
      <w:pPr>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Related to long-term planning and coordination, we agree that modeling extreme weather events and disruptions is a critical component to prepare for emergency situations</w:t>
      </w:r>
      <w:r w:rsidR="00AA62CF" w:rsidRPr="003A0B63">
        <w:rPr>
          <w:rFonts w:ascii="Times New Roman" w:eastAsia="Times New Roman" w:hAnsi="Times New Roman" w:cs="Times New Roman"/>
          <w:sz w:val="24"/>
          <w:szCs w:val="24"/>
        </w:rPr>
        <w:t xml:space="preserve">. </w:t>
      </w:r>
      <w:r w:rsidRPr="003A0B63">
        <w:rPr>
          <w:rFonts w:ascii="Times New Roman" w:eastAsia="Times New Roman" w:hAnsi="Times New Roman" w:cs="Times New Roman"/>
          <w:sz w:val="24"/>
          <w:szCs w:val="24"/>
        </w:rPr>
        <w:t xml:space="preserve">However, we </w:t>
      </w:r>
      <w:r w:rsidR="00AE30F3" w:rsidRPr="003A0B63">
        <w:rPr>
          <w:rFonts w:ascii="Times New Roman" w:eastAsia="Times New Roman" w:hAnsi="Times New Roman" w:cs="Times New Roman"/>
          <w:sz w:val="24"/>
          <w:szCs w:val="24"/>
        </w:rPr>
        <w:t xml:space="preserve">cannot </w:t>
      </w:r>
      <w:r w:rsidRPr="003A0B63">
        <w:rPr>
          <w:rFonts w:ascii="Times New Roman" w:eastAsia="Times New Roman" w:hAnsi="Times New Roman" w:cs="Times New Roman"/>
          <w:sz w:val="24"/>
          <w:szCs w:val="24"/>
        </w:rPr>
        <w:t>lose sight that</w:t>
      </w:r>
      <w:r w:rsidR="00AE30F3" w:rsidRPr="003A0B63">
        <w:rPr>
          <w:rFonts w:ascii="Times New Roman" w:eastAsia="Times New Roman" w:hAnsi="Times New Roman" w:cs="Times New Roman"/>
          <w:sz w:val="24"/>
          <w:szCs w:val="24"/>
        </w:rPr>
        <w:t>,</w:t>
      </w:r>
      <w:r w:rsidRPr="003A0B63">
        <w:rPr>
          <w:rFonts w:ascii="Times New Roman" w:eastAsia="Times New Roman" w:hAnsi="Times New Roman" w:cs="Times New Roman"/>
          <w:sz w:val="24"/>
          <w:szCs w:val="24"/>
        </w:rPr>
        <w:t xml:space="preserve"> with the expected new usage patterns that may </w:t>
      </w:r>
      <w:r w:rsidR="0027727C" w:rsidRPr="003A0B63">
        <w:rPr>
          <w:rFonts w:ascii="Times New Roman" w:eastAsia="Times New Roman" w:hAnsi="Times New Roman" w:cs="Times New Roman"/>
          <w:sz w:val="24"/>
          <w:szCs w:val="24"/>
        </w:rPr>
        <w:t xml:space="preserve">be </w:t>
      </w:r>
      <w:r w:rsidRPr="003A0B63">
        <w:rPr>
          <w:rFonts w:ascii="Times New Roman" w:eastAsia="Times New Roman" w:hAnsi="Times New Roman" w:cs="Times New Roman"/>
          <w:sz w:val="24"/>
          <w:szCs w:val="24"/>
        </w:rPr>
        <w:t xml:space="preserve">required to support more frequent and increased ramping requirements of gas generators to balance variable energy resources, </w:t>
      </w:r>
      <w:r w:rsidR="00AE30F3" w:rsidRPr="003A0B63">
        <w:rPr>
          <w:rFonts w:ascii="Times New Roman" w:eastAsia="Times New Roman" w:hAnsi="Times New Roman" w:cs="Times New Roman"/>
          <w:sz w:val="24"/>
          <w:szCs w:val="24"/>
        </w:rPr>
        <w:t>we must make sure we are</w:t>
      </w:r>
      <w:r w:rsidRPr="003A0B63">
        <w:rPr>
          <w:rFonts w:ascii="Times New Roman" w:eastAsia="Times New Roman" w:hAnsi="Times New Roman" w:cs="Times New Roman"/>
          <w:sz w:val="24"/>
          <w:szCs w:val="24"/>
        </w:rPr>
        <w:t xml:space="preserve"> sufficiently equipped to </w:t>
      </w:r>
      <w:r w:rsidR="00AA62CF" w:rsidRPr="003A0B63">
        <w:rPr>
          <w:rFonts w:ascii="Times New Roman" w:eastAsia="Times New Roman" w:hAnsi="Times New Roman" w:cs="Times New Roman"/>
          <w:sz w:val="24"/>
          <w:szCs w:val="24"/>
        </w:rPr>
        <w:t>manage</w:t>
      </w:r>
      <w:r w:rsidRPr="003A0B63">
        <w:rPr>
          <w:rFonts w:ascii="Times New Roman" w:eastAsia="Times New Roman" w:hAnsi="Times New Roman" w:cs="Times New Roman"/>
          <w:sz w:val="24"/>
          <w:szCs w:val="24"/>
        </w:rPr>
        <w:t xml:space="preserve"> </w:t>
      </w:r>
      <w:r w:rsidR="00AE30F3" w:rsidRPr="003A0B63">
        <w:rPr>
          <w:rFonts w:ascii="Times New Roman" w:eastAsia="Times New Roman" w:hAnsi="Times New Roman" w:cs="Times New Roman"/>
          <w:sz w:val="24"/>
          <w:szCs w:val="24"/>
        </w:rPr>
        <w:t xml:space="preserve">even </w:t>
      </w:r>
      <w:r w:rsidRPr="003A0B63">
        <w:rPr>
          <w:rFonts w:ascii="Times New Roman" w:eastAsia="Times New Roman" w:hAnsi="Times New Roman" w:cs="Times New Roman"/>
          <w:sz w:val="24"/>
          <w:szCs w:val="24"/>
        </w:rPr>
        <w:t>normal daily operations, especially on peak days</w:t>
      </w:r>
      <w:r w:rsidR="00AA62CF" w:rsidRPr="003A0B63">
        <w:rPr>
          <w:rFonts w:ascii="Times New Roman" w:eastAsia="Times New Roman" w:hAnsi="Times New Roman" w:cs="Times New Roman"/>
          <w:sz w:val="24"/>
          <w:szCs w:val="24"/>
        </w:rPr>
        <w:t xml:space="preserve">. </w:t>
      </w:r>
      <w:r w:rsidRPr="003A0B63">
        <w:rPr>
          <w:rFonts w:ascii="Times New Roman" w:eastAsia="Times New Roman" w:hAnsi="Times New Roman" w:cs="Times New Roman"/>
          <w:sz w:val="24"/>
          <w:szCs w:val="24"/>
        </w:rPr>
        <w:t xml:space="preserve">If day-to-day operations are at risk, those issues must be prioritized </w:t>
      </w:r>
      <w:r w:rsidR="00AE30F3" w:rsidRPr="003A0B63">
        <w:rPr>
          <w:rFonts w:ascii="Times New Roman" w:eastAsia="Times New Roman" w:hAnsi="Times New Roman" w:cs="Times New Roman"/>
          <w:sz w:val="24"/>
          <w:szCs w:val="24"/>
        </w:rPr>
        <w:t>for immediate action</w:t>
      </w:r>
      <w:r w:rsidRPr="003A0B63">
        <w:rPr>
          <w:rFonts w:ascii="Times New Roman" w:eastAsia="Times New Roman" w:hAnsi="Times New Roman" w:cs="Times New Roman"/>
          <w:sz w:val="24"/>
          <w:szCs w:val="24"/>
        </w:rPr>
        <w:t xml:space="preserve">. </w:t>
      </w:r>
    </w:p>
    <w:p w14:paraId="4D8B651A" w14:textId="4AA6FDEC" w:rsidR="00C72037" w:rsidRPr="003A0B63" w:rsidRDefault="00B565B6" w:rsidP="003A0B63">
      <w:pPr>
        <w:pStyle w:val="ListParagraph"/>
        <w:numPr>
          <w:ilvl w:val="0"/>
          <w:numId w:val="7"/>
        </w:numPr>
        <w:rPr>
          <w:rFonts w:ascii="Times New Roman" w:eastAsia="Times New Roman" w:hAnsi="Times New Roman" w:cs="Times New Roman"/>
          <w:b/>
          <w:bCs/>
          <w:sz w:val="24"/>
          <w:szCs w:val="24"/>
        </w:rPr>
      </w:pPr>
      <w:r w:rsidRPr="003A0B63">
        <w:rPr>
          <w:rFonts w:ascii="Times New Roman" w:eastAsia="Times New Roman" w:hAnsi="Times New Roman" w:cs="Times New Roman"/>
          <w:b/>
          <w:bCs/>
          <w:sz w:val="24"/>
          <w:szCs w:val="24"/>
        </w:rPr>
        <w:t xml:space="preserve">Understanding the Limitations of Some </w:t>
      </w:r>
      <w:r w:rsidR="00C72037" w:rsidRPr="003A0B63">
        <w:rPr>
          <w:rFonts w:ascii="Times New Roman" w:eastAsia="Times New Roman" w:hAnsi="Times New Roman" w:cs="Times New Roman"/>
          <w:b/>
          <w:bCs/>
          <w:sz w:val="24"/>
          <w:szCs w:val="24"/>
        </w:rPr>
        <w:t>Suggested Gas Market Changes</w:t>
      </w:r>
    </w:p>
    <w:p w14:paraId="1C5A53C3" w14:textId="77777777" w:rsidR="003A0B63" w:rsidRDefault="003A0B63" w:rsidP="008D6416">
      <w:pPr>
        <w:spacing w:after="0" w:line="240" w:lineRule="auto"/>
        <w:rPr>
          <w:rFonts w:ascii="Times New Roman" w:eastAsia="Times New Roman" w:hAnsi="Times New Roman" w:cs="Times New Roman"/>
          <w:sz w:val="24"/>
          <w:szCs w:val="24"/>
        </w:rPr>
      </w:pPr>
    </w:p>
    <w:p w14:paraId="0A8D09ED" w14:textId="349A8F51" w:rsidR="00477480" w:rsidRPr="003A0B63" w:rsidRDefault="00C72037" w:rsidP="008D6416">
      <w:pPr>
        <w:spacing w:after="0" w:line="240" w:lineRule="auto"/>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 xml:space="preserve">If natural gas product offerings and services are not providing the types of flexibility that is needed to manage power generation needs, we want to </w:t>
      </w:r>
      <w:r w:rsidR="00AA62CF" w:rsidRPr="003A0B63">
        <w:rPr>
          <w:rFonts w:ascii="Times New Roman" w:eastAsia="Times New Roman" w:hAnsi="Times New Roman" w:cs="Times New Roman"/>
          <w:sz w:val="24"/>
          <w:szCs w:val="24"/>
        </w:rPr>
        <w:t>collaborate</w:t>
      </w:r>
      <w:r w:rsidRPr="003A0B63">
        <w:rPr>
          <w:rFonts w:ascii="Times New Roman" w:eastAsia="Times New Roman" w:hAnsi="Times New Roman" w:cs="Times New Roman"/>
          <w:sz w:val="24"/>
          <w:szCs w:val="24"/>
        </w:rPr>
        <w:t xml:space="preserve"> with our customers to find ways to develop products that can help better meet those needs</w:t>
      </w:r>
      <w:r w:rsidR="00AA62CF" w:rsidRPr="003A0B63">
        <w:rPr>
          <w:rFonts w:ascii="Times New Roman" w:eastAsia="Times New Roman" w:hAnsi="Times New Roman" w:cs="Times New Roman"/>
          <w:sz w:val="24"/>
          <w:szCs w:val="24"/>
        </w:rPr>
        <w:t xml:space="preserve">. </w:t>
      </w:r>
      <w:r w:rsidRPr="003A0B63">
        <w:rPr>
          <w:rFonts w:ascii="Times New Roman" w:eastAsia="Times New Roman" w:hAnsi="Times New Roman" w:cs="Times New Roman"/>
          <w:sz w:val="24"/>
          <w:szCs w:val="24"/>
        </w:rPr>
        <w:t>There are a number of physical market products available today that can ensure supply and pipeline capacity are reserved to manage generator contingencies and, at the same time, defray some of the costs of holding capacity when it is not needed</w:t>
      </w:r>
      <w:r w:rsidR="00AA62CF" w:rsidRPr="003A0B63">
        <w:rPr>
          <w:rFonts w:ascii="Times New Roman" w:eastAsia="Times New Roman" w:hAnsi="Times New Roman" w:cs="Times New Roman"/>
          <w:sz w:val="24"/>
          <w:szCs w:val="24"/>
        </w:rPr>
        <w:t xml:space="preserve">. </w:t>
      </w:r>
      <w:r w:rsidRPr="003A0B63">
        <w:rPr>
          <w:rFonts w:ascii="Times New Roman" w:eastAsia="Times New Roman" w:hAnsi="Times New Roman" w:cs="Times New Roman"/>
          <w:sz w:val="24"/>
          <w:szCs w:val="24"/>
        </w:rPr>
        <w:t xml:space="preserve">For example, </w:t>
      </w:r>
      <w:r w:rsidR="000C7DC1" w:rsidRPr="003A0B63">
        <w:rPr>
          <w:rFonts w:ascii="Times New Roman" w:eastAsia="Times New Roman" w:hAnsi="Times New Roman" w:cs="Times New Roman"/>
          <w:sz w:val="24"/>
          <w:szCs w:val="24"/>
        </w:rPr>
        <w:t xml:space="preserve">as discussed above, </w:t>
      </w:r>
      <w:r w:rsidRPr="003A0B63">
        <w:rPr>
          <w:rFonts w:ascii="Times New Roman" w:eastAsia="Times New Roman" w:hAnsi="Times New Roman" w:cs="Times New Roman"/>
          <w:sz w:val="24"/>
          <w:szCs w:val="24"/>
        </w:rPr>
        <w:t>a generator can buy firm capacity and then enter into an AMA with a marketer, who can optimize the use of the capacity when not in use with recall rights for the generator</w:t>
      </w:r>
      <w:r w:rsidR="00AA62CF" w:rsidRPr="003A0B63">
        <w:rPr>
          <w:rFonts w:ascii="Times New Roman" w:eastAsia="Times New Roman" w:hAnsi="Times New Roman" w:cs="Times New Roman"/>
          <w:sz w:val="24"/>
          <w:szCs w:val="24"/>
        </w:rPr>
        <w:t xml:space="preserve">. </w:t>
      </w:r>
      <w:r w:rsidRPr="003A0B63">
        <w:rPr>
          <w:rFonts w:ascii="Times New Roman" w:eastAsia="Times New Roman" w:hAnsi="Times New Roman" w:cs="Times New Roman"/>
          <w:sz w:val="24"/>
          <w:szCs w:val="24"/>
        </w:rPr>
        <w:t>Typically, these deals are negotiated to include some cost-sharing among the two parties for the optimization of the capacity</w:t>
      </w:r>
      <w:r w:rsidR="00AA62CF" w:rsidRPr="003A0B63">
        <w:rPr>
          <w:rFonts w:ascii="Times New Roman" w:eastAsia="Times New Roman" w:hAnsi="Times New Roman" w:cs="Times New Roman"/>
          <w:sz w:val="24"/>
          <w:szCs w:val="24"/>
        </w:rPr>
        <w:t xml:space="preserve">. </w:t>
      </w:r>
      <w:r w:rsidR="00205D0A" w:rsidRPr="003A0B63">
        <w:rPr>
          <w:rFonts w:ascii="Times New Roman" w:eastAsia="Times New Roman" w:hAnsi="Times New Roman" w:cs="Times New Roman"/>
          <w:sz w:val="24"/>
          <w:szCs w:val="24"/>
        </w:rPr>
        <w:t xml:space="preserve">While </w:t>
      </w:r>
      <w:r w:rsidR="00477480" w:rsidRPr="003A0B63">
        <w:rPr>
          <w:rFonts w:ascii="Times New Roman" w:eastAsia="Times New Roman" w:hAnsi="Times New Roman" w:cs="Times New Roman"/>
          <w:sz w:val="24"/>
          <w:szCs w:val="24"/>
        </w:rPr>
        <w:t xml:space="preserve">adding more nominations </w:t>
      </w:r>
      <w:r w:rsidR="00205D0A" w:rsidRPr="003A0B63">
        <w:rPr>
          <w:rFonts w:ascii="Times New Roman" w:eastAsia="Times New Roman" w:hAnsi="Times New Roman" w:cs="Times New Roman"/>
          <w:sz w:val="24"/>
          <w:szCs w:val="24"/>
        </w:rPr>
        <w:t xml:space="preserve">may provide some flexibility to make minor adjustments to a customer’s nominations, hourly nomination </w:t>
      </w:r>
      <w:r w:rsidR="00477480" w:rsidRPr="003A0B63">
        <w:rPr>
          <w:rFonts w:ascii="Times New Roman" w:eastAsia="Times New Roman" w:hAnsi="Times New Roman" w:cs="Times New Roman"/>
          <w:sz w:val="24"/>
          <w:szCs w:val="24"/>
        </w:rPr>
        <w:t xml:space="preserve">will not create more capacity and provides no real benefit </w:t>
      </w:r>
      <w:r w:rsidR="00205D0A" w:rsidRPr="003A0B63">
        <w:rPr>
          <w:rFonts w:ascii="Times New Roman" w:eastAsia="Times New Roman" w:hAnsi="Times New Roman" w:cs="Times New Roman"/>
          <w:sz w:val="24"/>
          <w:szCs w:val="24"/>
        </w:rPr>
        <w:t>during periods in which all</w:t>
      </w:r>
      <w:r w:rsidR="00477480" w:rsidRPr="003A0B63">
        <w:rPr>
          <w:rFonts w:ascii="Times New Roman" w:eastAsia="Times New Roman" w:hAnsi="Times New Roman" w:cs="Times New Roman"/>
          <w:sz w:val="24"/>
          <w:szCs w:val="24"/>
        </w:rPr>
        <w:t xml:space="preserve"> capacity </w:t>
      </w:r>
      <w:r w:rsidR="00205D0A" w:rsidRPr="003A0B63">
        <w:rPr>
          <w:rFonts w:ascii="Times New Roman" w:eastAsia="Times New Roman" w:hAnsi="Times New Roman" w:cs="Times New Roman"/>
          <w:sz w:val="24"/>
          <w:szCs w:val="24"/>
        </w:rPr>
        <w:t xml:space="preserve">has been fully </w:t>
      </w:r>
      <w:r w:rsidR="00477480" w:rsidRPr="003A0B63">
        <w:rPr>
          <w:rFonts w:ascii="Times New Roman" w:eastAsia="Times New Roman" w:hAnsi="Times New Roman" w:cs="Times New Roman"/>
          <w:sz w:val="24"/>
          <w:szCs w:val="24"/>
        </w:rPr>
        <w:t>nominated during the Timely Cycle</w:t>
      </w:r>
      <w:r w:rsidR="0027727C" w:rsidRPr="003A0B63">
        <w:rPr>
          <w:rFonts w:ascii="Times New Roman" w:eastAsia="Times New Roman" w:hAnsi="Times New Roman" w:cs="Times New Roman"/>
          <w:sz w:val="24"/>
          <w:szCs w:val="24"/>
        </w:rPr>
        <w:t xml:space="preserve">, which is </w:t>
      </w:r>
      <w:r w:rsidR="00205D0A" w:rsidRPr="003A0B63">
        <w:rPr>
          <w:rFonts w:ascii="Times New Roman" w:eastAsia="Times New Roman" w:hAnsi="Times New Roman" w:cs="Times New Roman"/>
          <w:sz w:val="24"/>
          <w:szCs w:val="24"/>
        </w:rPr>
        <w:t>typically</w:t>
      </w:r>
      <w:r w:rsidR="0027727C" w:rsidRPr="003A0B63">
        <w:rPr>
          <w:rFonts w:ascii="Times New Roman" w:eastAsia="Times New Roman" w:hAnsi="Times New Roman" w:cs="Times New Roman"/>
          <w:sz w:val="24"/>
          <w:szCs w:val="24"/>
        </w:rPr>
        <w:t xml:space="preserve"> the case during peak demand periods and extreme weather events</w:t>
      </w:r>
      <w:r w:rsidR="00AA62CF" w:rsidRPr="003A0B63">
        <w:rPr>
          <w:rFonts w:ascii="Times New Roman" w:eastAsia="Times New Roman" w:hAnsi="Times New Roman" w:cs="Times New Roman"/>
          <w:sz w:val="24"/>
          <w:szCs w:val="24"/>
        </w:rPr>
        <w:t xml:space="preserve">. </w:t>
      </w:r>
    </w:p>
    <w:p w14:paraId="2B2E757F" w14:textId="77777777" w:rsidR="003A0B63" w:rsidRDefault="003A0B63" w:rsidP="00C72037">
      <w:pPr>
        <w:rPr>
          <w:rFonts w:ascii="Times New Roman" w:eastAsia="Times New Roman" w:hAnsi="Times New Roman" w:cs="Times New Roman"/>
          <w:sz w:val="24"/>
          <w:szCs w:val="24"/>
        </w:rPr>
      </w:pPr>
    </w:p>
    <w:p w14:paraId="32D87BBE" w14:textId="3AB991EA" w:rsidR="00C72037" w:rsidRPr="003A0B63" w:rsidRDefault="00C72037" w:rsidP="00C72037">
      <w:pPr>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Capacity release</w:t>
      </w:r>
      <w:r w:rsidR="00DB5078" w:rsidRPr="003A0B63">
        <w:rPr>
          <w:rFonts w:ascii="Times New Roman" w:eastAsia="Times New Roman" w:hAnsi="Times New Roman" w:cs="Times New Roman"/>
          <w:sz w:val="24"/>
          <w:szCs w:val="24"/>
        </w:rPr>
        <w:t xml:space="preserve"> and </w:t>
      </w:r>
      <w:r w:rsidRPr="003A0B63">
        <w:rPr>
          <w:rFonts w:ascii="Times New Roman" w:eastAsia="Times New Roman" w:hAnsi="Times New Roman" w:cs="Times New Roman"/>
          <w:sz w:val="24"/>
          <w:szCs w:val="24"/>
        </w:rPr>
        <w:t xml:space="preserve">other secondary market transactions </w:t>
      </w:r>
      <w:r w:rsidR="00DB5078" w:rsidRPr="003A0B63">
        <w:rPr>
          <w:rFonts w:ascii="Times New Roman" w:eastAsia="Times New Roman" w:hAnsi="Times New Roman" w:cs="Times New Roman"/>
          <w:sz w:val="24"/>
          <w:szCs w:val="24"/>
        </w:rPr>
        <w:t xml:space="preserve">as well as unused pipeline capacity in the form of interruptible transportation </w:t>
      </w:r>
      <w:r w:rsidRPr="003A0B63">
        <w:rPr>
          <w:rFonts w:ascii="Times New Roman" w:eastAsia="Times New Roman" w:hAnsi="Times New Roman" w:cs="Times New Roman"/>
          <w:sz w:val="24"/>
          <w:szCs w:val="24"/>
        </w:rPr>
        <w:t xml:space="preserve">can also be </w:t>
      </w:r>
      <w:r w:rsidR="00DB5078" w:rsidRPr="003A0B63">
        <w:rPr>
          <w:rFonts w:ascii="Times New Roman" w:eastAsia="Times New Roman" w:hAnsi="Times New Roman" w:cs="Times New Roman"/>
          <w:sz w:val="24"/>
          <w:szCs w:val="24"/>
        </w:rPr>
        <w:t xml:space="preserve">utilized by generators </w:t>
      </w:r>
      <w:r w:rsidR="00BE3157" w:rsidRPr="003A0B63">
        <w:rPr>
          <w:rFonts w:ascii="Times New Roman" w:eastAsia="Times New Roman" w:hAnsi="Times New Roman" w:cs="Times New Roman"/>
          <w:sz w:val="24"/>
          <w:szCs w:val="24"/>
        </w:rPr>
        <w:t xml:space="preserve">yet </w:t>
      </w:r>
      <w:r w:rsidR="00DB5078" w:rsidRPr="003A0B63">
        <w:rPr>
          <w:rFonts w:ascii="Times New Roman" w:eastAsia="Times New Roman" w:hAnsi="Times New Roman" w:cs="Times New Roman"/>
          <w:sz w:val="24"/>
          <w:szCs w:val="24"/>
        </w:rPr>
        <w:t xml:space="preserve">each of these options have restrictions </w:t>
      </w:r>
      <w:r w:rsidR="0091747C">
        <w:rPr>
          <w:rFonts w:ascii="Times New Roman" w:eastAsia="Times New Roman" w:hAnsi="Times New Roman" w:cs="Times New Roman"/>
          <w:sz w:val="24"/>
          <w:szCs w:val="24"/>
        </w:rPr>
        <w:t xml:space="preserve">and risks </w:t>
      </w:r>
      <w:r w:rsidR="00DB5078" w:rsidRPr="003A0B63">
        <w:rPr>
          <w:rFonts w:ascii="Times New Roman" w:eastAsia="Times New Roman" w:hAnsi="Times New Roman" w:cs="Times New Roman"/>
          <w:sz w:val="24"/>
          <w:szCs w:val="24"/>
        </w:rPr>
        <w:t>that must be considered when weighing how reliable these options will be for providing the level of reliability required</w:t>
      </w:r>
      <w:r w:rsidR="00AA62CF" w:rsidRPr="003A0B63">
        <w:rPr>
          <w:rFonts w:ascii="Times New Roman" w:eastAsia="Times New Roman" w:hAnsi="Times New Roman" w:cs="Times New Roman"/>
          <w:sz w:val="24"/>
          <w:szCs w:val="24"/>
        </w:rPr>
        <w:t xml:space="preserve">. </w:t>
      </w:r>
      <w:r w:rsidR="00DB5078" w:rsidRPr="003A0B63">
        <w:rPr>
          <w:rFonts w:ascii="Times New Roman" w:eastAsia="Times New Roman" w:hAnsi="Times New Roman" w:cs="Times New Roman"/>
          <w:sz w:val="24"/>
          <w:szCs w:val="24"/>
        </w:rPr>
        <w:t>Most secondary market transactions, including capacity releases, will require the use of a secondary point on the pipeline, which has a lower priority when scheduling than primary points</w:t>
      </w:r>
      <w:r w:rsidR="00840037" w:rsidRPr="003A0B63">
        <w:rPr>
          <w:rFonts w:ascii="Times New Roman" w:eastAsia="Times New Roman" w:hAnsi="Times New Roman" w:cs="Times New Roman"/>
          <w:sz w:val="24"/>
          <w:szCs w:val="24"/>
        </w:rPr>
        <w:t xml:space="preserve"> and may be </w:t>
      </w:r>
      <w:r w:rsidR="00DF3783" w:rsidRPr="003A0B63">
        <w:rPr>
          <w:rFonts w:ascii="Times New Roman" w:eastAsia="Times New Roman" w:hAnsi="Times New Roman" w:cs="Times New Roman"/>
          <w:sz w:val="24"/>
          <w:szCs w:val="24"/>
        </w:rPr>
        <w:t>cut entirely during system constraints</w:t>
      </w:r>
      <w:r w:rsidR="00AA62CF" w:rsidRPr="003A0B63">
        <w:rPr>
          <w:rFonts w:ascii="Times New Roman" w:eastAsia="Times New Roman" w:hAnsi="Times New Roman" w:cs="Times New Roman"/>
          <w:sz w:val="24"/>
          <w:szCs w:val="24"/>
        </w:rPr>
        <w:t xml:space="preserve">. </w:t>
      </w:r>
      <w:r w:rsidR="00DB5078" w:rsidRPr="003A0B63">
        <w:rPr>
          <w:rFonts w:ascii="Times New Roman" w:eastAsia="Times New Roman" w:hAnsi="Times New Roman" w:cs="Times New Roman"/>
          <w:sz w:val="24"/>
          <w:szCs w:val="24"/>
        </w:rPr>
        <w:t xml:space="preserve">Therefore, on a peak day, if </w:t>
      </w:r>
      <w:r w:rsidR="00BE3157" w:rsidRPr="003A0B63">
        <w:rPr>
          <w:rFonts w:ascii="Times New Roman" w:eastAsia="Times New Roman" w:hAnsi="Times New Roman" w:cs="Times New Roman"/>
          <w:sz w:val="24"/>
          <w:szCs w:val="24"/>
        </w:rPr>
        <w:t xml:space="preserve">a generator is </w:t>
      </w:r>
      <w:r w:rsidR="00DB5078" w:rsidRPr="003A0B63">
        <w:rPr>
          <w:rFonts w:ascii="Times New Roman" w:eastAsia="Times New Roman" w:hAnsi="Times New Roman" w:cs="Times New Roman"/>
          <w:sz w:val="24"/>
          <w:szCs w:val="24"/>
        </w:rPr>
        <w:t xml:space="preserve">lucky enough to secure capacity that was previously reserved by a firm shipper, </w:t>
      </w:r>
      <w:r w:rsidR="00BE3157" w:rsidRPr="003A0B63">
        <w:rPr>
          <w:rFonts w:ascii="Times New Roman" w:eastAsia="Times New Roman" w:hAnsi="Times New Roman" w:cs="Times New Roman"/>
          <w:sz w:val="24"/>
          <w:szCs w:val="24"/>
        </w:rPr>
        <w:t xml:space="preserve">they </w:t>
      </w:r>
      <w:r w:rsidR="00DB5078" w:rsidRPr="003A0B63">
        <w:rPr>
          <w:rFonts w:ascii="Times New Roman" w:eastAsia="Times New Roman" w:hAnsi="Times New Roman" w:cs="Times New Roman"/>
          <w:sz w:val="24"/>
          <w:szCs w:val="24"/>
        </w:rPr>
        <w:t xml:space="preserve">will also need to be able to confirm that the pipeline will have the ability to deliver </w:t>
      </w:r>
      <w:r w:rsidR="00BE3157" w:rsidRPr="003A0B63">
        <w:rPr>
          <w:rFonts w:ascii="Times New Roman" w:eastAsia="Times New Roman" w:hAnsi="Times New Roman" w:cs="Times New Roman"/>
          <w:sz w:val="24"/>
          <w:szCs w:val="24"/>
        </w:rPr>
        <w:t xml:space="preserve">that </w:t>
      </w:r>
      <w:r w:rsidR="00DB5078" w:rsidRPr="003A0B63">
        <w:rPr>
          <w:rFonts w:ascii="Times New Roman" w:eastAsia="Times New Roman" w:hAnsi="Times New Roman" w:cs="Times New Roman"/>
          <w:sz w:val="24"/>
          <w:szCs w:val="24"/>
        </w:rPr>
        <w:t xml:space="preserve">gas to a secondary point, which is </w:t>
      </w:r>
      <w:r w:rsidR="00BE3157" w:rsidRPr="003A0B63">
        <w:rPr>
          <w:rFonts w:ascii="Times New Roman" w:eastAsia="Times New Roman" w:hAnsi="Times New Roman" w:cs="Times New Roman"/>
          <w:sz w:val="24"/>
          <w:szCs w:val="24"/>
        </w:rPr>
        <w:t xml:space="preserve">not always possible, especially </w:t>
      </w:r>
      <w:r w:rsidR="00DB5078" w:rsidRPr="003A0B63">
        <w:rPr>
          <w:rFonts w:ascii="Times New Roman" w:eastAsia="Times New Roman" w:hAnsi="Times New Roman" w:cs="Times New Roman"/>
          <w:sz w:val="24"/>
          <w:szCs w:val="24"/>
        </w:rPr>
        <w:t>on a peak day</w:t>
      </w:r>
      <w:r w:rsidR="00AA62CF" w:rsidRPr="003A0B63">
        <w:rPr>
          <w:rFonts w:ascii="Times New Roman" w:eastAsia="Times New Roman" w:hAnsi="Times New Roman" w:cs="Times New Roman"/>
          <w:sz w:val="24"/>
          <w:szCs w:val="24"/>
        </w:rPr>
        <w:t xml:space="preserve">. </w:t>
      </w:r>
      <w:r w:rsidR="00C25891" w:rsidRPr="003A0B63">
        <w:rPr>
          <w:rFonts w:ascii="Times New Roman" w:eastAsia="Times New Roman" w:hAnsi="Times New Roman" w:cs="Times New Roman"/>
          <w:sz w:val="24"/>
          <w:szCs w:val="24"/>
        </w:rPr>
        <w:t>If a customer needs reliable service, relying on secondary point capacity is not the way to achieve that</w:t>
      </w:r>
      <w:r w:rsidR="00AA62CF" w:rsidRPr="003A0B63">
        <w:rPr>
          <w:rFonts w:ascii="Times New Roman" w:eastAsia="Times New Roman" w:hAnsi="Times New Roman" w:cs="Times New Roman"/>
          <w:sz w:val="24"/>
          <w:szCs w:val="24"/>
        </w:rPr>
        <w:t xml:space="preserve">. </w:t>
      </w:r>
      <w:r w:rsidR="00DB5078" w:rsidRPr="003A0B63">
        <w:rPr>
          <w:rFonts w:ascii="Times New Roman" w:eastAsia="Times New Roman" w:hAnsi="Times New Roman" w:cs="Times New Roman"/>
          <w:sz w:val="24"/>
          <w:szCs w:val="24"/>
        </w:rPr>
        <w:t>It may be beneficial in this forum for pipeline companies to provide some percentages on how often secondary points are available during peak day periods</w:t>
      </w:r>
      <w:r w:rsidR="00AA62CF" w:rsidRPr="003A0B63">
        <w:rPr>
          <w:rFonts w:ascii="Times New Roman" w:eastAsia="Times New Roman" w:hAnsi="Times New Roman" w:cs="Times New Roman"/>
          <w:sz w:val="24"/>
          <w:szCs w:val="24"/>
        </w:rPr>
        <w:t xml:space="preserve">. </w:t>
      </w:r>
    </w:p>
    <w:p w14:paraId="483AF246" w14:textId="31FCBDC1" w:rsidR="00BB1ABC" w:rsidRPr="003A0B63" w:rsidRDefault="007C411A" w:rsidP="003A0B63">
      <w:pPr>
        <w:pStyle w:val="ListParagraph"/>
        <w:numPr>
          <w:ilvl w:val="0"/>
          <w:numId w:val="7"/>
        </w:numPr>
        <w:rPr>
          <w:rFonts w:ascii="Times New Roman" w:eastAsia="Times New Roman" w:hAnsi="Times New Roman" w:cs="Times New Roman"/>
          <w:b/>
          <w:bCs/>
          <w:sz w:val="24"/>
          <w:szCs w:val="24"/>
        </w:rPr>
      </w:pPr>
      <w:r w:rsidRPr="003A0B63">
        <w:rPr>
          <w:rFonts w:ascii="Times New Roman" w:eastAsia="Times New Roman" w:hAnsi="Times New Roman" w:cs="Times New Roman"/>
          <w:b/>
          <w:bCs/>
          <w:sz w:val="24"/>
          <w:szCs w:val="24"/>
        </w:rPr>
        <w:t xml:space="preserve">Further Changes to the No-bump Rule Provides No Meaningful Solution and </w:t>
      </w:r>
      <w:r w:rsidR="00996FBC" w:rsidRPr="003A0B63">
        <w:rPr>
          <w:rFonts w:ascii="Times New Roman" w:eastAsia="Times New Roman" w:hAnsi="Times New Roman" w:cs="Times New Roman"/>
          <w:b/>
          <w:bCs/>
          <w:sz w:val="24"/>
          <w:szCs w:val="24"/>
        </w:rPr>
        <w:t xml:space="preserve">are </w:t>
      </w:r>
      <w:r w:rsidRPr="003A0B63">
        <w:rPr>
          <w:rFonts w:ascii="Times New Roman" w:eastAsia="Times New Roman" w:hAnsi="Times New Roman" w:cs="Times New Roman"/>
          <w:b/>
          <w:bCs/>
          <w:sz w:val="24"/>
          <w:szCs w:val="24"/>
        </w:rPr>
        <w:t xml:space="preserve">More Likely to Hurt Most Gas Generators  </w:t>
      </w:r>
    </w:p>
    <w:p w14:paraId="1653ABB9" w14:textId="77777777" w:rsidR="00D8298E" w:rsidRPr="003A0B63" w:rsidRDefault="00D8298E" w:rsidP="008D6416">
      <w:pPr>
        <w:spacing w:after="0" w:line="240" w:lineRule="auto"/>
        <w:rPr>
          <w:rFonts w:ascii="Times New Roman" w:eastAsia="Times New Roman" w:hAnsi="Times New Roman" w:cs="Times New Roman"/>
          <w:sz w:val="24"/>
          <w:szCs w:val="24"/>
        </w:rPr>
      </w:pPr>
    </w:p>
    <w:p w14:paraId="414D5064" w14:textId="1F978000" w:rsidR="00276123" w:rsidRDefault="007C411A" w:rsidP="003A0B63">
      <w:pPr>
        <w:spacing w:after="0" w:line="240" w:lineRule="auto"/>
        <w:rPr>
          <w:rFonts w:ascii="Times New Roman" w:eastAsia="Times New Roman" w:hAnsi="Times New Roman" w:cs="Times New Roman"/>
          <w:sz w:val="24"/>
          <w:szCs w:val="24"/>
        </w:rPr>
      </w:pPr>
      <w:r w:rsidRPr="003A0B63">
        <w:rPr>
          <w:rFonts w:ascii="Times New Roman" w:eastAsia="Times New Roman" w:hAnsi="Times New Roman" w:cs="Times New Roman"/>
          <w:sz w:val="24"/>
          <w:szCs w:val="24"/>
        </w:rPr>
        <w:t xml:space="preserve">During the last forum discussion, </w:t>
      </w:r>
      <w:r w:rsidR="003A0B63">
        <w:rPr>
          <w:rFonts w:ascii="Times New Roman" w:eastAsia="Times New Roman" w:hAnsi="Times New Roman" w:cs="Times New Roman"/>
          <w:sz w:val="24"/>
          <w:szCs w:val="24"/>
        </w:rPr>
        <w:t>a participant asked that the forum</w:t>
      </w:r>
      <w:r w:rsidRPr="003A0B63">
        <w:rPr>
          <w:rFonts w:ascii="Times New Roman" w:eastAsia="Times New Roman" w:hAnsi="Times New Roman" w:cs="Times New Roman"/>
          <w:sz w:val="24"/>
          <w:szCs w:val="24"/>
        </w:rPr>
        <w:t xml:space="preserve"> consider changes to the no</w:t>
      </w:r>
      <w:r w:rsidR="00276123" w:rsidRPr="003A0B63">
        <w:rPr>
          <w:rFonts w:ascii="Times New Roman" w:eastAsia="Times New Roman" w:hAnsi="Times New Roman" w:cs="Times New Roman"/>
          <w:sz w:val="24"/>
          <w:szCs w:val="24"/>
        </w:rPr>
        <w:t>-bump rule</w:t>
      </w:r>
      <w:r w:rsidRPr="003A0B63">
        <w:rPr>
          <w:rFonts w:ascii="Times New Roman" w:eastAsia="Times New Roman" w:hAnsi="Times New Roman" w:cs="Times New Roman"/>
          <w:sz w:val="24"/>
          <w:szCs w:val="24"/>
        </w:rPr>
        <w:t xml:space="preserve">, which allows </w:t>
      </w:r>
      <w:r w:rsidR="00996FBC" w:rsidRPr="003A0B63">
        <w:rPr>
          <w:rFonts w:ascii="Times New Roman" w:eastAsia="Times New Roman" w:hAnsi="Times New Roman" w:cs="Times New Roman"/>
          <w:sz w:val="24"/>
          <w:szCs w:val="24"/>
        </w:rPr>
        <w:t xml:space="preserve">parties with flowing </w:t>
      </w:r>
      <w:r w:rsidRPr="003A0B63">
        <w:rPr>
          <w:rFonts w:ascii="Times New Roman" w:eastAsia="Times New Roman" w:hAnsi="Times New Roman" w:cs="Times New Roman"/>
          <w:sz w:val="24"/>
          <w:szCs w:val="24"/>
        </w:rPr>
        <w:t xml:space="preserve">interruptible transportation capacity to </w:t>
      </w:r>
      <w:r w:rsidR="00996FBC" w:rsidRPr="003A0B63">
        <w:rPr>
          <w:rFonts w:ascii="Times New Roman" w:eastAsia="Times New Roman" w:hAnsi="Times New Roman" w:cs="Times New Roman"/>
          <w:sz w:val="24"/>
          <w:szCs w:val="24"/>
        </w:rPr>
        <w:t xml:space="preserve">avoid </w:t>
      </w:r>
      <w:r w:rsidRPr="003A0B63">
        <w:rPr>
          <w:rFonts w:ascii="Times New Roman" w:eastAsia="Times New Roman" w:hAnsi="Times New Roman" w:cs="Times New Roman"/>
          <w:sz w:val="24"/>
          <w:szCs w:val="24"/>
        </w:rPr>
        <w:t>being bumped by a firm shipper</w:t>
      </w:r>
      <w:r w:rsidR="00996FBC" w:rsidRPr="003A0B63">
        <w:rPr>
          <w:rFonts w:ascii="Times New Roman" w:eastAsia="Times New Roman" w:hAnsi="Times New Roman" w:cs="Times New Roman"/>
          <w:sz w:val="24"/>
          <w:szCs w:val="24"/>
        </w:rPr>
        <w:t xml:space="preserve"> in the last intraday nomination cycle</w:t>
      </w:r>
      <w:r w:rsidR="00AA62CF" w:rsidRPr="003A0B63">
        <w:rPr>
          <w:rFonts w:ascii="Times New Roman" w:eastAsia="Times New Roman" w:hAnsi="Times New Roman" w:cs="Times New Roman"/>
          <w:sz w:val="24"/>
          <w:szCs w:val="24"/>
        </w:rPr>
        <w:t xml:space="preserve">. </w:t>
      </w:r>
      <w:r w:rsidRPr="003A0B63">
        <w:rPr>
          <w:rFonts w:ascii="Times New Roman" w:eastAsia="Times New Roman" w:hAnsi="Times New Roman" w:cs="Times New Roman"/>
          <w:sz w:val="24"/>
          <w:szCs w:val="24"/>
        </w:rPr>
        <w:t xml:space="preserve">The chat discussion indicated that perhaps more education is needed on the no-bump rule because some were under the misconception that the no-bump rule </w:t>
      </w:r>
      <w:r w:rsidR="0091747C">
        <w:rPr>
          <w:rFonts w:ascii="Times New Roman" w:eastAsia="Times New Roman" w:hAnsi="Times New Roman" w:cs="Times New Roman"/>
          <w:sz w:val="24"/>
          <w:szCs w:val="24"/>
        </w:rPr>
        <w:t>unduly</w:t>
      </w:r>
      <w:r w:rsidRPr="003A0B63">
        <w:rPr>
          <w:rFonts w:ascii="Times New Roman" w:eastAsia="Times New Roman" w:hAnsi="Times New Roman" w:cs="Times New Roman"/>
          <w:sz w:val="24"/>
          <w:szCs w:val="24"/>
        </w:rPr>
        <w:t xml:space="preserve"> undermined the firmness of a firm contract and</w:t>
      </w:r>
      <w:r w:rsidR="0091747C">
        <w:rPr>
          <w:rFonts w:ascii="Times New Roman" w:eastAsia="Times New Roman" w:hAnsi="Times New Roman" w:cs="Times New Roman"/>
          <w:sz w:val="24"/>
          <w:szCs w:val="24"/>
        </w:rPr>
        <w:t xml:space="preserve">, by extension, </w:t>
      </w:r>
      <w:r w:rsidRPr="003A0B63">
        <w:rPr>
          <w:rFonts w:ascii="Times New Roman" w:eastAsia="Times New Roman" w:hAnsi="Times New Roman" w:cs="Times New Roman"/>
          <w:sz w:val="24"/>
          <w:szCs w:val="24"/>
        </w:rPr>
        <w:t>the basis for firm contracting. That simply is not the case</w:t>
      </w:r>
      <w:r w:rsidR="00AA62CF" w:rsidRPr="003A0B63">
        <w:rPr>
          <w:rFonts w:ascii="Times New Roman" w:eastAsia="Times New Roman" w:hAnsi="Times New Roman" w:cs="Times New Roman"/>
          <w:sz w:val="24"/>
          <w:szCs w:val="24"/>
        </w:rPr>
        <w:t xml:space="preserve">. </w:t>
      </w:r>
    </w:p>
    <w:p w14:paraId="3E9239E4" w14:textId="77777777" w:rsidR="003A0B63" w:rsidRPr="003A0B63" w:rsidRDefault="003A0B63" w:rsidP="008D6416">
      <w:pPr>
        <w:spacing w:after="0" w:line="240" w:lineRule="auto"/>
        <w:rPr>
          <w:rFonts w:ascii="Times New Roman" w:eastAsia="Times New Roman" w:hAnsi="Times New Roman" w:cs="Times New Roman"/>
          <w:sz w:val="24"/>
          <w:szCs w:val="24"/>
        </w:rPr>
      </w:pPr>
    </w:p>
    <w:p w14:paraId="2DA1B62E" w14:textId="7DDAA646" w:rsidR="00E37949" w:rsidRPr="003A0B63" w:rsidRDefault="00E37949" w:rsidP="008E2A87">
      <w:pPr>
        <w:rPr>
          <w:rFonts w:ascii="Times New Roman" w:hAnsi="Times New Roman" w:cs="Times New Roman"/>
          <w:sz w:val="24"/>
          <w:szCs w:val="24"/>
        </w:rPr>
      </w:pPr>
      <w:r w:rsidRPr="003A0B63">
        <w:rPr>
          <w:rFonts w:ascii="Times New Roman" w:hAnsi="Times New Roman" w:cs="Times New Roman"/>
          <w:sz w:val="24"/>
          <w:szCs w:val="24"/>
        </w:rPr>
        <w:t>There have been several cases and a rulemaking</w:t>
      </w:r>
      <w:r w:rsidR="003A0B63">
        <w:rPr>
          <w:rFonts w:ascii="Times New Roman" w:hAnsi="Times New Roman" w:cs="Times New Roman"/>
          <w:sz w:val="24"/>
          <w:szCs w:val="24"/>
        </w:rPr>
        <w:t xml:space="preserve"> proceeding in which</w:t>
      </w:r>
      <w:r w:rsidRPr="003A0B63">
        <w:rPr>
          <w:rFonts w:ascii="Times New Roman" w:hAnsi="Times New Roman" w:cs="Times New Roman"/>
          <w:sz w:val="24"/>
          <w:szCs w:val="24"/>
        </w:rPr>
        <w:t xml:space="preserve"> changes to the no-bump cycle </w:t>
      </w:r>
      <w:r w:rsidR="003A0B63">
        <w:rPr>
          <w:rFonts w:ascii="Times New Roman" w:hAnsi="Times New Roman" w:cs="Times New Roman"/>
          <w:sz w:val="24"/>
          <w:szCs w:val="24"/>
        </w:rPr>
        <w:t>were</w:t>
      </w:r>
      <w:r w:rsidRPr="003A0B63">
        <w:rPr>
          <w:rFonts w:ascii="Times New Roman" w:hAnsi="Times New Roman" w:cs="Times New Roman"/>
          <w:sz w:val="24"/>
          <w:szCs w:val="24"/>
        </w:rPr>
        <w:t xml:space="preserve"> proposed and </w:t>
      </w:r>
      <w:r w:rsidR="003A0B63">
        <w:rPr>
          <w:rFonts w:ascii="Times New Roman" w:hAnsi="Times New Roman" w:cs="Times New Roman"/>
          <w:sz w:val="24"/>
          <w:szCs w:val="24"/>
        </w:rPr>
        <w:t xml:space="preserve">in each of those proceedings, </w:t>
      </w:r>
      <w:r w:rsidRPr="003A0B63">
        <w:rPr>
          <w:rFonts w:ascii="Times New Roman" w:hAnsi="Times New Roman" w:cs="Times New Roman"/>
          <w:sz w:val="24"/>
          <w:szCs w:val="24"/>
        </w:rPr>
        <w:t>FERC considered the arguments and rejected them for good reason -- it would be imprudent to eliminate the IT no-bump rule that plays a significant and valuable role in the natural gas market</w:t>
      </w:r>
      <w:r w:rsidR="00AA62CF" w:rsidRPr="003A0B63">
        <w:rPr>
          <w:rFonts w:ascii="Times New Roman" w:hAnsi="Times New Roman" w:cs="Times New Roman"/>
          <w:sz w:val="24"/>
          <w:szCs w:val="24"/>
        </w:rPr>
        <w:t xml:space="preserve">. </w:t>
      </w:r>
    </w:p>
    <w:p w14:paraId="27E0D4D0" w14:textId="5B1E05E8" w:rsidR="008E2A87" w:rsidRPr="003A0B63" w:rsidRDefault="008E2A87" w:rsidP="008E2A87">
      <w:pPr>
        <w:rPr>
          <w:rFonts w:ascii="Times New Roman" w:hAnsi="Times New Roman" w:cs="Times New Roman"/>
          <w:sz w:val="24"/>
          <w:szCs w:val="24"/>
        </w:rPr>
      </w:pPr>
      <w:r w:rsidRPr="003A0B63">
        <w:rPr>
          <w:rFonts w:ascii="Times New Roman" w:hAnsi="Times New Roman" w:cs="Times New Roman"/>
          <w:sz w:val="24"/>
          <w:szCs w:val="24"/>
        </w:rPr>
        <w:t xml:space="preserve">While a limited number of parties </w:t>
      </w:r>
      <w:r w:rsidR="00996FBC" w:rsidRPr="003A0B63">
        <w:rPr>
          <w:rFonts w:ascii="Times New Roman" w:hAnsi="Times New Roman" w:cs="Times New Roman"/>
          <w:sz w:val="24"/>
          <w:szCs w:val="24"/>
        </w:rPr>
        <w:t>might see some incremental benefit</w:t>
      </w:r>
      <w:r w:rsidRPr="003A0B63">
        <w:rPr>
          <w:rFonts w:ascii="Times New Roman" w:hAnsi="Times New Roman" w:cs="Times New Roman"/>
          <w:sz w:val="24"/>
          <w:szCs w:val="24"/>
        </w:rPr>
        <w:t xml:space="preserve"> from removal of the no-bump rule </w:t>
      </w:r>
      <w:r w:rsidR="00B90A5A" w:rsidRPr="003A0B63">
        <w:rPr>
          <w:rFonts w:ascii="Times New Roman" w:hAnsi="Times New Roman" w:cs="Times New Roman"/>
          <w:sz w:val="24"/>
          <w:szCs w:val="24"/>
        </w:rPr>
        <w:t xml:space="preserve">and </w:t>
      </w:r>
      <w:r w:rsidRPr="003A0B63">
        <w:rPr>
          <w:rFonts w:ascii="Times New Roman" w:hAnsi="Times New Roman" w:cs="Times New Roman"/>
          <w:sz w:val="24"/>
          <w:szCs w:val="24"/>
        </w:rPr>
        <w:t>have continually challenged it, FERC has repeated</w:t>
      </w:r>
      <w:r w:rsidR="00B90A5A" w:rsidRPr="003A0B63">
        <w:rPr>
          <w:rFonts w:ascii="Times New Roman" w:hAnsi="Times New Roman" w:cs="Times New Roman"/>
          <w:sz w:val="24"/>
          <w:szCs w:val="24"/>
        </w:rPr>
        <w:t>ly</w:t>
      </w:r>
      <w:r w:rsidRPr="003A0B63">
        <w:rPr>
          <w:rFonts w:ascii="Times New Roman" w:hAnsi="Times New Roman" w:cs="Times New Roman"/>
          <w:sz w:val="24"/>
          <w:szCs w:val="24"/>
        </w:rPr>
        <w:t xml:space="preserve"> rejected </w:t>
      </w:r>
      <w:r w:rsidR="00996FBC" w:rsidRPr="003A0B63">
        <w:rPr>
          <w:rFonts w:ascii="Times New Roman" w:hAnsi="Times New Roman" w:cs="Times New Roman"/>
          <w:sz w:val="24"/>
          <w:szCs w:val="24"/>
        </w:rPr>
        <w:t>requests to do so</w:t>
      </w:r>
      <w:r w:rsidRPr="003A0B63">
        <w:rPr>
          <w:rFonts w:ascii="Times New Roman" w:hAnsi="Times New Roman" w:cs="Times New Roman"/>
          <w:sz w:val="24"/>
          <w:szCs w:val="24"/>
        </w:rPr>
        <w:t xml:space="preserve"> and settled this issue</w:t>
      </w:r>
      <w:r w:rsidR="00AA62CF" w:rsidRPr="003A0B63">
        <w:rPr>
          <w:rFonts w:ascii="Times New Roman" w:hAnsi="Times New Roman" w:cs="Times New Roman"/>
          <w:sz w:val="24"/>
          <w:szCs w:val="24"/>
        </w:rPr>
        <w:t xml:space="preserve">. </w:t>
      </w:r>
      <w:r w:rsidRPr="003A0B63">
        <w:rPr>
          <w:rFonts w:ascii="Times New Roman" w:hAnsi="Times New Roman" w:cs="Times New Roman"/>
          <w:sz w:val="24"/>
          <w:szCs w:val="24"/>
        </w:rPr>
        <w:t>In Order No. 809, FERC stated: “</w:t>
      </w:r>
      <w:r w:rsidRPr="003A0B63">
        <w:rPr>
          <w:rFonts w:ascii="Times New Roman" w:hAnsi="Times New Roman" w:cs="Times New Roman"/>
          <w:b/>
          <w:bCs/>
          <w:sz w:val="24"/>
          <w:szCs w:val="24"/>
        </w:rPr>
        <w:t>We find sufficient support for retaining a no-bump cycle and respecting the gas industry consensus that was achieved</w:t>
      </w:r>
      <w:r w:rsidR="00AA62CF" w:rsidRPr="003A0B63">
        <w:rPr>
          <w:rFonts w:ascii="Times New Roman" w:hAnsi="Times New Roman" w:cs="Times New Roman"/>
          <w:sz w:val="24"/>
          <w:szCs w:val="24"/>
        </w:rPr>
        <w:t xml:space="preserve">. </w:t>
      </w:r>
      <w:r w:rsidRPr="003A0B63">
        <w:rPr>
          <w:rFonts w:ascii="Times New Roman" w:hAnsi="Times New Roman" w:cs="Times New Roman"/>
          <w:sz w:val="24"/>
          <w:szCs w:val="24"/>
        </w:rPr>
        <w:t xml:space="preserve">As several commenters maintain, and as the Commission has previously recognized, </w:t>
      </w:r>
      <w:r w:rsidRPr="003A0B63">
        <w:rPr>
          <w:rFonts w:ascii="Times New Roman" w:hAnsi="Times New Roman" w:cs="Times New Roman"/>
          <w:b/>
          <w:bCs/>
          <w:sz w:val="24"/>
          <w:szCs w:val="24"/>
        </w:rPr>
        <w:t>interruptible shippers need some stability in the nomination system</w:t>
      </w:r>
      <w:r w:rsidR="00AA62CF" w:rsidRPr="003A0B63">
        <w:rPr>
          <w:rFonts w:ascii="Times New Roman" w:hAnsi="Times New Roman" w:cs="Times New Roman"/>
          <w:b/>
          <w:bCs/>
          <w:sz w:val="24"/>
          <w:szCs w:val="24"/>
        </w:rPr>
        <w:t>.</w:t>
      </w:r>
      <w:r w:rsidR="00AA62CF" w:rsidRPr="003A0B63">
        <w:rPr>
          <w:rFonts w:ascii="Times New Roman" w:hAnsi="Times New Roman" w:cs="Times New Roman"/>
          <w:sz w:val="24"/>
          <w:szCs w:val="24"/>
        </w:rPr>
        <w:t xml:space="preserve"> </w:t>
      </w:r>
      <w:r w:rsidRPr="003A0B63">
        <w:rPr>
          <w:rFonts w:ascii="Times New Roman" w:hAnsi="Times New Roman" w:cs="Times New Roman"/>
          <w:sz w:val="24"/>
          <w:szCs w:val="24"/>
        </w:rPr>
        <w:t>In Order No. 587-G, the Commission accepted a consensus of the gas industry, including both firm and interruptible shippers, and accepted standards that provide that the last intraday nomination opportunity would not permit bumping of interruptible service</w:t>
      </w:r>
      <w:r w:rsidR="00AA62CF" w:rsidRPr="003A0B63">
        <w:rPr>
          <w:rFonts w:ascii="Times New Roman" w:hAnsi="Times New Roman" w:cs="Times New Roman"/>
          <w:sz w:val="24"/>
          <w:szCs w:val="24"/>
        </w:rPr>
        <w:t xml:space="preserve">. </w:t>
      </w:r>
      <w:r w:rsidRPr="003A0B63">
        <w:rPr>
          <w:rFonts w:ascii="Times New Roman" w:hAnsi="Times New Roman" w:cs="Times New Roman"/>
          <w:sz w:val="24"/>
          <w:szCs w:val="24"/>
        </w:rPr>
        <w:t>In adopting this standard</w:t>
      </w:r>
      <w:r w:rsidRPr="003A0B63">
        <w:rPr>
          <w:rFonts w:ascii="Times New Roman" w:hAnsi="Times New Roman" w:cs="Times New Roman"/>
          <w:b/>
          <w:bCs/>
          <w:sz w:val="24"/>
          <w:szCs w:val="24"/>
        </w:rPr>
        <w:t>, the Commission recognized that making the last intraday nomination opportunity no-bump would provide stability to the nomination system</w:t>
      </w:r>
      <w:r w:rsidR="00AA62CF" w:rsidRPr="003A0B63">
        <w:rPr>
          <w:rFonts w:ascii="Times New Roman" w:hAnsi="Times New Roman" w:cs="Times New Roman"/>
          <w:b/>
          <w:bCs/>
          <w:sz w:val="24"/>
          <w:szCs w:val="24"/>
        </w:rPr>
        <w:t>.</w:t>
      </w:r>
      <w:r w:rsidR="00AA62CF" w:rsidRPr="003A0B63">
        <w:rPr>
          <w:rFonts w:ascii="Times New Roman" w:hAnsi="Times New Roman" w:cs="Times New Roman"/>
          <w:sz w:val="24"/>
          <w:szCs w:val="24"/>
        </w:rPr>
        <w:t xml:space="preserve"> </w:t>
      </w:r>
      <w:r w:rsidRPr="003A0B63">
        <w:rPr>
          <w:rFonts w:ascii="Times New Roman" w:hAnsi="Times New Roman" w:cs="Times New Roman"/>
          <w:sz w:val="24"/>
          <w:szCs w:val="24"/>
        </w:rPr>
        <w:t>Moving the last bump cycle to later in the day helps to accommodate the needs of the firm shippers, while maintaining the No-Bump Rule during NAESB’s Intraday 3 Nomination Cycle will provide stability for interruptible shippers</w:t>
      </w:r>
      <w:r w:rsidR="00AA62CF" w:rsidRPr="003A0B63">
        <w:rPr>
          <w:rFonts w:ascii="Times New Roman" w:hAnsi="Times New Roman" w:cs="Times New Roman"/>
          <w:sz w:val="24"/>
          <w:szCs w:val="24"/>
        </w:rPr>
        <w:t xml:space="preserve">. </w:t>
      </w:r>
      <w:r w:rsidRPr="003A0B63">
        <w:rPr>
          <w:rFonts w:ascii="Times New Roman" w:hAnsi="Times New Roman" w:cs="Times New Roman"/>
          <w:sz w:val="24"/>
          <w:szCs w:val="24"/>
        </w:rPr>
        <w:t>As such, we find that it achieves a reasonable balance of interests.”</w:t>
      </w:r>
      <w:r w:rsidR="00E90EA7" w:rsidRPr="003A0B63">
        <w:rPr>
          <w:rStyle w:val="FootnoteReference"/>
          <w:sz w:val="24"/>
          <w:szCs w:val="24"/>
        </w:rPr>
        <w:footnoteReference w:id="4"/>
      </w:r>
    </w:p>
    <w:p w14:paraId="7750F76A" w14:textId="059093BA" w:rsidR="008E2A87" w:rsidRPr="003A0B63" w:rsidRDefault="008E2A87" w:rsidP="008E2A87">
      <w:pPr>
        <w:rPr>
          <w:rFonts w:ascii="Times New Roman" w:hAnsi="Times New Roman" w:cs="Times New Roman"/>
          <w:sz w:val="24"/>
          <w:szCs w:val="24"/>
        </w:rPr>
      </w:pPr>
      <w:r w:rsidRPr="003A0B63">
        <w:rPr>
          <w:rFonts w:ascii="Times New Roman" w:hAnsi="Times New Roman" w:cs="Times New Roman"/>
          <w:sz w:val="24"/>
          <w:szCs w:val="24"/>
        </w:rPr>
        <w:t xml:space="preserve">In addition to the points outlined by FERC in Order No. 809, there are other important considerations </w:t>
      </w:r>
      <w:r w:rsidR="00E37949" w:rsidRPr="003A0B63">
        <w:rPr>
          <w:rFonts w:ascii="Times New Roman" w:hAnsi="Times New Roman" w:cs="Times New Roman"/>
          <w:sz w:val="24"/>
          <w:szCs w:val="24"/>
        </w:rPr>
        <w:t xml:space="preserve">that must be considered for why expending more time on the no-bump rule is not a valuable use of stakeholder resources in this forum including:  </w:t>
      </w:r>
    </w:p>
    <w:p w14:paraId="18775C49" w14:textId="06AB3FC5" w:rsidR="00E37949" w:rsidRPr="003A0B63" w:rsidRDefault="00E37949" w:rsidP="007D73E4">
      <w:pPr>
        <w:pStyle w:val="ListParagraph"/>
        <w:numPr>
          <w:ilvl w:val="0"/>
          <w:numId w:val="13"/>
        </w:numPr>
        <w:rPr>
          <w:rFonts w:ascii="Times New Roman" w:hAnsi="Times New Roman" w:cs="Times New Roman"/>
          <w:sz w:val="24"/>
          <w:szCs w:val="24"/>
        </w:rPr>
      </w:pPr>
      <w:r w:rsidRPr="003A0B63">
        <w:rPr>
          <w:rFonts w:ascii="Times New Roman" w:hAnsi="Times New Roman" w:cs="Times New Roman"/>
          <w:sz w:val="24"/>
          <w:szCs w:val="24"/>
        </w:rPr>
        <w:t>During peak periods and extreme weather events, it is highly unlikely that pipelines will have any available interruptible transportation available; making the issue of whether IT will be bumped or not a moot point</w:t>
      </w:r>
      <w:r w:rsidR="00AA62CF" w:rsidRPr="003A0B63">
        <w:rPr>
          <w:rFonts w:ascii="Times New Roman" w:hAnsi="Times New Roman" w:cs="Times New Roman"/>
          <w:sz w:val="24"/>
          <w:szCs w:val="24"/>
        </w:rPr>
        <w:t xml:space="preserve">. </w:t>
      </w:r>
    </w:p>
    <w:p w14:paraId="6CB86077" w14:textId="1B413F02" w:rsidR="00E37949" w:rsidRPr="003A0B63" w:rsidRDefault="00E37949" w:rsidP="007D73E4">
      <w:pPr>
        <w:pStyle w:val="ListParagraph"/>
        <w:numPr>
          <w:ilvl w:val="0"/>
          <w:numId w:val="13"/>
        </w:numPr>
        <w:rPr>
          <w:rFonts w:ascii="Times New Roman" w:hAnsi="Times New Roman" w:cs="Times New Roman"/>
          <w:sz w:val="24"/>
          <w:szCs w:val="24"/>
        </w:rPr>
      </w:pPr>
      <w:r w:rsidRPr="003A0B63">
        <w:rPr>
          <w:rFonts w:ascii="Times New Roman" w:hAnsi="Times New Roman" w:cs="Times New Roman"/>
          <w:sz w:val="24"/>
          <w:szCs w:val="24"/>
        </w:rPr>
        <w:t xml:space="preserve">The amount of </w:t>
      </w:r>
      <w:r w:rsidR="00B565B6" w:rsidRPr="003A0B63">
        <w:rPr>
          <w:rFonts w:ascii="Times New Roman" w:hAnsi="Times New Roman" w:cs="Times New Roman"/>
          <w:sz w:val="24"/>
          <w:szCs w:val="24"/>
        </w:rPr>
        <w:t xml:space="preserve">gas </w:t>
      </w:r>
      <w:r w:rsidRPr="003A0B63">
        <w:rPr>
          <w:rFonts w:ascii="Times New Roman" w:hAnsi="Times New Roman" w:cs="Times New Roman"/>
          <w:sz w:val="24"/>
          <w:szCs w:val="24"/>
        </w:rPr>
        <w:t>that may still need to be nominated by ID3 (</w:t>
      </w:r>
      <w:r w:rsidR="0015467E" w:rsidRPr="003A0B63">
        <w:rPr>
          <w:rFonts w:ascii="Times New Roman" w:hAnsi="Times New Roman" w:cs="Times New Roman"/>
          <w:sz w:val="24"/>
          <w:szCs w:val="24"/>
        </w:rPr>
        <w:t xml:space="preserve">flows that begin at </w:t>
      </w:r>
      <w:r w:rsidRPr="003A0B63">
        <w:rPr>
          <w:rFonts w:ascii="Times New Roman" w:hAnsi="Times New Roman" w:cs="Times New Roman"/>
          <w:sz w:val="24"/>
          <w:szCs w:val="24"/>
        </w:rPr>
        <w:t>10pm</w:t>
      </w:r>
      <w:r w:rsidR="0015467E" w:rsidRPr="003A0B63">
        <w:rPr>
          <w:rFonts w:ascii="Times New Roman" w:hAnsi="Times New Roman" w:cs="Times New Roman"/>
          <w:sz w:val="24"/>
          <w:szCs w:val="24"/>
        </w:rPr>
        <w:t xml:space="preserve"> CT</w:t>
      </w:r>
      <w:r w:rsidRPr="003A0B63">
        <w:rPr>
          <w:rFonts w:ascii="Times New Roman" w:hAnsi="Times New Roman" w:cs="Times New Roman"/>
          <w:sz w:val="24"/>
          <w:szCs w:val="24"/>
        </w:rPr>
        <w:t xml:space="preserve">) </w:t>
      </w:r>
      <w:r w:rsidR="00B565B6" w:rsidRPr="003A0B63">
        <w:rPr>
          <w:rFonts w:ascii="Times New Roman" w:hAnsi="Times New Roman" w:cs="Times New Roman"/>
          <w:sz w:val="24"/>
          <w:szCs w:val="24"/>
        </w:rPr>
        <w:t xml:space="preserve">under a firm transportation contract </w:t>
      </w:r>
      <w:r w:rsidRPr="003A0B63">
        <w:rPr>
          <w:rFonts w:ascii="Times New Roman" w:hAnsi="Times New Roman" w:cs="Times New Roman"/>
          <w:sz w:val="24"/>
          <w:szCs w:val="24"/>
        </w:rPr>
        <w:t xml:space="preserve">that was not </w:t>
      </w:r>
      <w:r w:rsidR="00B565B6" w:rsidRPr="003A0B63">
        <w:rPr>
          <w:rFonts w:ascii="Times New Roman" w:hAnsi="Times New Roman" w:cs="Times New Roman"/>
          <w:sz w:val="24"/>
          <w:szCs w:val="24"/>
        </w:rPr>
        <w:t xml:space="preserve">previously </w:t>
      </w:r>
      <w:r w:rsidRPr="003A0B63">
        <w:rPr>
          <w:rFonts w:ascii="Times New Roman" w:hAnsi="Times New Roman" w:cs="Times New Roman"/>
          <w:sz w:val="24"/>
          <w:szCs w:val="24"/>
        </w:rPr>
        <w:t xml:space="preserve">committed in earlier cycles </w:t>
      </w:r>
      <w:r w:rsidR="00B565B6" w:rsidRPr="003A0B63">
        <w:rPr>
          <w:rFonts w:ascii="Times New Roman" w:hAnsi="Times New Roman" w:cs="Times New Roman"/>
          <w:sz w:val="24"/>
          <w:szCs w:val="24"/>
        </w:rPr>
        <w:t xml:space="preserve">is likely to </w:t>
      </w:r>
      <w:r w:rsidRPr="003A0B63">
        <w:rPr>
          <w:rFonts w:ascii="Times New Roman" w:hAnsi="Times New Roman" w:cs="Times New Roman"/>
          <w:sz w:val="24"/>
          <w:szCs w:val="24"/>
        </w:rPr>
        <w:t>extremely minimal</w:t>
      </w:r>
      <w:r w:rsidR="00AA62CF" w:rsidRPr="003A0B63">
        <w:rPr>
          <w:rFonts w:ascii="Times New Roman" w:hAnsi="Times New Roman" w:cs="Times New Roman"/>
          <w:sz w:val="24"/>
          <w:szCs w:val="24"/>
        </w:rPr>
        <w:t xml:space="preserve">. </w:t>
      </w:r>
      <w:r w:rsidR="00863E1F" w:rsidRPr="003A0B63">
        <w:rPr>
          <w:rFonts w:ascii="Times New Roman" w:hAnsi="Times New Roman" w:cs="Times New Roman"/>
          <w:sz w:val="24"/>
          <w:szCs w:val="24"/>
        </w:rPr>
        <w:t xml:space="preserve">The vast majority of gas </w:t>
      </w:r>
      <w:r w:rsidR="00B13CDB" w:rsidRPr="003A0B63">
        <w:rPr>
          <w:rFonts w:ascii="Times New Roman" w:hAnsi="Times New Roman" w:cs="Times New Roman"/>
          <w:sz w:val="24"/>
          <w:szCs w:val="24"/>
        </w:rPr>
        <w:t>is scheduled in the Timely Cycle</w:t>
      </w:r>
      <w:r w:rsidR="00C25891" w:rsidRPr="003A0B63">
        <w:rPr>
          <w:rFonts w:ascii="Times New Roman" w:hAnsi="Times New Roman" w:cs="Times New Roman"/>
          <w:sz w:val="24"/>
          <w:szCs w:val="24"/>
        </w:rPr>
        <w:t>; making ID3 primarily a balancing cycle and not a cycle that has a significant impact on the firmness of a customer’s contract</w:t>
      </w:r>
      <w:r w:rsidR="00AA62CF" w:rsidRPr="003A0B63">
        <w:rPr>
          <w:rFonts w:ascii="Times New Roman" w:hAnsi="Times New Roman" w:cs="Times New Roman"/>
          <w:sz w:val="24"/>
          <w:szCs w:val="24"/>
        </w:rPr>
        <w:t xml:space="preserve">. </w:t>
      </w:r>
    </w:p>
    <w:p w14:paraId="30B69C70" w14:textId="1E73EE7E" w:rsidR="004A14C4" w:rsidRPr="003A0B63" w:rsidRDefault="004A14C4" w:rsidP="007D73E4">
      <w:pPr>
        <w:pStyle w:val="ListParagraph"/>
        <w:numPr>
          <w:ilvl w:val="0"/>
          <w:numId w:val="13"/>
        </w:numPr>
        <w:rPr>
          <w:rFonts w:ascii="Times New Roman" w:eastAsia="Times New Roman" w:hAnsi="Times New Roman" w:cs="Times New Roman"/>
          <w:sz w:val="24"/>
          <w:szCs w:val="24"/>
        </w:rPr>
      </w:pPr>
      <w:r w:rsidRPr="003A0B63">
        <w:rPr>
          <w:rFonts w:ascii="Times New Roman" w:hAnsi="Times New Roman" w:cs="Times New Roman"/>
          <w:sz w:val="24"/>
          <w:szCs w:val="24"/>
        </w:rPr>
        <w:t>The value of interruptible transportation capacity would be severely diminished for market participants that rely on it to any significant degree</w:t>
      </w:r>
      <w:r w:rsidR="00AA62CF" w:rsidRPr="003A0B63">
        <w:rPr>
          <w:rFonts w:ascii="Times New Roman" w:hAnsi="Times New Roman" w:cs="Times New Roman"/>
          <w:sz w:val="24"/>
          <w:szCs w:val="24"/>
        </w:rPr>
        <w:t xml:space="preserve">. </w:t>
      </w:r>
      <w:r w:rsidRPr="003A0B63">
        <w:rPr>
          <w:rFonts w:ascii="Times New Roman" w:hAnsi="Times New Roman" w:cs="Times New Roman"/>
          <w:sz w:val="24"/>
          <w:szCs w:val="24"/>
        </w:rPr>
        <w:t xml:space="preserve">For example, gas generators that depend on interruptible transportation could be bumped in the ID3 cycle when gas market liquidity is extremely low and alternative supply options are likely to be </w:t>
      </w:r>
      <w:r w:rsidR="00AA62CF" w:rsidRPr="003A0B63">
        <w:rPr>
          <w:rFonts w:ascii="Times New Roman" w:hAnsi="Times New Roman" w:cs="Times New Roman"/>
          <w:sz w:val="24"/>
          <w:szCs w:val="24"/>
        </w:rPr>
        <w:t>extremely limited</w:t>
      </w:r>
      <w:r w:rsidRPr="003A0B63">
        <w:rPr>
          <w:rFonts w:ascii="Times New Roman" w:hAnsi="Times New Roman" w:cs="Times New Roman"/>
          <w:sz w:val="24"/>
          <w:szCs w:val="24"/>
        </w:rPr>
        <w:t>, if available at all</w:t>
      </w:r>
      <w:r w:rsidR="00AA62CF" w:rsidRPr="003A0B63">
        <w:rPr>
          <w:rFonts w:ascii="Times New Roman" w:hAnsi="Times New Roman" w:cs="Times New Roman"/>
          <w:sz w:val="24"/>
          <w:szCs w:val="24"/>
        </w:rPr>
        <w:t xml:space="preserve">. </w:t>
      </w:r>
      <w:r w:rsidRPr="003A0B63">
        <w:rPr>
          <w:rFonts w:ascii="Times New Roman" w:hAnsi="Times New Roman" w:cs="Times New Roman"/>
          <w:sz w:val="24"/>
          <w:szCs w:val="24"/>
        </w:rPr>
        <w:t xml:space="preserve">Additionally, gas producers </w:t>
      </w:r>
      <w:r w:rsidRPr="003A0B63">
        <w:rPr>
          <w:rFonts w:ascii="Times New Roman" w:eastAsia="Times New Roman" w:hAnsi="Times New Roman" w:cs="Times New Roman"/>
          <w:sz w:val="24"/>
          <w:szCs w:val="24"/>
        </w:rPr>
        <w:t xml:space="preserve">will often use </w:t>
      </w:r>
      <w:r w:rsidR="00DD29BB" w:rsidRPr="003A0B63">
        <w:rPr>
          <w:rFonts w:ascii="Times New Roman" w:eastAsia="Times New Roman" w:hAnsi="Times New Roman" w:cs="Times New Roman"/>
          <w:sz w:val="24"/>
          <w:szCs w:val="24"/>
        </w:rPr>
        <w:t>interruptible transportation</w:t>
      </w:r>
      <w:r w:rsidRPr="003A0B63">
        <w:rPr>
          <w:rFonts w:ascii="Times New Roman" w:eastAsia="Times New Roman" w:hAnsi="Times New Roman" w:cs="Times New Roman"/>
          <w:sz w:val="24"/>
          <w:szCs w:val="24"/>
        </w:rPr>
        <w:t xml:space="preserve"> to get unused supply into pools which helps to manage the overall system</w:t>
      </w:r>
      <w:r w:rsidR="00AA62CF" w:rsidRPr="003A0B63">
        <w:rPr>
          <w:rFonts w:ascii="Times New Roman" w:eastAsia="Times New Roman" w:hAnsi="Times New Roman" w:cs="Times New Roman"/>
          <w:sz w:val="24"/>
          <w:szCs w:val="24"/>
        </w:rPr>
        <w:t xml:space="preserve">. </w:t>
      </w:r>
    </w:p>
    <w:p w14:paraId="689C3CEB" w14:textId="77777777" w:rsidR="004A14C4" w:rsidRPr="003A0B63" w:rsidRDefault="004A14C4" w:rsidP="004A14C4">
      <w:pPr>
        <w:pStyle w:val="ListParagraph"/>
        <w:ind w:left="1080"/>
        <w:rPr>
          <w:rFonts w:ascii="Times New Roman" w:hAnsi="Times New Roman" w:cs="Times New Roman"/>
          <w:sz w:val="24"/>
          <w:szCs w:val="24"/>
        </w:rPr>
      </w:pPr>
    </w:p>
    <w:p w14:paraId="103EF10A" w14:textId="77777777" w:rsidR="00DB5078" w:rsidRPr="003A0B63" w:rsidRDefault="00DB5078" w:rsidP="00C25891">
      <w:pPr>
        <w:pStyle w:val="ListParagraph"/>
        <w:ind w:left="1080"/>
        <w:rPr>
          <w:rFonts w:ascii="Times New Roman" w:hAnsi="Times New Roman" w:cs="Times New Roman"/>
          <w:sz w:val="24"/>
          <w:szCs w:val="24"/>
        </w:rPr>
      </w:pPr>
    </w:p>
    <w:sectPr w:rsidR="00DB5078" w:rsidRPr="003A0B63" w:rsidSect="007D73E4">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56EB2" w14:textId="77777777" w:rsidR="0027786C" w:rsidRDefault="0027786C" w:rsidP="00B0426D">
      <w:pPr>
        <w:spacing w:after="0" w:line="240" w:lineRule="auto"/>
      </w:pPr>
      <w:r>
        <w:separator/>
      </w:r>
    </w:p>
  </w:endnote>
  <w:endnote w:type="continuationSeparator" w:id="0">
    <w:p w14:paraId="07F5856C" w14:textId="77777777" w:rsidR="0027786C" w:rsidRDefault="0027786C" w:rsidP="00B04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78F7F" w14:textId="77777777" w:rsidR="0027786C" w:rsidRDefault="0027786C" w:rsidP="00B0426D">
      <w:pPr>
        <w:spacing w:after="0" w:line="240" w:lineRule="auto"/>
      </w:pPr>
      <w:r>
        <w:separator/>
      </w:r>
    </w:p>
  </w:footnote>
  <w:footnote w:type="continuationSeparator" w:id="0">
    <w:p w14:paraId="68DC4D69" w14:textId="77777777" w:rsidR="0027786C" w:rsidRDefault="0027786C" w:rsidP="00B0426D">
      <w:pPr>
        <w:spacing w:after="0" w:line="240" w:lineRule="auto"/>
      </w:pPr>
      <w:r>
        <w:continuationSeparator/>
      </w:r>
    </w:p>
  </w:footnote>
  <w:footnote w:id="1">
    <w:p w14:paraId="34896863" w14:textId="166718CB" w:rsidR="007A1110" w:rsidRPr="007D73E4" w:rsidRDefault="007A1110" w:rsidP="007D73E4">
      <w:pPr>
        <w:pStyle w:val="FootnoteText"/>
        <w:spacing w:after="0"/>
        <w:ind w:firstLine="0"/>
        <w:rPr>
          <w:rFonts w:ascii="Times New Roman" w:hAnsi="Times New Roman" w:cs="Times New Roman"/>
        </w:rPr>
      </w:pPr>
      <w:r w:rsidRPr="00137959">
        <w:rPr>
          <w:rStyle w:val="FootnoteReference"/>
        </w:rPr>
        <w:footnoteRef/>
      </w:r>
      <w:r w:rsidRPr="007D73E4">
        <w:rPr>
          <w:rFonts w:ascii="Times New Roman" w:hAnsi="Times New Roman" w:cs="Times New Roman"/>
        </w:rPr>
        <w:t xml:space="preserve"> </w:t>
      </w:r>
      <w:r w:rsidR="00AE6926" w:rsidRPr="007D73E4">
        <w:rPr>
          <w:rFonts w:ascii="Times New Roman" w:hAnsi="Times New Roman" w:cs="Times New Roman"/>
          <w:i/>
          <w:iCs/>
          <w:sz w:val="20"/>
          <w:szCs w:val="20"/>
        </w:rPr>
        <w:t>Promotion of a More Efficient Capacity Release Market</w:t>
      </w:r>
      <w:r w:rsidR="00AE6926" w:rsidRPr="007D73E4">
        <w:rPr>
          <w:rFonts w:ascii="Times New Roman" w:hAnsi="Times New Roman" w:cs="Times New Roman"/>
          <w:sz w:val="20"/>
          <w:szCs w:val="20"/>
        </w:rPr>
        <w:t xml:space="preserve">, </w:t>
      </w:r>
      <w:r w:rsidR="002C66B0" w:rsidRPr="007D73E4">
        <w:rPr>
          <w:rFonts w:ascii="Times New Roman" w:hAnsi="Times New Roman" w:cs="Times New Roman"/>
          <w:sz w:val="20"/>
          <w:szCs w:val="20"/>
        </w:rPr>
        <w:t xml:space="preserve">123 FERC ¶ 61,286 (2008), </w:t>
      </w:r>
      <w:r w:rsidR="00F568EA" w:rsidRPr="007D73E4">
        <w:rPr>
          <w:rFonts w:ascii="Times New Roman" w:hAnsi="Times New Roman" w:cs="Times New Roman"/>
          <w:sz w:val="20"/>
          <w:szCs w:val="20"/>
        </w:rPr>
        <w:t>73 Fed. Reg. 37058</w:t>
      </w:r>
      <w:r w:rsidR="002C66B0" w:rsidRPr="007D73E4">
        <w:rPr>
          <w:rFonts w:ascii="Times New Roman" w:hAnsi="Times New Roman" w:cs="Times New Roman"/>
          <w:sz w:val="20"/>
          <w:szCs w:val="20"/>
        </w:rPr>
        <w:t>.</w:t>
      </w:r>
    </w:p>
  </w:footnote>
  <w:footnote w:id="2">
    <w:p w14:paraId="61AEE95A" w14:textId="26373725" w:rsidR="007743DA" w:rsidRPr="007D73E4" w:rsidRDefault="00D767D6" w:rsidP="007D73E4">
      <w:pPr>
        <w:pStyle w:val="FootnoteText"/>
        <w:spacing w:after="0"/>
        <w:ind w:firstLine="0"/>
        <w:rPr>
          <w:rFonts w:ascii="Times New Roman" w:hAnsi="Times New Roman" w:cs="Times New Roman"/>
          <w:sz w:val="20"/>
          <w:szCs w:val="20"/>
        </w:rPr>
      </w:pPr>
      <w:r w:rsidRPr="007743DA">
        <w:rPr>
          <w:rStyle w:val="FootnoteReference"/>
          <w:sz w:val="20"/>
          <w:szCs w:val="20"/>
        </w:rPr>
        <w:footnoteRef/>
      </w:r>
      <w:r w:rsidRPr="007743DA">
        <w:rPr>
          <w:rFonts w:ascii="Times New Roman" w:hAnsi="Times New Roman" w:cs="Times New Roman"/>
          <w:sz w:val="20"/>
          <w:szCs w:val="20"/>
        </w:rPr>
        <w:t xml:space="preserve"> </w:t>
      </w:r>
      <w:r w:rsidR="007743DA" w:rsidRPr="007743DA">
        <w:rPr>
          <w:rFonts w:ascii="Times New Roman" w:hAnsi="Times New Roman" w:cs="Times New Roman"/>
          <w:sz w:val="20"/>
          <w:szCs w:val="20"/>
        </w:rPr>
        <w:t xml:space="preserve">Id. </w:t>
      </w:r>
      <w:r w:rsidRPr="007743DA">
        <w:rPr>
          <w:rFonts w:ascii="Times New Roman" w:hAnsi="Times New Roman" w:cs="Times New Roman"/>
          <w:sz w:val="20"/>
          <w:szCs w:val="20"/>
        </w:rPr>
        <w:t>at ¶144.</w:t>
      </w:r>
    </w:p>
  </w:footnote>
  <w:footnote w:id="3">
    <w:p w14:paraId="38404291" w14:textId="7ABB9976" w:rsidR="00806D31" w:rsidRPr="007D73E4" w:rsidRDefault="007A1110" w:rsidP="007D73E4">
      <w:pPr>
        <w:pStyle w:val="FootnoteText"/>
        <w:spacing w:after="0"/>
        <w:ind w:firstLine="0"/>
        <w:rPr>
          <w:rFonts w:ascii="Times New Roman" w:hAnsi="Times New Roman" w:cs="Times New Roman"/>
          <w:sz w:val="20"/>
          <w:szCs w:val="20"/>
          <w:shd w:val="clear" w:color="auto" w:fill="FFFFFF"/>
        </w:rPr>
      </w:pPr>
      <w:r w:rsidRPr="007D73E4">
        <w:rPr>
          <w:rStyle w:val="FootnoteReference"/>
          <w:sz w:val="20"/>
          <w:szCs w:val="20"/>
        </w:rPr>
        <w:footnoteRef/>
      </w:r>
      <w:r w:rsidRPr="007D73E4">
        <w:rPr>
          <w:rFonts w:ascii="Times New Roman" w:hAnsi="Times New Roman" w:cs="Times New Roman"/>
          <w:sz w:val="20"/>
          <w:szCs w:val="20"/>
        </w:rPr>
        <w:t xml:space="preserve"> </w:t>
      </w:r>
      <w:r w:rsidR="007743DA">
        <w:rPr>
          <w:rFonts w:ascii="Times New Roman" w:hAnsi="Times New Roman" w:cs="Times New Roman"/>
          <w:sz w:val="20"/>
          <w:szCs w:val="20"/>
        </w:rPr>
        <w:t>Id.</w:t>
      </w:r>
      <w:r w:rsidR="00AE3FAF" w:rsidRPr="007D73E4">
        <w:rPr>
          <w:rFonts w:ascii="Times New Roman" w:hAnsi="Times New Roman" w:cs="Times New Roman"/>
          <w:sz w:val="20"/>
          <w:szCs w:val="20"/>
        </w:rPr>
        <w:t xml:space="preserve"> at ¶</w:t>
      </w:r>
      <w:r w:rsidR="00231EE2" w:rsidRPr="007D73E4">
        <w:rPr>
          <w:rFonts w:ascii="Times New Roman" w:hAnsi="Times New Roman" w:cs="Times New Roman"/>
          <w:sz w:val="20"/>
          <w:szCs w:val="20"/>
        </w:rPr>
        <w:t xml:space="preserve"> </w:t>
      </w:r>
      <w:r w:rsidR="00A12E80" w:rsidRPr="007D73E4">
        <w:rPr>
          <w:rFonts w:ascii="Times New Roman" w:hAnsi="Times New Roman" w:cs="Times New Roman"/>
          <w:sz w:val="20"/>
          <w:szCs w:val="20"/>
        </w:rPr>
        <w:t>1</w:t>
      </w:r>
      <w:r w:rsidR="00231EE2" w:rsidRPr="007D73E4">
        <w:rPr>
          <w:rFonts w:ascii="Times New Roman" w:hAnsi="Times New Roman" w:cs="Times New Roman"/>
          <w:sz w:val="20"/>
          <w:szCs w:val="20"/>
        </w:rPr>
        <w:t>25</w:t>
      </w:r>
      <w:r w:rsidR="001455D6" w:rsidRPr="007D73E4">
        <w:rPr>
          <w:rFonts w:ascii="Times New Roman" w:hAnsi="Times New Roman" w:cs="Times New Roman"/>
          <w:sz w:val="20"/>
          <w:szCs w:val="20"/>
        </w:rPr>
        <w:t xml:space="preserve"> </w:t>
      </w:r>
      <w:r w:rsidR="00D767D6" w:rsidRPr="007D73E4">
        <w:rPr>
          <w:rFonts w:ascii="Times New Roman" w:hAnsi="Times New Roman" w:cs="Times New Roman"/>
          <w:sz w:val="20"/>
          <w:szCs w:val="20"/>
        </w:rPr>
        <w:t>–</w:t>
      </w:r>
      <w:r w:rsidR="001455D6" w:rsidRPr="007D73E4">
        <w:rPr>
          <w:rFonts w:ascii="Times New Roman" w:hAnsi="Times New Roman" w:cs="Times New Roman"/>
          <w:sz w:val="20"/>
          <w:szCs w:val="20"/>
        </w:rPr>
        <w:t xml:space="preserve"> 126</w:t>
      </w:r>
      <w:r w:rsidR="00D767D6" w:rsidRPr="007D73E4">
        <w:rPr>
          <w:rFonts w:ascii="Times New Roman" w:hAnsi="Times New Roman" w:cs="Times New Roman"/>
          <w:sz w:val="20"/>
          <w:szCs w:val="20"/>
        </w:rPr>
        <w:t>,</w:t>
      </w:r>
      <w:r w:rsidR="00231EE2" w:rsidRPr="007D73E4">
        <w:rPr>
          <w:rFonts w:ascii="Times New Roman" w:hAnsi="Times New Roman" w:cs="Times New Roman"/>
          <w:sz w:val="20"/>
          <w:szCs w:val="20"/>
        </w:rPr>
        <w:t xml:space="preserve"> stating</w:t>
      </w:r>
      <w:r w:rsidR="00806D31" w:rsidRPr="007D73E4">
        <w:rPr>
          <w:rFonts w:ascii="Times New Roman" w:hAnsi="Times New Roman" w:cs="Times New Roman"/>
          <w:sz w:val="20"/>
          <w:szCs w:val="20"/>
        </w:rPr>
        <w:t xml:space="preserve">: </w:t>
      </w:r>
      <w:r w:rsidR="00137959">
        <w:rPr>
          <w:rFonts w:ascii="Times New Roman" w:hAnsi="Times New Roman" w:cs="Times New Roman"/>
          <w:sz w:val="20"/>
          <w:szCs w:val="20"/>
        </w:rPr>
        <w:t>“</w:t>
      </w:r>
      <w:r w:rsidR="00231EE2" w:rsidRPr="007D73E4">
        <w:rPr>
          <w:rFonts w:ascii="Times New Roman" w:hAnsi="Times New Roman" w:cs="Times New Roman"/>
          <w:sz w:val="20"/>
          <w:szCs w:val="20"/>
          <w:shd w:val="clear" w:color="auto" w:fill="FFFFFF"/>
        </w:rPr>
        <w:t>LDCs are not the only entities that benefit from AMAs</w:t>
      </w:r>
      <w:r w:rsidR="00AA62CF" w:rsidRPr="007D73E4">
        <w:rPr>
          <w:rFonts w:ascii="Times New Roman" w:hAnsi="Times New Roman" w:cs="Times New Roman"/>
          <w:sz w:val="20"/>
          <w:szCs w:val="20"/>
          <w:shd w:val="clear" w:color="auto" w:fill="FFFFFF"/>
        </w:rPr>
        <w:t xml:space="preserve">. </w:t>
      </w:r>
      <w:r w:rsidR="00231EE2" w:rsidRPr="007D73E4">
        <w:rPr>
          <w:rFonts w:ascii="Times New Roman" w:hAnsi="Times New Roman" w:cs="Times New Roman"/>
          <w:sz w:val="20"/>
          <w:szCs w:val="20"/>
          <w:shd w:val="clear" w:color="auto" w:fill="FFFFFF"/>
        </w:rPr>
        <w:t xml:space="preserve">As evidenced by certain </w:t>
      </w:r>
      <w:r w:rsidR="00A12E80" w:rsidRPr="007D73E4">
        <w:rPr>
          <w:rFonts w:ascii="Times New Roman" w:hAnsi="Times New Roman" w:cs="Times New Roman"/>
          <w:sz w:val="20"/>
          <w:szCs w:val="20"/>
          <w:shd w:val="clear" w:color="auto" w:fill="FFFFFF"/>
        </w:rPr>
        <w:t>c</w:t>
      </w:r>
      <w:r w:rsidR="00231EE2" w:rsidRPr="007D73E4">
        <w:rPr>
          <w:rFonts w:ascii="Times New Roman" w:hAnsi="Times New Roman" w:cs="Times New Roman"/>
          <w:sz w:val="20"/>
          <w:szCs w:val="20"/>
          <w:shd w:val="clear" w:color="auto" w:fill="FFFFFF"/>
        </w:rPr>
        <w:t>omments on the NOPR, many other large gas purchasers, including electric generators and industrial users, may desire to enter into such arrangements</w:t>
      </w:r>
      <w:r w:rsidR="00AA62CF" w:rsidRPr="007D73E4">
        <w:rPr>
          <w:rFonts w:ascii="Times New Roman" w:hAnsi="Times New Roman" w:cs="Times New Roman"/>
          <w:sz w:val="20"/>
          <w:szCs w:val="20"/>
          <w:shd w:val="clear" w:color="auto" w:fill="FFFFFF"/>
        </w:rPr>
        <w:t xml:space="preserve">. </w:t>
      </w:r>
      <w:r w:rsidR="00231EE2" w:rsidRPr="007D73E4">
        <w:rPr>
          <w:rFonts w:ascii="Times New Roman" w:hAnsi="Times New Roman" w:cs="Times New Roman"/>
          <w:sz w:val="20"/>
          <w:szCs w:val="20"/>
          <w:shd w:val="clear" w:color="auto" w:fill="FFFFFF"/>
        </w:rPr>
        <w:t>AMAs increase the ability of wholesale electric generators to provide customer benefits through superior management of fuel supply risk, allow generators to focus their attention on the electric market, and eliminate administrative burdens relating to multiple suppliers, overheads, capital requirements and the risks associated with marketing excess gas and pipeline imbalances</w:t>
      </w:r>
      <w:r w:rsidR="00AA62CF" w:rsidRPr="007D73E4">
        <w:rPr>
          <w:rFonts w:ascii="Times New Roman" w:hAnsi="Times New Roman" w:cs="Times New Roman"/>
          <w:sz w:val="20"/>
          <w:szCs w:val="20"/>
          <w:shd w:val="clear" w:color="auto" w:fill="FFFFFF"/>
        </w:rPr>
        <w:t xml:space="preserve">. </w:t>
      </w:r>
      <w:r w:rsidR="00E51058" w:rsidRPr="007D73E4">
        <w:rPr>
          <w:rFonts w:ascii="Times New Roman" w:hAnsi="Times New Roman" w:cs="Times New Roman"/>
          <w:sz w:val="20"/>
          <w:szCs w:val="20"/>
          <w:shd w:val="clear" w:color="auto" w:fill="FFFFFF"/>
        </w:rPr>
        <w:t>(</w:t>
      </w:r>
      <w:r w:rsidR="00AA62CF" w:rsidRPr="007D73E4">
        <w:rPr>
          <w:rFonts w:ascii="Times New Roman" w:hAnsi="Times New Roman" w:cs="Times New Roman"/>
          <w:sz w:val="20"/>
          <w:szCs w:val="20"/>
          <w:shd w:val="clear" w:color="auto" w:fill="FFFFFF"/>
        </w:rPr>
        <w:t>Footnotes</w:t>
      </w:r>
      <w:r w:rsidR="00E51058" w:rsidRPr="007D73E4">
        <w:rPr>
          <w:rFonts w:ascii="Times New Roman" w:hAnsi="Times New Roman" w:cs="Times New Roman"/>
          <w:sz w:val="20"/>
          <w:szCs w:val="20"/>
          <w:shd w:val="clear" w:color="auto" w:fill="FFFFFF"/>
        </w:rPr>
        <w:t xml:space="preserve"> omitted)</w:t>
      </w:r>
      <w:r w:rsidR="00AA62CF" w:rsidRPr="007D73E4">
        <w:rPr>
          <w:rFonts w:ascii="Times New Roman" w:hAnsi="Times New Roman" w:cs="Times New Roman"/>
          <w:sz w:val="20"/>
          <w:szCs w:val="20"/>
          <w:shd w:val="clear" w:color="auto" w:fill="FFFFFF"/>
        </w:rPr>
        <w:t xml:space="preserve">. </w:t>
      </w:r>
    </w:p>
    <w:p w14:paraId="57AF1BC2" w14:textId="092EA667" w:rsidR="001455D6" w:rsidRPr="007D73E4" w:rsidRDefault="001455D6" w:rsidP="007D73E4">
      <w:pPr>
        <w:pStyle w:val="FootnoteText"/>
        <w:ind w:firstLine="0"/>
        <w:rPr>
          <w:rFonts w:ascii="Times New Roman" w:hAnsi="Times New Roman" w:cs="Times New Roman"/>
          <w:sz w:val="20"/>
          <w:szCs w:val="20"/>
          <w:shd w:val="clear" w:color="auto" w:fill="FFFFFF"/>
        </w:rPr>
      </w:pPr>
      <w:r w:rsidRPr="007D73E4">
        <w:rPr>
          <w:rFonts w:ascii="Times New Roman" w:hAnsi="Times New Roman" w:cs="Times New Roman"/>
          <w:sz w:val="20"/>
          <w:szCs w:val="20"/>
          <w:shd w:val="clear" w:color="auto" w:fill="FFFFFF"/>
        </w:rPr>
        <w:t>Finally, AMAs bring benefits to consumers, mostly through reductions in consumer costs</w:t>
      </w:r>
      <w:r w:rsidR="00AA62CF" w:rsidRPr="007D73E4">
        <w:rPr>
          <w:rFonts w:ascii="Times New Roman" w:hAnsi="Times New Roman" w:cs="Times New Roman"/>
          <w:sz w:val="20"/>
          <w:szCs w:val="20"/>
          <w:shd w:val="clear" w:color="auto" w:fill="FFFFFF"/>
        </w:rPr>
        <w:t xml:space="preserve">. </w:t>
      </w:r>
      <w:r w:rsidRPr="007D73E4">
        <w:rPr>
          <w:rFonts w:ascii="Times New Roman" w:hAnsi="Times New Roman" w:cs="Times New Roman"/>
          <w:sz w:val="20"/>
          <w:szCs w:val="20"/>
          <w:shd w:val="clear" w:color="auto" w:fill="FFFFFF"/>
        </w:rPr>
        <w:t>AMAs provide in general for lower gas supply costs, resulting in ultimate savings for end use customers</w:t>
      </w:r>
      <w:r w:rsidR="00AA62CF" w:rsidRPr="007D73E4">
        <w:rPr>
          <w:rFonts w:ascii="Times New Roman" w:hAnsi="Times New Roman" w:cs="Times New Roman"/>
          <w:sz w:val="20"/>
          <w:szCs w:val="20"/>
          <w:shd w:val="clear" w:color="auto" w:fill="FFFFFF"/>
        </w:rPr>
        <w:t xml:space="preserve">. </w:t>
      </w:r>
      <w:r w:rsidRPr="007D73E4">
        <w:rPr>
          <w:rFonts w:ascii="Times New Roman" w:hAnsi="Times New Roman" w:cs="Times New Roman"/>
          <w:sz w:val="20"/>
          <w:szCs w:val="20"/>
          <w:shd w:val="clear" w:color="auto" w:fill="FFFFFF"/>
        </w:rPr>
        <w:t>The overall market benefits described above also inure to consumers.</w:t>
      </w:r>
      <w:r w:rsidR="00137959">
        <w:rPr>
          <w:rFonts w:ascii="Times New Roman" w:hAnsi="Times New Roman" w:cs="Times New Roman"/>
          <w:sz w:val="20"/>
          <w:szCs w:val="20"/>
          <w:shd w:val="clear" w:color="auto" w:fill="FFFFFF"/>
        </w:rPr>
        <w:t>”</w:t>
      </w:r>
      <w:r w:rsidRPr="007D73E4">
        <w:rPr>
          <w:rFonts w:ascii="Times New Roman" w:hAnsi="Times New Roman" w:cs="Times New Roman"/>
          <w:sz w:val="20"/>
          <w:szCs w:val="20"/>
          <w:shd w:val="clear" w:color="auto" w:fill="FFFFFF"/>
        </w:rPr>
        <w:t xml:space="preserve">  </w:t>
      </w:r>
    </w:p>
  </w:footnote>
  <w:footnote w:id="4">
    <w:p w14:paraId="709112C3" w14:textId="6EFA5C2D" w:rsidR="007743DA" w:rsidRPr="008D6416" w:rsidRDefault="00E90EA7" w:rsidP="008D6416">
      <w:pPr>
        <w:pStyle w:val="FootnoteText"/>
        <w:ind w:firstLine="0"/>
        <w:rPr>
          <w:rFonts w:ascii="Times New Roman" w:hAnsi="Times New Roman" w:cs="Times New Roman"/>
          <w:sz w:val="20"/>
          <w:szCs w:val="20"/>
        </w:rPr>
      </w:pPr>
      <w:r w:rsidRPr="008D6416">
        <w:rPr>
          <w:rStyle w:val="FootnoteReference"/>
          <w:sz w:val="20"/>
          <w:szCs w:val="20"/>
        </w:rPr>
        <w:footnoteRef/>
      </w:r>
      <w:r w:rsidRPr="008D6416">
        <w:rPr>
          <w:rFonts w:ascii="Times New Roman" w:hAnsi="Times New Roman" w:cs="Times New Roman"/>
          <w:sz w:val="20"/>
          <w:szCs w:val="20"/>
        </w:rPr>
        <w:t xml:space="preserve"> </w:t>
      </w:r>
      <w:r w:rsidR="007743DA" w:rsidRPr="008D6416">
        <w:rPr>
          <w:rFonts w:ascii="Times New Roman" w:hAnsi="Times New Roman" w:cs="Times New Roman"/>
          <w:i/>
          <w:iCs/>
          <w:sz w:val="20"/>
          <w:szCs w:val="20"/>
        </w:rPr>
        <w:t>Coordination of the Scheduling Processes of Interstate Natural Gas Pipelines and Public Utilities</w:t>
      </w:r>
      <w:r w:rsidR="007743DA">
        <w:rPr>
          <w:rFonts w:ascii="Times New Roman" w:hAnsi="Times New Roman" w:cs="Times New Roman"/>
          <w:i/>
          <w:iCs/>
          <w:sz w:val="20"/>
          <w:szCs w:val="20"/>
        </w:rPr>
        <w:t>,</w:t>
      </w:r>
      <w:r w:rsidR="007743DA" w:rsidRPr="008D6416">
        <w:rPr>
          <w:rFonts w:ascii="Times New Roman" w:hAnsi="Times New Roman" w:cs="Times New Roman"/>
          <w:sz w:val="20"/>
          <w:szCs w:val="20"/>
        </w:rPr>
        <w:t xml:space="preserve"> </w:t>
      </w:r>
      <w:r w:rsidRPr="008D6416">
        <w:rPr>
          <w:rFonts w:ascii="Times New Roman" w:hAnsi="Times New Roman" w:cs="Times New Roman"/>
          <w:sz w:val="20"/>
          <w:szCs w:val="20"/>
        </w:rPr>
        <w:t>151 FERC ¶ 61,049</w:t>
      </w:r>
      <w:r w:rsidR="007743DA">
        <w:rPr>
          <w:rFonts w:ascii="Times New Roman" w:hAnsi="Times New Roman" w:cs="Times New Roman"/>
          <w:sz w:val="20"/>
          <w:szCs w:val="20"/>
        </w:rPr>
        <w:t xml:space="preserve"> (</w:t>
      </w:r>
      <w:r w:rsidRPr="008D6416">
        <w:rPr>
          <w:rFonts w:ascii="Times New Roman" w:hAnsi="Times New Roman" w:cs="Times New Roman"/>
          <w:sz w:val="20"/>
          <w:szCs w:val="20"/>
        </w:rPr>
        <w:t>2015</w:t>
      </w:r>
      <w:r w:rsidR="007743DA">
        <w:rPr>
          <w:rFonts w:ascii="Times New Roman" w:hAnsi="Times New Roman" w:cs="Times New Roman"/>
          <w:sz w:val="20"/>
          <w:szCs w:val="20"/>
        </w:rPr>
        <w:t>)</w:t>
      </w:r>
      <w:r w:rsidRPr="008D6416">
        <w:rPr>
          <w:rFonts w:ascii="Times New Roman" w:hAnsi="Times New Roman" w:cs="Times New Roman"/>
          <w:i/>
          <w:iCs/>
          <w:sz w:val="20"/>
          <w:szCs w:val="20"/>
        </w:rPr>
        <w:t xml:space="preserve">, </w:t>
      </w:r>
      <w:r w:rsidRPr="008D6416">
        <w:rPr>
          <w:rFonts w:ascii="Times New Roman" w:hAnsi="Times New Roman" w:cs="Times New Roman"/>
          <w:sz w:val="20"/>
          <w:szCs w:val="20"/>
        </w:rPr>
        <w:t>pp. 77-78</w:t>
      </w:r>
      <w:r w:rsidRPr="008D6416">
        <w:rPr>
          <w:rFonts w:ascii="Times New Roman" w:hAnsi="Times New Roman" w:cs="Times New Roman"/>
          <w:i/>
          <w:iCs/>
          <w:sz w:val="20"/>
          <w:szCs w:val="20"/>
        </w:rPr>
        <w:t xml:space="preserve"> </w:t>
      </w:r>
      <w:r w:rsidRPr="008D6416">
        <w:rPr>
          <w:rFonts w:ascii="Times New Roman" w:hAnsi="Times New Roman" w:cs="Times New Roman"/>
          <w:sz w:val="20"/>
          <w:szCs w:val="20"/>
        </w:rPr>
        <w:t>(footnotes omitted and emphasis added).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944377"/>
      <w:docPartObj>
        <w:docPartGallery w:val="Page Numbers (Top of Page)"/>
        <w:docPartUnique/>
      </w:docPartObj>
    </w:sdtPr>
    <w:sdtEndPr>
      <w:rPr>
        <w:noProof/>
      </w:rPr>
    </w:sdtEndPr>
    <w:sdtContent>
      <w:p w14:paraId="7296FB66" w14:textId="5A464C66" w:rsidR="002F31C4" w:rsidRDefault="002F31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83862F" w14:textId="77777777" w:rsidR="002F31C4" w:rsidRDefault="002F3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52C32"/>
    <w:multiLevelType w:val="hybridMultilevel"/>
    <w:tmpl w:val="06041A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C85522"/>
    <w:multiLevelType w:val="hybridMultilevel"/>
    <w:tmpl w:val="9B021B6E"/>
    <w:lvl w:ilvl="0" w:tplc="CC706C84">
      <w:start w:val="1"/>
      <w:numFmt w:val="bullet"/>
      <w:lvlText w:val="•"/>
      <w:lvlJc w:val="left"/>
      <w:pPr>
        <w:tabs>
          <w:tab w:val="num" w:pos="720"/>
        </w:tabs>
        <w:ind w:left="720" w:hanging="360"/>
      </w:pPr>
      <w:rPr>
        <w:rFonts w:ascii="Arial" w:hAnsi="Arial" w:hint="default"/>
      </w:rPr>
    </w:lvl>
    <w:lvl w:ilvl="1" w:tplc="7352A1FE" w:tentative="1">
      <w:start w:val="1"/>
      <w:numFmt w:val="bullet"/>
      <w:lvlText w:val="•"/>
      <w:lvlJc w:val="left"/>
      <w:pPr>
        <w:tabs>
          <w:tab w:val="num" w:pos="1440"/>
        </w:tabs>
        <w:ind w:left="1440" w:hanging="360"/>
      </w:pPr>
      <w:rPr>
        <w:rFonts w:ascii="Arial" w:hAnsi="Arial" w:hint="default"/>
      </w:rPr>
    </w:lvl>
    <w:lvl w:ilvl="2" w:tplc="1B0AD600" w:tentative="1">
      <w:start w:val="1"/>
      <w:numFmt w:val="bullet"/>
      <w:lvlText w:val="•"/>
      <w:lvlJc w:val="left"/>
      <w:pPr>
        <w:tabs>
          <w:tab w:val="num" w:pos="2160"/>
        </w:tabs>
        <w:ind w:left="2160" w:hanging="360"/>
      </w:pPr>
      <w:rPr>
        <w:rFonts w:ascii="Arial" w:hAnsi="Arial" w:hint="default"/>
      </w:rPr>
    </w:lvl>
    <w:lvl w:ilvl="3" w:tplc="553E9184" w:tentative="1">
      <w:start w:val="1"/>
      <w:numFmt w:val="bullet"/>
      <w:lvlText w:val="•"/>
      <w:lvlJc w:val="left"/>
      <w:pPr>
        <w:tabs>
          <w:tab w:val="num" w:pos="2880"/>
        </w:tabs>
        <w:ind w:left="2880" w:hanging="360"/>
      </w:pPr>
      <w:rPr>
        <w:rFonts w:ascii="Arial" w:hAnsi="Arial" w:hint="default"/>
      </w:rPr>
    </w:lvl>
    <w:lvl w:ilvl="4" w:tplc="0226DF74" w:tentative="1">
      <w:start w:val="1"/>
      <w:numFmt w:val="bullet"/>
      <w:lvlText w:val="•"/>
      <w:lvlJc w:val="left"/>
      <w:pPr>
        <w:tabs>
          <w:tab w:val="num" w:pos="3600"/>
        </w:tabs>
        <w:ind w:left="3600" w:hanging="360"/>
      </w:pPr>
      <w:rPr>
        <w:rFonts w:ascii="Arial" w:hAnsi="Arial" w:hint="default"/>
      </w:rPr>
    </w:lvl>
    <w:lvl w:ilvl="5" w:tplc="E4B0F59E" w:tentative="1">
      <w:start w:val="1"/>
      <w:numFmt w:val="bullet"/>
      <w:lvlText w:val="•"/>
      <w:lvlJc w:val="left"/>
      <w:pPr>
        <w:tabs>
          <w:tab w:val="num" w:pos="4320"/>
        </w:tabs>
        <w:ind w:left="4320" w:hanging="360"/>
      </w:pPr>
      <w:rPr>
        <w:rFonts w:ascii="Arial" w:hAnsi="Arial" w:hint="default"/>
      </w:rPr>
    </w:lvl>
    <w:lvl w:ilvl="6" w:tplc="4914DE48" w:tentative="1">
      <w:start w:val="1"/>
      <w:numFmt w:val="bullet"/>
      <w:lvlText w:val="•"/>
      <w:lvlJc w:val="left"/>
      <w:pPr>
        <w:tabs>
          <w:tab w:val="num" w:pos="5040"/>
        </w:tabs>
        <w:ind w:left="5040" w:hanging="360"/>
      </w:pPr>
      <w:rPr>
        <w:rFonts w:ascii="Arial" w:hAnsi="Arial" w:hint="default"/>
      </w:rPr>
    </w:lvl>
    <w:lvl w:ilvl="7" w:tplc="205A635A" w:tentative="1">
      <w:start w:val="1"/>
      <w:numFmt w:val="bullet"/>
      <w:lvlText w:val="•"/>
      <w:lvlJc w:val="left"/>
      <w:pPr>
        <w:tabs>
          <w:tab w:val="num" w:pos="5760"/>
        </w:tabs>
        <w:ind w:left="5760" w:hanging="360"/>
      </w:pPr>
      <w:rPr>
        <w:rFonts w:ascii="Arial" w:hAnsi="Arial" w:hint="default"/>
      </w:rPr>
    </w:lvl>
    <w:lvl w:ilvl="8" w:tplc="E424DB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C639AE"/>
    <w:multiLevelType w:val="hybridMultilevel"/>
    <w:tmpl w:val="D8D8932C"/>
    <w:lvl w:ilvl="0" w:tplc="A6EA1218">
      <w:start w:val="1"/>
      <w:numFmt w:val="bullet"/>
      <w:lvlText w:val="•"/>
      <w:lvlJc w:val="left"/>
      <w:pPr>
        <w:tabs>
          <w:tab w:val="num" w:pos="4508"/>
        </w:tabs>
        <w:ind w:left="4508" w:hanging="360"/>
      </w:pPr>
      <w:rPr>
        <w:rFonts w:ascii="Arial" w:hAnsi="Arial" w:hint="default"/>
        <w:color w:val="auto"/>
      </w:rPr>
    </w:lvl>
    <w:lvl w:ilvl="1" w:tplc="DD721506" w:tentative="1">
      <w:start w:val="1"/>
      <w:numFmt w:val="bullet"/>
      <w:lvlText w:val="•"/>
      <w:lvlJc w:val="left"/>
      <w:pPr>
        <w:tabs>
          <w:tab w:val="num" w:pos="5228"/>
        </w:tabs>
        <w:ind w:left="5228" w:hanging="360"/>
      </w:pPr>
      <w:rPr>
        <w:rFonts w:ascii="Arial" w:hAnsi="Arial" w:hint="default"/>
      </w:rPr>
    </w:lvl>
    <w:lvl w:ilvl="2" w:tplc="03CE52A2" w:tentative="1">
      <w:start w:val="1"/>
      <w:numFmt w:val="bullet"/>
      <w:lvlText w:val="•"/>
      <w:lvlJc w:val="left"/>
      <w:pPr>
        <w:tabs>
          <w:tab w:val="num" w:pos="5948"/>
        </w:tabs>
        <w:ind w:left="5948" w:hanging="360"/>
      </w:pPr>
      <w:rPr>
        <w:rFonts w:ascii="Arial" w:hAnsi="Arial" w:hint="default"/>
      </w:rPr>
    </w:lvl>
    <w:lvl w:ilvl="3" w:tplc="7B5264F8" w:tentative="1">
      <w:start w:val="1"/>
      <w:numFmt w:val="bullet"/>
      <w:lvlText w:val="•"/>
      <w:lvlJc w:val="left"/>
      <w:pPr>
        <w:tabs>
          <w:tab w:val="num" w:pos="6668"/>
        </w:tabs>
        <w:ind w:left="6668" w:hanging="360"/>
      </w:pPr>
      <w:rPr>
        <w:rFonts w:ascii="Arial" w:hAnsi="Arial" w:hint="default"/>
      </w:rPr>
    </w:lvl>
    <w:lvl w:ilvl="4" w:tplc="1ECCCAFE" w:tentative="1">
      <w:start w:val="1"/>
      <w:numFmt w:val="bullet"/>
      <w:lvlText w:val="•"/>
      <w:lvlJc w:val="left"/>
      <w:pPr>
        <w:tabs>
          <w:tab w:val="num" w:pos="7388"/>
        </w:tabs>
        <w:ind w:left="7388" w:hanging="360"/>
      </w:pPr>
      <w:rPr>
        <w:rFonts w:ascii="Arial" w:hAnsi="Arial" w:hint="default"/>
      </w:rPr>
    </w:lvl>
    <w:lvl w:ilvl="5" w:tplc="EC3444CC" w:tentative="1">
      <w:start w:val="1"/>
      <w:numFmt w:val="bullet"/>
      <w:lvlText w:val="•"/>
      <w:lvlJc w:val="left"/>
      <w:pPr>
        <w:tabs>
          <w:tab w:val="num" w:pos="8108"/>
        </w:tabs>
        <w:ind w:left="8108" w:hanging="360"/>
      </w:pPr>
      <w:rPr>
        <w:rFonts w:ascii="Arial" w:hAnsi="Arial" w:hint="default"/>
      </w:rPr>
    </w:lvl>
    <w:lvl w:ilvl="6" w:tplc="96689A38" w:tentative="1">
      <w:start w:val="1"/>
      <w:numFmt w:val="bullet"/>
      <w:lvlText w:val="•"/>
      <w:lvlJc w:val="left"/>
      <w:pPr>
        <w:tabs>
          <w:tab w:val="num" w:pos="8828"/>
        </w:tabs>
        <w:ind w:left="8828" w:hanging="360"/>
      </w:pPr>
      <w:rPr>
        <w:rFonts w:ascii="Arial" w:hAnsi="Arial" w:hint="default"/>
      </w:rPr>
    </w:lvl>
    <w:lvl w:ilvl="7" w:tplc="DC7ADF9C" w:tentative="1">
      <w:start w:val="1"/>
      <w:numFmt w:val="bullet"/>
      <w:lvlText w:val="•"/>
      <w:lvlJc w:val="left"/>
      <w:pPr>
        <w:tabs>
          <w:tab w:val="num" w:pos="9548"/>
        </w:tabs>
        <w:ind w:left="9548" w:hanging="360"/>
      </w:pPr>
      <w:rPr>
        <w:rFonts w:ascii="Arial" w:hAnsi="Arial" w:hint="default"/>
      </w:rPr>
    </w:lvl>
    <w:lvl w:ilvl="8" w:tplc="F0800FE4" w:tentative="1">
      <w:start w:val="1"/>
      <w:numFmt w:val="bullet"/>
      <w:lvlText w:val="•"/>
      <w:lvlJc w:val="left"/>
      <w:pPr>
        <w:tabs>
          <w:tab w:val="num" w:pos="10268"/>
        </w:tabs>
        <w:ind w:left="10268" w:hanging="360"/>
      </w:pPr>
      <w:rPr>
        <w:rFonts w:ascii="Arial" w:hAnsi="Arial" w:hint="default"/>
      </w:rPr>
    </w:lvl>
  </w:abstractNum>
  <w:abstractNum w:abstractNumId="3" w15:restartNumberingAfterBreak="0">
    <w:nsid w:val="2733136B"/>
    <w:multiLevelType w:val="hybridMultilevel"/>
    <w:tmpl w:val="CAF6EBC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1A0D8F"/>
    <w:multiLevelType w:val="hybridMultilevel"/>
    <w:tmpl w:val="9E745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0A77C8A"/>
    <w:multiLevelType w:val="hybridMultilevel"/>
    <w:tmpl w:val="9F2AA3B8"/>
    <w:lvl w:ilvl="0" w:tplc="4D08925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604AD9"/>
    <w:multiLevelType w:val="hybridMultilevel"/>
    <w:tmpl w:val="06041A6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3E00F84"/>
    <w:multiLevelType w:val="hybridMultilevel"/>
    <w:tmpl w:val="B30AF932"/>
    <w:lvl w:ilvl="0" w:tplc="B5D8CD32">
      <w:start w:val="1"/>
      <w:numFmt w:val="decimal"/>
      <w:lvlText w:val="%1."/>
      <w:lvlJc w:val="left"/>
      <w:pPr>
        <w:ind w:left="360" w:hanging="360"/>
      </w:pPr>
      <w:rPr>
        <w:rFonts w:hint="default"/>
        <w:b/>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AA32A4"/>
    <w:multiLevelType w:val="hybridMultilevel"/>
    <w:tmpl w:val="6D68D18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E373539"/>
    <w:multiLevelType w:val="hybridMultilevel"/>
    <w:tmpl w:val="06041A6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17B0160"/>
    <w:multiLevelType w:val="hybridMultilevel"/>
    <w:tmpl w:val="CAF6EBC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DD26FB"/>
    <w:multiLevelType w:val="hybridMultilevel"/>
    <w:tmpl w:val="5DFAA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88706">
    <w:abstractNumId w:val="4"/>
  </w:num>
  <w:num w:numId="2" w16cid:durableId="857237721">
    <w:abstractNumId w:val="4"/>
  </w:num>
  <w:num w:numId="3" w16cid:durableId="1400204966">
    <w:abstractNumId w:val="0"/>
  </w:num>
  <w:num w:numId="4" w16cid:durableId="1836800754">
    <w:abstractNumId w:val="2"/>
  </w:num>
  <w:num w:numId="5" w16cid:durableId="1919319300">
    <w:abstractNumId w:val="1"/>
  </w:num>
  <w:num w:numId="6" w16cid:durableId="1043292018">
    <w:abstractNumId w:val="7"/>
  </w:num>
  <w:num w:numId="7" w16cid:durableId="197818533">
    <w:abstractNumId w:val="10"/>
  </w:num>
  <w:num w:numId="8" w16cid:durableId="1592885213">
    <w:abstractNumId w:val="5"/>
  </w:num>
  <w:num w:numId="9" w16cid:durableId="2134329366">
    <w:abstractNumId w:val="11"/>
  </w:num>
  <w:num w:numId="10" w16cid:durableId="230429740">
    <w:abstractNumId w:val="8"/>
  </w:num>
  <w:num w:numId="11" w16cid:durableId="17582230">
    <w:abstractNumId w:val="9"/>
  </w:num>
  <w:num w:numId="12" w16cid:durableId="255945062">
    <w:abstractNumId w:val="6"/>
  </w:num>
  <w:num w:numId="13" w16cid:durableId="766076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FF"/>
    <w:rsid w:val="00026E71"/>
    <w:rsid w:val="00031366"/>
    <w:rsid w:val="00094790"/>
    <w:rsid w:val="00097FA1"/>
    <w:rsid w:val="000B54FF"/>
    <w:rsid w:val="000C04E7"/>
    <w:rsid w:val="000C7DC1"/>
    <w:rsid w:val="000E4B2B"/>
    <w:rsid w:val="00105DAC"/>
    <w:rsid w:val="00107FA7"/>
    <w:rsid w:val="00124873"/>
    <w:rsid w:val="001252B6"/>
    <w:rsid w:val="00130F3C"/>
    <w:rsid w:val="00137959"/>
    <w:rsid w:val="00142390"/>
    <w:rsid w:val="001455D6"/>
    <w:rsid w:val="0015467E"/>
    <w:rsid w:val="001571FB"/>
    <w:rsid w:val="00167683"/>
    <w:rsid w:val="0018032D"/>
    <w:rsid w:val="00181629"/>
    <w:rsid w:val="001A2C2C"/>
    <w:rsid w:val="001C751A"/>
    <w:rsid w:val="001E0073"/>
    <w:rsid w:val="001E0C9B"/>
    <w:rsid w:val="002034A6"/>
    <w:rsid w:val="00205D0A"/>
    <w:rsid w:val="00222AA5"/>
    <w:rsid w:val="0023079D"/>
    <w:rsid w:val="00231EE2"/>
    <w:rsid w:val="00261161"/>
    <w:rsid w:val="0027175F"/>
    <w:rsid w:val="00276123"/>
    <w:rsid w:val="0027727C"/>
    <w:rsid w:val="0027786C"/>
    <w:rsid w:val="002C464E"/>
    <w:rsid w:val="002C66B0"/>
    <w:rsid w:val="002E10CB"/>
    <w:rsid w:val="002F31C4"/>
    <w:rsid w:val="003068B3"/>
    <w:rsid w:val="003A0B63"/>
    <w:rsid w:val="003B032C"/>
    <w:rsid w:val="003B5279"/>
    <w:rsid w:val="003E506F"/>
    <w:rsid w:val="00421847"/>
    <w:rsid w:val="0042504C"/>
    <w:rsid w:val="00477480"/>
    <w:rsid w:val="004A14C4"/>
    <w:rsid w:val="004B79ED"/>
    <w:rsid w:val="00505374"/>
    <w:rsid w:val="00514A37"/>
    <w:rsid w:val="005546EF"/>
    <w:rsid w:val="005757E9"/>
    <w:rsid w:val="005941CB"/>
    <w:rsid w:val="005D6A89"/>
    <w:rsid w:val="006404A3"/>
    <w:rsid w:val="00641054"/>
    <w:rsid w:val="00642B82"/>
    <w:rsid w:val="00645D4E"/>
    <w:rsid w:val="006A64C5"/>
    <w:rsid w:val="006B0EE3"/>
    <w:rsid w:val="006D0BC9"/>
    <w:rsid w:val="006D6DEE"/>
    <w:rsid w:val="006F0007"/>
    <w:rsid w:val="007156FD"/>
    <w:rsid w:val="00767558"/>
    <w:rsid w:val="007743DA"/>
    <w:rsid w:val="007A1110"/>
    <w:rsid w:val="007B57FD"/>
    <w:rsid w:val="007C411A"/>
    <w:rsid w:val="007D73E4"/>
    <w:rsid w:val="00800B02"/>
    <w:rsid w:val="00806D31"/>
    <w:rsid w:val="00831D33"/>
    <w:rsid w:val="00840037"/>
    <w:rsid w:val="00846E23"/>
    <w:rsid w:val="00850CC0"/>
    <w:rsid w:val="00863E1F"/>
    <w:rsid w:val="00870F41"/>
    <w:rsid w:val="00881462"/>
    <w:rsid w:val="00882A74"/>
    <w:rsid w:val="00885001"/>
    <w:rsid w:val="0089208C"/>
    <w:rsid w:val="008D6416"/>
    <w:rsid w:val="008E2A87"/>
    <w:rsid w:val="008E456F"/>
    <w:rsid w:val="0091747C"/>
    <w:rsid w:val="00960521"/>
    <w:rsid w:val="00970EFF"/>
    <w:rsid w:val="009751A3"/>
    <w:rsid w:val="0099429E"/>
    <w:rsid w:val="00996FBC"/>
    <w:rsid w:val="00A12E80"/>
    <w:rsid w:val="00A30DDC"/>
    <w:rsid w:val="00A406AA"/>
    <w:rsid w:val="00A55AB2"/>
    <w:rsid w:val="00AA62CF"/>
    <w:rsid w:val="00AE30F3"/>
    <w:rsid w:val="00AE3FAF"/>
    <w:rsid w:val="00AE6926"/>
    <w:rsid w:val="00B0426D"/>
    <w:rsid w:val="00B13CDB"/>
    <w:rsid w:val="00B14DD9"/>
    <w:rsid w:val="00B31A70"/>
    <w:rsid w:val="00B565B6"/>
    <w:rsid w:val="00B654F9"/>
    <w:rsid w:val="00B71E1A"/>
    <w:rsid w:val="00B746DF"/>
    <w:rsid w:val="00B82C8F"/>
    <w:rsid w:val="00B90A5A"/>
    <w:rsid w:val="00BA2DA3"/>
    <w:rsid w:val="00BB1ABC"/>
    <w:rsid w:val="00BC2691"/>
    <w:rsid w:val="00BE3157"/>
    <w:rsid w:val="00BE5100"/>
    <w:rsid w:val="00BF7AB5"/>
    <w:rsid w:val="00C16A7A"/>
    <w:rsid w:val="00C25891"/>
    <w:rsid w:val="00C25ED8"/>
    <w:rsid w:val="00C442CC"/>
    <w:rsid w:val="00C47560"/>
    <w:rsid w:val="00C61611"/>
    <w:rsid w:val="00C72037"/>
    <w:rsid w:val="00CA0741"/>
    <w:rsid w:val="00CD31E6"/>
    <w:rsid w:val="00D55DF6"/>
    <w:rsid w:val="00D73187"/>
    <w:rsid w:val="00D767D6"/>
    <w:rsid w:val="00D81830"/>
    <w:rsid w:val="00D8298E"/>
    <w:rsid w:val="00DB5078"/>
    <w:rsid w:val="00DD29BB"/>
    <w:rsid w:val="00DF3783"/>
    <w:rsid w:val="00E04E23"/>
    <w:rsid w:val="00E37949"/>
    <w:rsid w:val="00E51058"/>
    <w:rsid w:val="00E5732E"/>
    <w:rsid w:val="00E90EA7"/>
    <w:rsid w:val="00EA4BA2"/>
    <w:rsid w:val="00EC06D5"/>
    <w:rsid w:val="00ED4AD3"/>
    <w:rsid w:val="00F15DCD"/>
    <w:rsid w:val="00F568EA"/>
    <w:rsid w:val="00F7297B"/>
    <w:rsid w:val="00F83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237A"/>
  <w15:chartTrackingRefBased/>
  <w15:docId w15:val="{0874A9CF-E0E2-4028-80F6-4DAFF79E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4FF"/>
    <w:pPr>
      <w:spacing w:after="0" w:line="240" w:lineRule="auto"/>
      <w:ind w:left="720"/>
    </w:pPr>
    <w:rPr>
      <w:rFonts w:ascii="Calibri" w:hAnsi="Calibri" w:cs="Calibri"/>
    </w:rPr>
  </w:style>
  <w:style w:type="paragraph" w:styleId="NormalWeb">
    <w:name w:val="Normal (Web)"/>
    <w:basedOn w:val="Normal"/>
    <w:uiPriority w:val="99"/>
    <w:unhideWhenUsed/>
    <w:rsid w:val="002C46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aliases w:val="Char Char1 Char,Footnote Text Char Char Char,Footnote Text Char Char1 Char,Footnote Text Char2 Char,Footnote Text Char1 Char1 Char Char,Footnote Text Char2 Char Char Char Char,Footnote Text Char Char1 Char Char Char Char,fn Char"/>
    <w:basedOn w:val="DefaultParagraphFont"/>
    <w:link w:val="FootnoteText"/>
    <w:locked/>
    <w:rsid w:val="00B0426D"/>
  </w:style>
  <w:style w:type="paragraph" w:styleId="FootnoteText">
    <w:name w:val="footnote text"/>
    <w:aliases w:val="Char Char1,Footnote Text Char Char,Footnote Text Char Char1,Footnote Text Char2,Footnote Text Char1 Char1 Char,Footnote Text Char2 Char Char Char,Footnote Text Char Char1 Char Char Char,fn,Footnote Text MRP,ft Char1,f"/>
    <w:basedOn w:val="Normal"/>
    <w:link w:val="FootnoteTextChar"/>
    <w:unhideWhenUsed/>
    <w:rsid w:val="00B0426D"/>
    <w:pPr>
      <w:autoSpaceDE w:val="0"/>
      <w:autoSpaceDN w:val="0"/>
      <w:spacing w:after="260" w:line="240" w:lineRule="auto"/>
      <w:ind w:firstLine="720"/>
    </w:pPr>
  </w:style>
  <w:style w:type="character" w:customStyle="1" w:styleId="FootnoteTextChar1">
    <w:name w:val="Footnote Text Char1"/>
    <w:basedOn w:val="DefaultParagraphFont"/>
    <w:uiPriority w:val="99"/>
    <w:semiHidden/>
    <w:rsid w:val="00B0426D"/>
    <w:rPr>
      <w:sz w:val="20"/>
      <w:szCs w:val="20"/>
    </w:rPr>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uiPriority w:val="99"/>
    <w:semiHidden/>
    <w:unhideWhenUsed/>
    <w:rsid w:val="00B0426D"/>
    <w:rPr>
      <w:rFonts w:ascii="Times New Roman" w:hAnsi="Times New Roman" w:cs="Times New Roman" w:hint="default"/>
      <w:b/>
      <w:bCs/>
      <w:strike w:val="0"/>
      <w:dstrike w:val="0"/>
      <w:u w:val="none"/>
      <w:effect w:val="none"/>
      <w:vertAlign w:val="superscript"/>
    </w:rPr>
  </w:style>
  <w:style w:type="character" w:styleId="Emphasis">
    <w:name w:val="Emphasis"/>
    <w:basedOn w:val="DefaultParagraphFont"/>
    <w:uiPriority w:val="20"/>
    <w:qFormat/>
    <w:rsid w:val="006D0BC9"/>
    <w:rPr>
      <w:i/>
      <w:iCs/>
    </w:rPr>
  </w:style>
  <w:style w:type="paragraph" w:styleId="Revision">
    <w:name w:val="Revision"/>
    <w:hidden/>
    <w:uiPriority w:val="99"/>
    <w:semiHidden/>
    <w:rsid w:val="0027727C"/>
    <w:pPr>
      <w:spacing w:after="0" w:line="240" w:lineRule="auto"/>
    </w:pPr>
  </w:style>
  <w:style w:type="paragraph" w:styleId="Header">
    <w:name w:val="header"/>
    <w:basedOn w:val="Normal"/>
    <w:link w:val="HeaderChar"/>
    <w:uiPriority w:val="99"/>
    <w:unhideWhenUsed/>
    <w:rsid w:val="002F3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1C4"/>
  </w:style>
  <w:style w:type="paragraph" w:styleId="Footer">
    <w:name w:val="footer"/>
    <w:basedOn w:val="Normal"/>
    <w:link w:val="FooterChar"/>
    <w:uiPriority w:val="99"/>
    <w:unhideWhenUsed/>
    <w:rsid w:val="002F3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0372">
      <w:bodyDiv w:val="1"/>
      <w:marLeft w:val="0"/>
      <w:marRight w:val="0"/>
      <w:marTop w:val="0"/>
      <w:marBottom w:val="0"/>
      <w:divBdr>
        <w:top w:val="none" w:sz="0" w:space="0" w:color="auto"/>
        <w:left w:val="none" w:sz="0" w:space="0" w:color="auto"/>
        <w:bottom w:val="none" w:sz="0" w:space="0" w:color="auto"/>
        <w:right w:val="none" w:sz="0" w:space="0" w:color="auto"/>
      </w:divBdr>
    </w:div>
    <w:div w:id="882132779">
      <w:bodyDiv w:val="1"/>
      <w:marLeft w:val="0"/>
      <w:marRight w:val="0"/>
      <w:marTop w:val="0"/>
      <w:marBottom w:val="0"/>
      <w:divBdr>
        <w:top w:val="none" w:sz="0" w:space="0" w:color="auto"/>
        <w:left w:val="none" w:sz="0" w:space="0" w:color="auto"/>
        <w:bottom w:val="none" w:sz="0" w:space="0" w:color="auto"/>
        <w:right w:val="none" w:sz="0" w:space="0" w:color="auto"/>
      </w:divBdr>
      <w:divsChild>
        <w:div w:id="785542457">
          <w:marLeft w:val="547"/>
          <w:marRight w:val="0"/>
          <w:marTop w:val="0"/>
          <w:marBottom w:val="0"/>
          <w:divBdr>
            <w:top w:val="none" w:sz="0" w:space="0" w:color="auto"/>
            <w:left w:val="none" w:sz="0" w:space="0" w:color="auto"/>
            <w:bottom w:val="none" w:sz="0" w:space="0" w:color="auto"/>
            <w:right w:val="none" w:sz="0" w:space="0" w:color="auto"/>
          </w:divBdr>
        </w:div>
        <w:div w:id="1137606498">
          <w:marLeft w:val="547"/>
          <w:marRight w:val="0"/>
          <w:marTop w:val="0"/>
          <w:marBottom w:val="0"/>
          <w:divBdr>
            <w:top w:val="none" w:sz="0" w:space="0" w:color="auto"/>
            <w:left w:val="none" w:sz="0" w:space="0" w:color="auto"/>
            <w:bottom w:val="none" w:sz="0" w:space="0" w:color="auto"/>
            <w:right w:val="none" w:sz="0" w:space="0" w:color="auto"/>
          </w:divBdr>
        </w:div>
        <w:div w:id="1409301596">
          <w:marLeft w:val="547"/>
          <w:marRight w:val="0"/>
          <w:marTop w:val="0"/>
          <w:marBottom w:val="0"/>
          <w:divBdr>
            <w:top w:val="none" w:sz="0" w:space="0" w:color="auto"/>
            <w:left w:val="none" w:sz="0" w:space="0" w:color="auto"/>
            <w:bottom w:val="none" w:sz="0" w:space="0" w:color="auto"/>
            <w:right w:val="none" w:sz="0" w:space="0" w:color="auto"/>
          </w:divBdr>
        </w:div>
        <w:div w:id="333581214">
          <w:marLeft w:val="547"/>
          <w:marRight w:val="0"/>
          <w:marTop w:val="0"/>
          <w:marBottom w:val="0"/>
          <w:divBdr>
            <w:top w:val="none" w:sz="0" w:space="0" w:color="auto"/>
            <w:left w:val="none" w:sz="0" w:space="0" w:color="auto"/>
            <w:bottom w:val="none" w:sz="0" w:space="0" w:color="auto"/>
            <w:right w:val="none" w:sz="0" w:space="0" w:color="auto"/>
          </w:divBdr>
        </w:div>
      </w:divsChild>
    </w:div>
    <w:div w:id="890573497">
      <w:bodyDiv w:val="1"/>
      <w:marLeft w:val="0"/>
      <w:marRight w:val="0"/>
      <w:marTop w:val="0"/>
      <w:marBottom w:val="0"/>
      <w:divBdr>
        <w:top w:val="none" w:sz="0" w:space="0" w:color="auto"/>
        <w:left w:val="none" w:sz="0" w:space="0" w:color="auto"/>
        <w:bottom w:val="none" w:sz="0" w:space="0" w:color="auto"/>
        <w:right w:val="none" w:sz="0" w:space="0" w:color="auto"/>
      </w:divBdr>
      <w:divsChild>
        <w:div w:id="1855683830">
          <w:marLeft w:val="446"/>
          <w:marRight w:val="0"/>
          <w:marTop w:val="115"/>
          <w:marBottom w:val="0"/>
          <w:divBdr>
            <w:top w:val="none" w:sz="0" w:space="0" w:color="auto"/>
            <w:left w:val="none" w:sz="0" w:space="0" w:color="auto"/>
            <w:bottom w:val="none" w:sz="0" w:space="0" w:color="auto"/>
            <w:right w:val="none" w:sz="0" w:space="0" w:color="auto"/>
          </w:divBdr>
        </w:div>
        <w:div w:id="1172178687">
          <w:marLeft w:val="446"/>
          <w:marRight w:val="0"/>
          <w:marTop w:val="115"/>
          <w:marBottom w:val="0"/>
          <w:divBdr>
            <w:top w:val="none" w:sz="0" w:space="0" w:color="auto"/>
            <w:left w:val="none" w:sz="0" w:space="0" w:color="auto"/>
            <w:bottom w:val="none" w:sz="0" w:space="0" w:color="auto"/>
            <w:right w:val="none" w:sz="0" w:space="0" w:color="auto"/>
          </w:divBdr>
        </w:div>
        <w:div w:id="1722896764">
          <w:marLeft w:val="446"/>
          <w:marRight w:val="0"/>
          <w:marTop w:val="115"/>
          <w:marBottom w:val="0"/>
          <w:divBdr>
            <w:top w:val="none" w:sz="0" w:space="0" w:color="auto"/>
            <w:left w:val="none" w:sz="0" w:space="0" w:color="auto"/>
            <w:bottom w:val="none" w:sz="0" w:space="0" w:color="auto"/>
            <w:right w:val="none" w:sz="0" w:space="0" w:color="auto"/>
          </w:divBdr>
        </w:div>
        <w:div w:id="333997767">
          <w:marLeft w:val="446"/>
          <w:marRight w:val="0"/>
          <w:marTop w:val="115"/>
          <w:marBottom w:val="0"/>
          <w:divBdr>
            <w:top w:val="none" w:sz="0" w:space="0" w:color="auto"/>
            <w:left w:val="none" w:sz="0" w:space="0" w:color="auto"/>
            <w:bottom w:val="none" w:sz="0" w:space="0" w:color="auto"/>
            <w:right w:val="none" w:sz="0" w:space="0" w:color="auto"/>
          </w:divBdr>
        </w:div>
        <w:div w:id="1314211416">
          <w:marLeft w:val="446"/>
          <w:marRight w:val="0"/>
          <w:marTop w:val="115"/>
          <w:marBottom w:val="0"/>
          <w:divBdr>
            <w:top w:val="none" w:sz="0" w:space="0" w:color="auto"/>
            <w:left w:val="none" w:sz="0" w:space="0" w:color="auto"/>
            <w:bottom w:val="none" w:sz="0" w:space="0" w:color="auto"/>
            <w:right w:val="none" w:sz="0" w:space="0" w:color="auto"/>
          </w:divBdr>
        </w:div>
      </w:divsChild>
    </w:div>
    <w:div w:id="983586724">
      <w:bodyDiv w:val="1"/>
      <w:marLeft w:val="0"/>
      <w:marRight w:val="0"/>
      <w:marTop w:val="0"/>
      <w:marBottom w:val="0"/>
      <w:divBdr>
        <w:top w:val="none" w:sz="0" w:space="0" w:color="auto"/>
        <w:left w:val="none" w:sz="0" w:space="0" w:color="auto"/>
        <w:bottom w:val="none" w:sz="0" w:space="0" w:color="auto"/>
        <w:right w:val="none" w:sz="0" w:space="0" w:color="auto"/>
      </w:divBdr>
      <w:divsChild>
        <w:div w:id="10762487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53146748">
      <w:bodyDiv w:val="1"/>
      <w:marLeft w:val="0"/>
      <w:marRight w:val="0"/>
      <w:marTop w:val="0"/>
      <w:marBottom w:val="0"/>
      <w:divBdr>
        <w:top w:val="none" w:sz="0" w:space="0" w:color="auto"/>
        <w:left w:val="none" w:sz="0" w:space="0" w:color="auto"/>
        <w:bottom w:val="none" w:sz="0" w:space="0" w:color="auto"/>
        <w:right w:val="none" w:sz="0" w:space="0" w:color="auto"/>
      </w:divBdr>
      <w:divsChild>
        <w:div w:id="209239204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1298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66F6B-FD83-427C-A420-135C5CED086A}">
  <ds:schemaRefs>
    <ds:schemaRef ds:uri="http://schemas.openxmlformats.org/officeDocument/2006/bibliography"/>
  </ds:schemaRefs>
</ds:datastoreItem>
</file>

<file path=docMetadata/LabelInfo.xml><?xml version="1.0" encoding="utf-8"?>
<clbl:labelList xmlns:clbl="http://schemas.microsoft.com/office/2020/mipLabelMetadata">
  <clbl:label id="{788c8a80-3a15-4016-b4c2-fc12516bfa38}" enabled="1" method="Privileged" siteId="{ea80952e-a476-42d4-aaf4-5457852b0f7e}" removed="0"/>
</clbl:labelList>
</file>

<file path=docProps/app.xml><?xml version="1.0" encoding="utf-8"?>
<Properties xmlns="http://schemas.openxmlformats.org/officeDocument/2006/extended-properties" xmlns:vt="http://schemas.openxmlformats.org/officeDocument/2006/docPropsVTypes">
  <Template>Normal.dotm</Template>
  <TotalTime>103</TotalTime>
  <Pages>1</Pages>
  <Words>2677</Words>
  <Characters>15261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Jagtiani</dc:creator>
  <cp:keywords/>
  <dc:description/>
  <cp:lastModifiedBy>Patricia Jagtiani</cp:lastModifiedBy>
  <cp:revision>12</cp:revision>
  <cp:lastPrinted>2022-11-28T15:48:00Z</cp:lastPrinted>
  <dcterms:created xsi:type="dcterms:W3CDTF">2022-11-28T16:32:00Z</dcterms:created>
  <dcterms:modified xsi:type="dcterms:W3CDTF">2022-11-28T18:16:00Z</dcterms:modified>
</cp:coreProperties>
</file>