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3CFC60DA"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D64BC1">
        <w:t>December 5</w:t>
      </w:r>
      <w:r w:rsidR="00206CE5">
        <w:t>, 2022</w:t>
      </w:r>
    </w:p>
    <w:p w14:paraId="4199B113" w14:textId="3A8F3C1C" w:rsidR="004667C2" w:rsidRDefault="004667C2" w:rsidP="00DC2A77">
      <w:pPr>
        <w:pBdr>
          <w:bottom w:val="single" w:sz="12" w:space="1" w:color="auto"/>
        </w:pBdr>
        <w:tabs>
          <w:tab w:val="left" w:pos="900"/>
        </w:tabs>
        <w:spacing w:before="120" w:after="120"/>
      </w:pPr>
      <w:r>
        <w:rPr>
          <w:b/>
        </w:rPr>
        <w:t>DATE:</w:t>
      </w:r>
      <w:r w:rsidR="009633C3">
        <w:tab/>
      </w:r>
      <w:r w:rsidR="00EE453A">
        <w:t xml:space="preserve">January </w:t>
      </w:r>
      <w:r w:rsidR="007673E1">
        <w:t>11</w:t>
      </w:r>
      <w:r w:rsidR="00EE453A">
        <w:t>, 2023</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3CEB4191"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D64BC1">
        <w:t>December 5</w:t>
      </w:r>
      <w:r w:rsidR="00206CE5">
        <w:t>, 2022</w:t>
      </w:r>
      <w:r w:rsidR="00680D5B">
        <w:t xml:space="preserve"> </w:t>
      </w:r>
      <w:r w:rsidR="00DD1713">
        <w:t xml:space="preserve">at </w:t>
      </w:r>
      <w:r w:rsidR="00D64BC1">
        <w:t>1:00 PM</w:t>
      </w:r>
      <w:r>
        <w:t xml:space="preserve"> </w:t>
      </w:r>
      <w:r w:rsidR="00554313">
        <w:t>Central</w:t>
      </w:r>
      <w:r>
        <w:t xml:space="preserve">.  </w:t>
      </w:r>
      <w:r w:rsidR="003C4EB7">
        <w:t>Mr. Gee</w:t>
      </w:r>
      <w:r w:rsidR="00A33EF1">
        <w:t xml:space="preserve">, </w:t>
      </w:r>
      <w:r w:rsidR="003C4EB7">
        <w:t>and Mr. Wood</w:t>
      </w:r>
      <w:r w:rsidR="00BA466B">
        <w:t xml:space="preserve"> </w:t>
      </w:r>
      <w:r>
        <w:t xml:space="preserve">presided over the meeting.  </w:t>
      </w:r>
      <w:r w:rsidR="00CD43E9">
        <w:t>The notes below reflect the NAESB staff summary of the meeting.</w:t>
      </w:r>
      <w:r w:rsidR="00925B09">
        <w:t xml:space="preserve">  </w:t>
      </w:r>
    </w:p>
    <w:p w14:paraId="4C3A725A" w14:textId="6AE19051" w:rsidR="004667C2" w:rsidRDefault="00774881" w:rsidP="00661401">
      <w:pPr>
        <w:spacing w:before="120" w:after="240"/>
        <w:outlineLvl w:val="2"/>
      </w:pPr>
      <w:r>
        <w:t>A recording of the meeting has been posted on the NAESB GEH Forum webpage:</w:t>
      </w:r>
      <w:r w:rsidR="00BC74DE">
        <w:t xml:space="preserve"> </w:t>
      </w:r>
      <w:hyperlink r:id="rId8" w:history="1">
        <w:r w:rsidR="00D64BC1" w:rsidRPr="0022710F">
          <w:rPr>
            <w:rStyle w:val="Hyperlink"/>
          </w:rPr>
          <w:t>https://naesb.org/recordings/geh120522recording.mp4</w:t>
        </w:r>
      </w:hyperlink>
      <w:r w:rsidR="00D64BC1">
        <w:t xml:space="preserve">. </w:t>
      </w:r>
    </w:p>
    <w:p w14:paraId="6C8EAA8C" w14:textId="5053A1CB" w:rsidR="003C4EB7" w:rsidRDefault="003C4EB7" w:rsidP="00661401">
      <w:pPr>
        <w:spacing w:before="120" w:after="240"/>
        <w:outlineLvl w:val="2"/>
      </w:pPr>
      <w:r>
        <w:t xml:space="preserve">The chat log from the meeting has been posted on the NAESB GEH Forum webpage: </w:t>
      </w:r>
      <w:hyperlink r:id="rId9" w:history="1">
        <w:r w:rsidR="00EE453A" w:rsidRPr="0082564E">
          <w:rPr>
            <w:rStyle w:val="Hyperlink"/>
          </w:rPr>
          <w:t>https://naesb.org/pdf4/geh120522chat.docx</w:t>
        </w:r>
      </w:hyperlink>
      <w:r w:rsidR="00EE453A">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38421A31" w:rsidR="004667C2" w:rsidRDefault="009633C3" w:rsidP="00680D5B">
            <w:pPr>
              <w:spacing w:before="120" w:after="240"/>
              <w:ind w:left="-108"/>
              <w:jc w:val="center"/>
              <w:outlineLvl w:val="2"/>
              <w:rPr>
                <w:b/>
              </w:rPr>
            </w:pPr>
            <w:r>
              <w:rPr>
                <w:b/>
              </w:rPr>
              <w:t xml:space="preserve">Notes from the </w:t>
            </w:r>
            <w:r w:rsidR="006E22F4">
              <w:rPr>
                <w:b/>
              </w:rPr>
              <w:t>December 5</w:t>
            </w:r>
            <w:r w:rsidR="00206CE5">
              <w:rPr>
                <w:b/>
              </w:rPr>
              <w:t>, 2022</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77777777" w:rsidR="00925B09" w:rsidRDefault="00925B09" w:rsidP="00DC2A77">
            <w:pPr>
              <w:spacing w:before="120" w:after="60"/>
              <w:outlineLvl w:val="2"/>
              <w:rPr>
                <w:b/>
              </w:rPr>
            </w:pPr>
            <w:r>
              <w:rPr>
                <w:b/>
              </w:rPr>
              <w:t>Administrative:</w:t>
            </w:r>
          </w:p>
        </w:tc>
        <w:tc>
          <w:tcPr>
            <w:tcW w:w="7488" w:type="dxa"/>
            <w:tcBorders>
              <w:top w:val="single" w:sz="4" w:space="0" w:color="auto"/>
            </w:tcBorders>
          </w:tcPr>
          <w:p w14:paraId="6A6FFC5D" w14:textId="2023F575" w:rsidR="00D42CDB" w:rsidRDefault="003C4EB7" w:rsidP="006D14F6">
            <w:pPr>
              <w:keepNext/>
              <w:keepLines/>
              <w:spacing w:before="120" w:after="60"/>
              <w:jc w:val="both"/>
              <w:outlineLvl w:val="2"/>
            </w:pPr>
            <w:r>
              <w:t xml:space="preserve">Mr. Booe welcomed the participants.  He </w:t>
            </w:r>
            <w:r w:rsidR="00D42CDB">
              <w:t>indicated that as included in the agenda, discussion during the meeting will be a continuation from the November 8, 2022 meeting.</w:t>
            </w:r>
          </w:p>
          <w:p w14:paraId="297549B4" w14:textId="77777777" w:rsidR="00E56DEE" w:rsidRDefault="006C5503" w:rsidP="006C5503">
            <w:pPr>
              <w:keepNext/>
              <w:keepLines/>
              <w:spacing w:before="120" w:after="60"/>
              <w:jc w:val="both"/>
              <w:outlineLvl w:val="2"/>
            </w:pPr>
            <w:r>
              <w:t xml:space="preserve">Mr. Booe </w:t>
            </w:r>
            <w:r w:rsidR="003C4EB7">
              <w:t xml:space="preserve">reminded </w:t>
            </w:r>
            <w:r>
              <w:t xml:space="preserve">the </w:t>
            </w:r>
            <w:r w:rsidR="003C4EB7">
              <w:t xml:space="preserve">participants of the </w:t>
            </w:r>
            <w:r>
              <w:t>NAESB Antitrust and Other Meeting Policies.</w:t>
            </w:r>
          </w:p>
          <w:p w14:paraId="22DBEA07" w14:textId="50A563B2" w:rsidR="00D42CDB" w:rsidRDefault="00E45DD8" w:rsidP="006C5503">
            <w:pPr>
              <w:keepNext/>
              <w:keepLines/>
              <w:spacing w:before="120" w:after="60"/>
              <w:jc w:val="both"/>
              <w:outlineLvl w:val="2"/>
            </w:pPr>
            <w:r>
              <w:t xml:space="preserve">Mr. Booe </w:t>
            </w:r>
            <w:r w:rsidR="00D42CDB">
              <w:t xml:space="preserve">stated that the full meeting schedule for 2023 is still being developed but that the first meeting of the year will be held on Thursday, January 12, 2023 from 9:00 AM – 12:00 PM Central.  He noted that an announcement will be coming within the next few weeks regarding additional meetings and that the </w:t>
            </w:r>
            <w:hyperlink r:id="rId10" w:history="1">
              <w:r w:rsidR="00D42CDB" w:rsidRPr="00D42CDB">
                <w:rPr>
                  <w:rStyle w:val="Hyperlink"/>
                </w:rPr>
                <w:t>NAESB GEH Forum Meeting Schedule</w:t>
              </w:r>
            </w:hyperlink>
            <w:r w:rsidR="00D42CDB">
              <w:t xml:space="preserve"> posted to the website will be updated as well.</w:t>
            </w:r>
          </w:p>
          <w:p w14:paraId="73EE8538" w14:textId="1858C5E7" w:rsidR="00D42CDB" w:rsidRDefault="00D42CDB" w:rsidP="006C5503">
            <w:pPr>
              <w:keepNext/>
              <w:keepLines/>
              <w:spacing w:before="120" w:after="60"/>
              <w:jc w:val="both"/>
              <w:outlineLvl w:val="2"/>
            </w:pPr>
            <w:r>
              <w:t>Mr. Booe stated that, in response to recommendations by a several of the trade associations that educational information regarding various market processes may be helpful to discussions, the NAESB office is asking any interested trade association to make available a short, informational video presentation for posting to the NAESB GEH Forum page of the website.  He indicated that these should be available early next year.</w:t>
            </w:r>
          </w:p>
          <w:p w14:paraId="569B5C3D" w14:textId="32B3513B" w:rsidR="00E45DD8" w:rsidRPr="00DD1713" w:rsidRDefault="00D42CDB" w:rsidP="006C5503">
            <w:pPr>
              <w:keepNext/>
              <w:keepLines/>
              <w:spacing w:before="120" w:after="60"/>
              <w:jc w:val="both"/>
              <w:outlineLvl w:val="2"/>
            </w:pPr>
            <w:r>
              <w:t>Mr. Booe noted that in addition to the comments submitted for the last meeting, supplemental comments were submitted by Texas Competitive Power Advocates, the National Gas Supply Association</w:t>
            </w:r>
            <w:r w:rsidR="00042E6E">
              <w:t>,</w:t>
            </w:r>
            <w:r>
              <w:t xml:space="preserve"> and the American Gas Association </w:t>
            </w:r>
            <w:r w:rsidR="00042E6E">
              <w:t xml:space="preserve">and that a new set of comments </w:t>
            </w:r>
            <w:r w:rsidR="006A7FA4">
              <w:t xml:space="preserve">was </w:t>
            </w:r>
            <w:r w:rsidR="00042E6E">
              <w:t>submitted by the Texas Pipeline Association.  He stated that these comments are all posted to the NAESB GEH Forum page of the website.</w:t>
            </w:r>
          </w:p>
        </w:tc>
      </w:tr>
      <w:tr w:rsidR="00223F42" w14:paraId="170AAB7D" w14:textId="77777777" w:rsidTr="003C4EB7">
        <w:tc>
          <w:tcPr>
            <w:tcW w:w="2430" w:type="dxa"/>
          </w:tcPr>
          <w:p w14:paraId="6DDD9392" w14:textId="5736F14B" w:rsidR="00223F42" w:rsidRDefault="00206CE5" w:rsidP="00680D5B">
            <w:pPr>
              <w:spacing w:before="120" w:after="60"/>
              <w:outlineLvl w:val="2"/>
              <w:rPr>
                <w:b/>
              </w:rPr>
            </w:pPr>
            <w:r>
              <w:rPr>
                <w:b/>
              </w:rPr>
              <w:t>Opening Remarks</w:t>
            </w:r>
          </w:p>
        </w:tc>
        <w:tc>
          <w:tcPr>
            <w:tcW w:w="7488" w:type="dxa"/>
          </w:tcPr>
          <w:p w14:paraId="144CAA80" w14:textId="340123C3" w:rsidR="00A33EF1" w:rsidRDefault="00E45DD8" w:rsidP="00733900">
            <w:pPr>
              <w:spacing w:before="120" w:after="120"/>
            </w:pPr>
            <w:r>
              <w:t xml:space="preserve">Mr. Booe asked if </w:t>
            </w:r>
            <w:r w:rsidR="00A33EF1">
              <w:t xml:space="preserve">there were any opening remarks from the </w:t>
            </w:r>
            <w:r w:rsidR="000A29E9">
              <w:t>panelists</w:t>
            </w:r>
            <w:r w:rsidR="00A33EF1">
              <w:t>.</w:t>
            </w:r>
          </w:p>
          <w:p w14:paraId="437C6A66" w14:textId="72914C95" w:rsidR="00577687" w:rsidRPr="009B036E" w:rsidRDefault="00042E6E" w:rsidP="005A75B7">
            <w:pPr>
              <w:spacing w:before="120" w:after="120"/>
              <w:jc w:val="both"/>
            </w:pPr>
            <w:r>
              <w:t>Mr. Gee thanked the participants for attending and asked that all speakers keep their comments succinct.  He welcomed the opportunity to hear and discuss the differing views of the participants.</w:t>
            </w:r>
            <w:r w:rsidR="00785645">
              <w:t xml:space="preserve">  </w:t>
            </w:r>
            <w:r w:rsidR="00A33EF1">
              <w:t xml:space="preserve">Mr. Wood </w:t>
            </w:r>
            <w:r w:rsidR="00785645">
              <w:t>reminded the participants that the NAESB GEH Forum does not have a predetermined outcome and that the discussion of new ideas is always welcome.  Mr. Desselle expressed agreement with Mr. Gee and Mr. Wood, indicating that he welcomed any constructive dialogue during the meeting.</w:t>
            </w:r>
          </w:p>
        </w:tc>
      </w:tr>
      <w:tr w:rsidR="00733900" w14:paraId="55C51B51" w14:textId="77777777" w:rsidTr="003C4EB7">
        <w:tc>
          <w:tcPr>
            <w:tcW w:w="2430" w:type="dxa"/>
          </w:tcPr>
          <w:p w14:paraId="68FC5926" w14:textId="0AFCED66" w:rsidR="00733900" w:rsidRDefault="00C74E9D" w:rsidP="00680D5B">
            <w:pPr>
              <w:spacing w:before="120" w:after="60"/>
              <w:outlineLvl w:val="2"/>
              <w:rPr>
                <w:b/>
              </w:rPr>
            </w:pPr>
            <w:r>
              <w:rPr>
                <w:b/>
              </w:rPr>
              <w:lastRenderedPageBreak/>
              <w:t>Discussion of Comments Submitted in Response to October 24, 2022 Request</w:t>
            </w:r>
          </w:p>
        </w:tc>
        <w:tc>
          <w:tcPr>
            <w:tcW w:w="7488" w:type="dxa"/>
          </w:tcPr>
          <w:p w14:paraId="3B098E52" w14:textId="34439240" w:rsidR="0009205A" w:rsidRDefault="00542CC7" w:rsidP="003843F1">
            <w:pPr>
              <w:spacing w:before="120" w:after="120"/>
              <w:jc w:val="both"/>
            </w:pPr>
            <w:r>
              <w:t xml:space="preserve">Mr. Booe stated that the participants would begin the meeting by </w:t>
            </w:r>
            <w:r w:rsidR="00C74E9D">
              <w:t xml:space="preserve">addressing the </w:t>
            </w:r>
            <w:r w:rsidR="00F04B82">
              <w:t>remaining comments submitted for question two.  He noted that as with past meetings, participants can use the “raise hand” feature if they would like to comment but that preference will be given to those who submitted written comments or contacted the NAESB office prior to the meeting.</w:t>
            </w:r>
          </w:p>
          <w:p w14:paraId="705247E4" w14:textId="77777777" w:rsidR="00F04B82" w:rsidRPr="00345E46" w:rsidRDefault="00F04B82" w:rsidP="00F04B82">
            <w:pPr>
              <w:spacing w:before="120"/>
              <w:ind w:left="415" w:right="1010"/>
              <w:jc w:val="both"/>
              <w:rPr>
                <w:bCs/>
              </w:rPr>
            </w:pPr>
            <w:r>
              <w:rPr>
                <w:b/>
                <w:u w:val="single"/>
              </w:rPr>
              <w:t>Question 2</w:t>
            </w:r>
            <w:r>
              <w:rPr>
                <w:bCs/>
              </w:rPr>
              <w:t xml:space="preserve">: </w:t>
            </w:r>
            <w:r w:rsidRPr="00345E46">
              <w:rPr>
                <w:bCs/>
              </w:rPr>
              <w:t>Please provide general comments and recommendations concerning the following related to information sharing:</w:t>
            </w:r>
          </w:p>
          <w:p w14:paraId="1F9CFAFA" w14:textId="77777777" w:rsidR="00F04B82" w:rsidRPr="00345E46" w:rsidRDefault="00F04B82" w:rsidP="00F04B82">
            <w:pPr>
              <w:numPr>
                <w:ilvl w:val="0"/>
                <w:numId w:val="11"/>
              </w:numPr>
              <w:spacing w:before="120"/>
              <w:ind w:right="1010"/>
              <w:jc w:val="both"/>
              <w:rPr>
                <w:bCs/>
              </w:rPr>
            </w:pPr>
            <w:r w:rsidRPr="00345E46">
              <w:rPr>
                <w:bCs/>
              </w:rPr>
              <w:t>What information is currently not shared between interstate pipelines, LDCs, gas-fired power generators, and the ISO/RTOs that would be helpful in situations of constrained capacity/unanticipated demand?</w:t>
            </w:r>
          </w:p>
          <w:p w14:paraId="64551A1E" w14:textId="77777777" w:rsidR="00F04B82" w:rsidRPr="00345E46" w:rsidRDefault="00F04B82" w:rsidP="00F04B82">
            <w:pPr>
              <w:numPr>
                <w:ilvl w:val="0"/>
                <w:numId w:val="11"/>
              </w:numPr>
              <w:spacing w:before="120"/>
              <w:ind w:right="1010"/>
              <w:jc w:val="both"/>
              <w:rPr>
                <w:bCs/>
              </w:rPr>
            </w:pPr>
            <w:r w:rsidRPr="00345E46">
              <w:rPr>
                <w:bCs/>
              </w:rPr>
              <w:t>What information is currently not shared between intrastate pipelines, LDCs, gas-fired power generators, and the ISO/RTOs that would be helpful in situations of constrained capacity/unanticipated demand?</w:t>
            </w:r>
          </w:p>
          <w:p w14:paraId="2FD7CDD0" w14:textId="77777777" w:rsidR="00F04B82" w:rsidRPr="00345E46" w:rsidRDefault="00F04B82" w:rsidP="00F04B82">
            <w:pPr>
              <w:numPr>
                <w:ilvl w:val="0"/>
                <w:numId w:val="11"/>
              </w:numPr>
              <w:spacing w:before="120"/>
              <w:ind w:right="1010"/>
              <w:jc w:val="both"/>
              <w:rPr>
                <w:bCs/>
              </w:rPr>
            </w:pPr>
            <w:r w:rsidRPr="00345E46">
              <w:rPr>
                <w:bCs/>
              </w:rPr>
              <w:t>What are the barriers to sharing the information, and how can they be eliminated?</w:t>
            </w:r>
          </w:p>
          <w:p w14:paraId="04FF6109" w14:textId="77777777" w:rsidR="00F04B82" w:rsidRDefault="00F04B82" w:rsidP="00F04B82">
            <w:pPr>
              <w:spacing w:before="120" w:after="120"/>
              <w:ind w:left="323"/>
              <w:jc w:val="both"/>
              <w:rPr>
                <w:bCs/>
              </w:rPr>
            </w:pPr>
            <w:r w:rsidRPr="00345E46">
              <w:rPr>
                <w:bCs/>
              </w:rPr>
              <w:t>d)  How could/should the information be shared?</w:t>
            </w:r>
          </w:p>
          <w:p w14:paraId="31181F34" w14:textId="3D1DE0ED" w:rsidR="004B60D7" w:rsidRPr="004B60D7" w:rsidRDefault="00C74E9D" w:rsidP="003843F1">
            <w:pPr>
              <w:spacing w:before="120" w:after="120"/>
              <w:jc w:val="both"/>
              <w:rPr>
                <w:u w:val="single"/>
              </w:rPr>
            </w:pPr>
            <w:r>
              <w:rPr>
                <w:u w:val="single"/>
              </w:rPr>
              <w:t>SoCal Gas</w:t>
            </w:r>
          </w:p>
          <w:p w14:paraId="58C7B19B" w14:textId="60B38B9F" w:rsidR="00F04B82" w:rsidRDefault="00C74E9D" w:rsidP="003843F1">
            <w:pPr>
              <w:spacing w:before="120" w:after="120"/>
              <w:jc w:val="both"/>
            </w:pPr>
            <w:r>
              <w:t>Mr. Peress</w:t>
            </w:r>
            <w:r w:rsidR="000B3411">
              <w:t xml:space="preserve"> s</w:t>
            </w:r>
            <w:r w:rsidR="00F04B82">
              <w:t xml:space="preserve">uggested that </w:t>
            </w:r>
            <w:r w:rsidR="00785645">
              <w:t xml:space="preserve">all market participants could realize a </w:t>
            </w:r>
            <w:r w:rsidR="00F04B82">
              <w:t xml:space="preserve">benefit </w:t>
            </w:r>
            <w:r w:rsidR="00785645">
              <w:t>from</w:t>
            </w:r>
            <w:r w:rsidR="00F04B82">
              <w:t xml:space="preserve"> greater transparency</w:t>
            </w:r>
            <w:r w:rsidR="001600D7">
              <w:t xml:space="preserve"> within the wholesale gas market </w:t>
            </w:r>
            <w:r w:rsidR="00F04B82">
              <w:t>regarding price formation, especially in the secondary market.  He indicated that this could be achieved through enhanced reporting of intraday transactions</w:t>
            </w:r>
            <w:r w:rsidR="001600D7">
              <w:t xml:space="preserve"> regarding the quantity of available capacity and associated price a</w:t>
            </w:r>
            <w:r w:rsidR="00785645">
              <w:t>t</w:t>
            </w:r>
            <w:r w:rsidR="001600D7">
              <w:t xml:space="preserve"> the start of each scheduling cycle.  Mr. Peress stated that there could also be a benefit </w:t>
            </w:r>
            <w:r w:rsidR="00785645">
              <w:t>to</w:t>
            </w:r>
            <w:r w:rsidR="001600D7">
              <w:t xml:space="preserve"> </w:t>
            </w:r>
            <w:r w:rsidR="00785645">
              <w:t xml:space="preserve">the sharing of information by </w:t>
            </w:r>
            <w:r w:rsidR="001600D7">
              <w:t xml:space="preserve">power generators </w:t>
            </w:r>
            <w:r w:rsidR="00785645">
              <w:t xml:space="preserve">with transportation providers </w:t>
            </w:r>
            <w:r w:rsidR="001600D7">
              <w:t>regarding expected hourly takes of natural gas based on the day ahead market results</w:t>
            </w:r>
            <w:r w:rsidR="00785645">
              <w:t xml:space="preserve">.  </w:t>
            </w:r>
            <w:r w:rsidR="001600D7">
              <w:t xml:space="preserve">He noted that the direct sharing of information between these two parties </w:t>
            </w:r>
            <w:r w:rsidR="001F050F">
              <w:t>will provide market participants with a better understanding of the location of potential supply constraints.</w:t>
            </w:r>
          </w:p>
          <w:p w14:paraId="5FFAC7B4" w14:textId="77777777" w:rsidR="00AF686F" w:rsidRPr="00AF686F" w:rsidRDefault="00AF686F" w:rsidP="003843F1">
            <w:pPr>
              <w:spacing w:before="120" w:after="120"/>
              <w:jc w:val="both"/>
              <w:rPr>
                <w:u w:val="single"/>
              </w:rPr>
            </w:pPr>
            <w:r w:rsidRPr="00AF686F">
              <w:rPr>
                <w:u w:val="single"/>
              </w:rPr>
              <w:t>Eversource Energy</w:t>
            </w:r>
          </w:p>
          <w:p w14:paraId="4D00F5D7" w14:textId="3EC2D771" w:rsidR="007C5C90" w:rsidRDefault="00AF686F" w:rsidP="003843F1">
            <w:pPr>
              <w:spacing w:before="120" w:after="120"/>
              <w:jc w:val="both"/>
            </w:pPr>
            <w:r>
              <w:t xml:space="preserve">Mr. Soderman </w:t>
            </w:r>
            <w:r w:rsidR="001F050F">
              <w:t>explained that the lack of liquidity that exists within a number of natural gas markets can make it difficult to achieve price transparency but noted that there are a number of existing tools and technologies by which pipelines can make information available</w:t>
            </w:r>
            <w:r w:rsidR="007C5C90">
              <w:t xml:space="preserve"> to help achieve better transparency</w:t>
            </w:r>
            <w:r w:rsidR="001F050F">
              <w:t xml:space="preserve">, including </w:t>
            </w:r>
            <w:r w:rsidR="007C5C90">
              <w:t xml:space="preserve">scheduling data, actual flow, expected flow, and available capacity.  He indicated that a number of pipelines do make data available, but </w:t>
            </w:r>
            <w:r w:rsidR="00785645">
              <w:t>commented</w:t>
            </w:r>
            <w:r w:rsidR="007C5C90">
              <w:t xml:space="preserve"> that there are </w:t>
            </w:r>
            <w:r w:rsidR="00785645">
              <w:t>substantive</w:t>
            </w:r>
            <w:r w:rsidR="007C5C90">
              <w:t xml:space="preserve"> variances in how and where this information is posted and reported by pipelines.  Mr. Soderman suggested that there are opportunities, potentially through the NAESB and FERC processes, to streamline postings and better assimilate the data that is shared by pipelines across the country.  He acknowledged </w:t>
            </w:r>
            <w:r w:rsidR="005C5ED7">
              <w:t>that there are costs associated with deploying new tools and technologies and determining which parties will undertake these costs may be difficult.</w:t>
            </w:r>
          </w:p>
          <w:p w14:paraId="7AD5371D" w14:textId="317487BD" w:rsidR="001F050F" w:rsidRDefault="005C5ED7" w:rsidP="003843F1">
            <w:pPr>
              <w:spacing w:before="120" w:after="120"/>
              <w:jc w:val="both"/>
            </w:pPr>
            <w:r>
              <w:t xml:space="preserve">Mr. Wood asked how the issue of cost could be addressed.  Mr. Soderman responded that evaluations of the market may have the potential solutions.  He noted that within New England, there is a high price for electricity as compared to the rest of the country, which may indicate that there needs to be new infrastructure as well as short-term solutions such </w:t>
            </w:r>
            <w:r w:rsidR="006A7FA4">
              <w:lastRenderedPageBreak/>
              <w:t xml:space="preserve">as </w:t>
            </w:r>
            <w:r>
              <w:t>adjustments to the wholesale electric market structure, including new market strategies or mechanisms that promote fuel diversity and dual fuel generators.</w:t>
            </w:r>
          </w:p>
          <w:p w14:paraId="1BA243F2" w14:textId="30B612DE" w:rsidR="005C5ED7" w:rsidRPr="002E7122" w:rsidRDefault="002E7122" w:rsidP="00AF686F">
            <w:pPr>
              <w:spacing w:before="120" w:after="120"/>
              <w:jc w:val="both"/>
              <w:rPr>
                <w:u w:val="single"/>
              </w:rPr>
            </w:pPr>
            <w:r w:rsidRPr="002E7122">
              <w:rPr>
                <w:u w:val="single"/>
              </w:rPr>
              <w:t>Natural Gas Supply Association (NGSA)</w:t>
            </w:r>
          </w:p>
          <w:p w14:paraId="41F19051" w14:textId="5E881914" w:rsidR="001505E2" w:rsidRDefault="002E7122" w:rsidP="001505E2">
            <w:pPr>
              <w:spacing w:before="120" w:after="120"/>
              <w:jc w:val="both"/>
            </w:pPr>
            <w:r>
              <w:t>Ms. Jagtiani stated that</w:t>
            </w:r>
            <w:r w:rsidR="006A7FA4">
              <w:t>,</w:t>
            </w:r>
            <w:r>
              <w:t xml:space="preserve"> in the past, the natural gas industry has been able to accommodate the demand needs of electric generation without </w:t>
            </w:r>
            <w:r w:rsidR="00453FD1">
              <w:t>new</w:t>
            </w:r>
            <w:r>
              <w:t xml:space="preserve"> infrastructure but explained that the growing constraint on natural gas pipelines </w:t>
            </w:r>
            <w:r w:rsidR="001505E2">
              <w:t>limits</w:t>
            </w:r>
            <w:r>
              <w:t xml:space="preserve"> this ability.  She </w:t>
            </w:r>
            <w:r w:rsidR="001505E2">
              <w:t>indicated</w:t>
            </w:r>
            <w:r>
              <w:t xml:space="preserve"> that </w:t>
            </w:r>
            <w:r w:rsidR="001505E2">
              <w:t xml:space="preserve">while more efficiencies </w:t>
            </w:r>
            <w:r w:rsidR="00B75E82">
              <w:t>may be able to be realized out of the existing market</w:t>
            </w:r>
            <w:r w:rsidR="001505E2">
              <w:t xml:space="preserve">, </w:t>
            </w:r>
            <w:r>
              <w:t xml:space="preserve">meaningful </w:t>
            </w:r>
            <w:r w:rsidR="001505E2">
              <w:t xml:space="preserve">long-term </w:t>
            </w:r>
            <w:r>
              <w:t xml:space="preserve">solutions will </w:t>
            </w:r>
            <w:r w:rsidR="001505E2">
              <w:t xml:space="preserve">likely need to include changes to the power market design to ensure there are sufficient investments in additional infrastructure to meet reliability and flexibility needs of generators.  Ms. Jagtiani </w:t>
            </w:r>
            <w:r w:rsidR="00B75E82">
              <w:t>stated that this may include incentives for power customers to invest in their own needs through the creation of a suite of assets</w:t>
            </w:r>
            <w:r w:rsidR="001505E2">
              <w:t xml:space="preserve"> </w:t>
            </w:r>
            <w:r w:rsidR="00B75E82">
              <w:t>to help ensure reliability, such as obtaining contractual commitments with pipeline suppliers, dual fuel, and storage options.</w:t>
            </w:r>
          </w:p>
          <w:p w14:paraId="5FF7E91A" w14:textId="2636EFAE" w:rsidR="001505E2" w:rsidRDefault="00B75E82" w:rsidP="001505E2">
            <w:pPr>
              <w:spacing w:before="120" w:after="120"/>
              <w:jc w:val="both"/>
            </w:pPr>
            <w:r>
              <w:t>Mr. Gee asked if NGSA members see a continuing role for the natural gas industry in helping to ensure the continued reliability for the electric sector.  Ms. Jagtiani stated that NGSA and its members are willing to explore improvements that can be realized through natural gas market changes, such as increased information sharing, but explained that there is a finite amount of pipeline capacity available.  She noted</w:t>
            </w:r>
            <w:r w:rsidR="006A7FA4">
              <w:t>,</w:t>
            </w:r>
            <w:r>
              <w:t xml:space="preserve"> in the long-term, there will need to be investments in infrastructure by the electric industry and that, especially within organized markets, obtaining investments in new capacity may only be realized through changes to the power market design.</w:t>
            </w:r>
          </w:p>
          <w:p w14:paraId="573AFBED" w14:textId="245494C5" w:rsidR="00B75E82" w:rsidRDefault="00B75E82" w:rsidP="001505E2">
            <w:pPr>
              <w:spacing w:before="120" w:after="120"/>
              <w:jc w:val="both"/>
            </w:pPr>
            <w:r>
              <w:t xml:space="preserve">Mr. Gee asked if there </w:t>
            </w:r>
            <w:r w:rsidR="00A25DF3">
              <w:t>should be</w:t>
            </w:r>
            <w:r>
              <w:t xml:space="preserve"> additional transparency regarding intrastate pipelines.  Ms. Jagtiani stated that this is an area that </w:t>
            </w:r>
            <w:r w:rsidR="00453FD1">
              <w:t>could</w:t>
            </w:r>
            <w:r>
              <w:t xml:space="preserve"> be explored.</w:t>
            </w:r>
          </w:p>
          <w:p w14:paraId="48A7F18F" w14:textId="24400240" w:rsidR="00A25DF3" w:rsidRDefault="00A25DF3" w:rsidP="001505E2">
            <w:pPr>
              <w:spacing w:before="120" w:after="120"/>
              <w:jc w:val="both"/>
            </w:pPr>
            <w:r>
              <w:t xml:space="preserve">Mr. Wood noted that there have been recent estimates of a threefold increase in LNG exports from the U.S. over the coming decades.  He commented that it may be </w:t>
            </w:r>
            <w:r w:rsidR="006A7FA4">
              <w:t xml:space="preserve">beneficial </w:t>
            </w:r>
            <w:r>
              <w:t xml:space="preserve">to consider the market changes that will result from increased LNG exports and how these changes may impact access to natural gas for the electric industry.  Ms. Jagtiani responded that the increase in LNG exports will be a slow transition.  She </w:t>
            </w:r>
            <w:r w:rsidR="00453FD1">
              <w:t>explained</w:t>
            </w:r>
            <w:r>
              <w:t xml:space="preserve"> that while </w:t>
            </w:r>
            <w:r w:rsidR="00453FD1">
              <w:t>this transition</w:t>
            </w:r>
            <w:r>
              <w:t xml:space="preserve"> may lead to an eventual decreased use of natural gas capacity by LDCs, it will still be critical to have sufficient capacity in place to meet the needs of electric generation.</w:t>
            </w:r>
          </w:p>
          <w:p w14:paraId="53FE89B1" w14:textId="590767C0" w:rsidR="002E7122" w:rsidRPr="00453FD1" w:rsidRDefault="00A25DF3" w:rsidP="00AF686F">
            <w:pPr>
              <w:spacing w:before="120" w:after="120"/>
              <w:jc w:val="both"/>
              <w:rPr>
                <w:u w:val="single"/>
              </w:rPr>
            </w:pPr>
            <w:r w:rsidRPr="00453FD1">
              <w:rPr>
                <w:u w:val="single"/>
              </w:rPr>
              <w:t>Texas Pipeline Association</w:t>
            </w:r>
            <w:r w:rsidR="00453FD1">
              <w:rPr>
                <w:u w:val="single"/>
              </w:rPr>
              <w:t xml:space="preserve"> (TPA)</w:t>
            </w:r>
          </w:p>
          <w:p w14:paraId="524F9D13" w14:textId="0D495723" w:rsidR="00A25DF3" w:rsidRDefault="00A25DF3" w:rsidP="00AF686F">
            <w:pPr>
              <w:spacing w:before="120" w:after="120"/>
              <w:jc w:val="both"/>
            </w:pPr>
            <w:r>
              <w:t xml:space="preserve">Mr. Mann stated that within Texas, </w:t>
            </w:r>
            <w:r w:rsidR="009B4615">
              <w:t xml:space="preserve">there is an active intrastate natural gas market that is contract-based rather than regulation-based.  He indicated that reliance on just-in-time purchasing of natural gas, especially for electric generation, is not sufficient to support reliability, especially in times of extreme weather conditions.  Mr. Mann stated that reliable delivery of natural gas during extreme weather conditions is not an issue of available natural gas pipeline capacity but rather a matter of ensuring that a party has contracted for firm transportation of natural gas with a supplier that has the ability to deliver such natural gas.  He reiterated that Texas is a competitive, contract-based market for natural gas and expressed opposition to making available information regarding the contractual arrangements between parties.  Mr. Mann noted that issues related to natural gas and electric coordination have been addressed by the Texas Railroad Commission and </w:t>
            </w:r>
            <w:r w:rsidR="006A7FA4">
              <w:t>additional issues a</w:t>
            </w:r>
            <w:r w:rsidR="009B4615">
              <w:t>re expected to be undertaken during the upcoming session of the Texas Legislature.</w:t>
            </w:r>
          </w:p>
          <w:p w14:paraId="6FF28602" w14:textId="1CAB5E47" w:rsidR="009B4615" w:rsidRDefault="009B4615" w:rsidP="00AF686F">
            <w:pPr>
              <w:spacing w:before="120" w:after="120"/>
              <w:jc w:val="both"/>
            </w:pPr>
            <w:r>
              <w:lastRenderedPageBreak/>
              <w:t xml:space="preserve">Mr. Wood asked if, within Texas, there is </w:t>
            </w:r>
            <w:r w:rsidR="00453FD1">
              <w:t xml:space="preserve">existing </w:t>
            </w:r>
            <w:r>
              <w:t xml:space="preserve">infrastructure and storage facilities to enable any generator that chooses </w:t>
            </w:r>
            <w:r w:rsidR="00453FD1">
              <w:t xml:space="preserve">so </w:t>
            </w:r>
            <w:r>
              <w:t>to enter into long-term firm natural gas supply contracts.</w:t>
            </w:r>
            <w:r w:rsidR="00E01106">
              <w:t xml:space="preserve">  Mr. Mann indicated that there is sufficient infrastructure and storage but </w:t>
            </w:r>
            <w:r w:rsidR="00453FD1">
              <w:t xml:space="preserve">indicated </w:t>
            </w:r>
            <w:r w:rsidR="00E01106">
              <w:t>that as more customers enter into agreements for storage, more infrastructure will be built to accommodate demand.</w:t>
            </w:r>
          </w:p>
          <w:p w14:paraId="4BB32EA3" w14:textId="51A08BFE" w:rsidR="00E01106" w:rsidRDefault="00E01106" w:rsidP="00AF686F">
            <w:pPr>
              <w:spacing w:before="120" w:after="120"/>
              <w:jc w:val="both"/>
            </w:pPr>
            <w:r>
              <w:t>Mr. Gee noted that it may be beneficial to have a better understanding of the Texas regulatory structure</w:t>
            </w:r>
            <w:r w:rsidR="00453FD1">
              <w:t>, including input from the Texas Railroad Commission</w:t>
            </w:r>
            <w:r>
              <w:t xml:space="preserve">.  Mr. Mann indicated that although Texas is a competitive, contract-based market, the Texas Railroad Commission addresses complaints regarding discrimination.  He stated that Texas Railroad Commission has statutory authority to set cost-of-service rates but </w:t>
            </w:r>
            <w:r w:rsidR="006A7FA4">
              <w:t>explained</w:t>
            </w:r>
            <w:r>
              <w:t xml:space="preserve"> that many entities prefer to utilize contractual arrangements to determine their costs.</w:t>
            </w:r>
          </w:p>
          <w:p w14:paraId="3E6442A6" w14:textId="1E744D1C" w:rsidR="00E01106" w:rsidRPr="007E3CC5" w:rsidRDefault="00E01106" w:rsidP="00AF686F">
            <w:pPr>
              <w:spacing w:before="120" w:after="120"/>
              <w:jc w:val="both"/>
              <w:rPr>
                <w:u w:val="single"/>
              </w:rPr>
            </w:pPr>
            <w:r w:rsidRPr="007E3CC5">
              <w:rPr>
                <w:u w:val="single"/>
              </w:rPr>
              <w:t>Texas Competitive Power Advocates</w:t>
            </w:r>
          </w:p>
          <w:p w14:paraId="6EBEE145" w14:textId="1EA55BAF" w:rsidR="00E01106" w:rsidRDefault="00E01106" w:rsidP="00AF686F">
            <w:pPr>
              <w:spacing w:before="120" w:after="120"/>
              <w:jc w:val="both"/>
            </w:pPr>
            <w:r>
              <w:t>Mr. Sierer stated that</w:t>
            </w:r>
            <w:r w:rsidR="007E3CC5">
              <w:t xml:space="preserve"> competitive markets are reliant on</w:t>
            </w:r>
            <w:r>
              <w:t xml:space="preserve"> adequate competition and that transparency is the cornerstone of an efficient marketplace.  He suggested that intrastate markets would benefit from having the same levels of transparency as the interstate markets, noting that increased transparency will provide interstate pipeline customers and shippers with the ability to better negotiate contractual arrangements.</w:t>
            </w:r>
          </w:p>
          <w:p w14:paraId="31B72F9B" w14:textId="3E2A8472" w:rsidR="00AF686F" w:rsidRDefault="00AF686F" w:rsidP="00AF686F">
            <w:pPr>
              <w:spacing w:before="120" w:after="120"/>
              <w:jc w:val="both"/>
            </w:pPr>
            <w:r>
              <w:t xml:space="preserve">Mr. Booe stated that the participants would </w:t>
            </w:r>
            <w:r w:rsidR="00345E46">
              <w:t xml:space="preserve">next address Question </w:t>
            </w:r>
            <w:r w:rsidR="005C5ED7">
              <w:t>3</w:t>
            </w:r>
            <w:r w:rsidR="00345E46">
              <w:t>.</w:t>
            </w:r>
          </w:p>
          <w:p w14:paraId="79FB397B" w14:textId="202B8A26" w:rsidR="00345E46" w:rsidRPr="00345E46" w:rsidRDefault="00345E46" w:rsidP="00345E46">
            <w:pPr>
              <w:spacing w:before="120"/>
              <w:ind w:left="415" w:right="1010"/>
              <w:jc w:val="both"/>
              <w:rPr>
                <w:bCs/>
              </w:rPr>
            </w:pPr>
            <w:r>
              <w:rPr>
                <w:b/>
                <w:u w:val="single"/>
              </w:rPr>
              <w:t xml:space="preserve">Question </w:t>
            </w:r>
            <w:r w:rsidR="007E3CC5">
              <w:rPr>
                <w:b/>
                <w:u w:val="single"/>
              </w:rPr>
              <w:t>3:</w:t>
            </w:r>
            <w:r>
              <w:rPr>
                <w:bCs/>
              </w:rPr>
              <w:t xml:space="preserve"> </w:t>
            </w:r>
            <w:r w:rsidR="007E3CC5" w:rsidRPr="00186B04">
              <w:t>What changes could/should be made to the current forecasting processes to accommodate constrained capacity/unanticipated demand events that may occur?</w:t>
            </w:r>
          </w:p>
          <w:p w14:paraId="79E01947" w14:textId="77777777" w:rsidR="00324CB5" w:rsidRPr="008451A8" w:rsidRDefault="00324CB5" w:rsidP="00324CB5">
            <w:pPr>
              <w:spacing w:before="120" w:after="120"/>
              <w:jc w:val="both"/>
              <w:rPr>
                <w:u w:val="single"/>
              </w:rPr>
            </w:pPr>
            <w:r>
              <w:rPr>
                <w:u w:val="single"/>
              </w:rPr>
              <w:t>Interstate Natural Gas Association of America (INGAA)</w:t>
            </w:r>
          </w:p>
          <w:p w14:paraId="09096481" w14:textId="1BEE16D6" w:rsidR="007E3CC5" w:rsidRDefault="00324CB5" w:rsidP="00324CB5">
            <w:pPr>
              <w:spacing w:before="120" w:after="120"/>
              <w:jc w:val="both"/>
            </w:pPr>
            <w:r>
              <w:t>Mr. Smith stated</w:t>
            </w:r>
            <w:r w:rsidR="004D7F13">
              <w:t xml:space="preserve"> </w:t>
            </w:r>
            <w:r w:rsidR="002F6EB2">
              <w:t xml:space="preserve">that </w:t>
            </w:r>
            <w:r w:rsidR="007E3CC5">
              <w:t xml:space="preserve">INGAA is supportive of exploring new processes and reporting requirements or mechanisms for natural gas pipelines but indicated that costs to invest in such tools are ultimately passed onto the consumer and as such, it is important to ensure that these changes will help make capacity available and not just result in marginal improvements or identification of information that is already known.  He noted that the written comments provided by INGAA discuss the need to incentivize the procurement of firm transportation by natural gas-fired generators as well as how natural gas pipelines can tailor services </w:t>
            </w:r>
            <w:r w:rsidR="00667657">
              <w:t>to meet the needs of such generators.</w:t>
            </w:r>
          </w:p>
          <w:p w14:paraId="1EAD9F2E" w14:textId="77777777" w:rsidR="00667657" w:rsidRPr="001D57C6" w:rsidRDefault="00667657" w:rsidP="00667657">
            <w:pPr>
              <w:spacing w:before="120" w:after="120"/>
              <w:jc w:val="both"/>
              <w:rPr>
                <w:u w:val="single"/>
              </w:rPr>
            </w:pPr>
            <w:r>
              <w:rPr>
                <w:u w:val="single"/>
              </w:rPr>
              <w:t>PJM, MISO, SPP &amp; NYISO</w:t>
            </w:r>
          </w:p>
          <w:p w14:paraId="17EED055" w14:textId="19B7988D" w:rsidR="00667657" w:rsidRDefault="00667657" w:rsidP="00324CB5">
            <w:pPr>
              <w:spacing w:before="120" w:after="120"/>
              <w:jc w:val="both"/>
            </w:pPr>
            <w:r>
              <w:t>Mr. Phillips stated that a benefit could be realized from increased transparency in natural gas planning processes, including information on long-term reliability planning and contingency planning.  Mr. Gee commented that during the previous meeting, there was discussion regarding the need for coordinated planning by the electric and natural gas industries, particularly the ISOs/RTOs and interstate natural gas pipelines.  He asked how this coordination could be effectuated.  Mr. Phillips responded that this will probably vary by region as each ISO/RTO has its own processes.  He suggested that this may be an area in which greater dialogue with the natural gas sector and education regarding the planning processes would be helpful.</w:t>
            </w:r>
          </w:p>
          <w:p w14:paraId="2244C9D0" w14:textId="77777777" w:rsidR="00667657" w:rsidRDefault="00667657" w:rsidP="00667657">
            <w:pPr>
              <w:keepNext/>
              <w:keepLines/>
              <w:widowControl w:val="0"/>
              <w:spacing w:before="120" w:after="120"/>
              <w:jc w:val="both"/>
              <w:rPr>
                <w:u w:val="single"/>
              </w:rPr>
            </w:pPr>
            <w:r w:rsidRPr="008451A8">
              <w:rPr>
                <w:u w:val="single"/>
              </w:rPr>
              <w:lastRenderedPageBreak/>
              <w:t>Process Gas Consumers</w:t>
            </w:r>
            <w:r>
              <w:rPr>
                <w:u w:val="single"/>
              </w:rPr>
              <w:t xml:space="preserve"> and the </w:t>
            </w:r>
            <w:r w:rsidRPr="008451A8">
              <w:rPr>
                <w:u w:val="single"/>
              </w:rPr>
              <w:t>American Forest and Paper Association</w:t>
            </w:r>
          </w:p>
          <w:p w14:paraId="5A70C3A8" w14:textId="3879C9E6" w:rsidR="007E3CC5" w:rsidRDefault="00667657" w:rsidP="00324CB5">
            <w:pPr>
              <w:spacing w:before="120" w:after="120"/>
              <w:jc w:val="both"/>
            </w:pPr>
            <w:r>
              <w:t>Ms. Chambers expressed agreement with calls for better forecasting but stated that the most important need is for additional infrastructure.  She indicated that industrial customers undertake the costs associated with contracting for firm gas to ensure supply during times of peak demand and suggested that the wholesale electric market may need to be reformed to allow natural-gas fired generators to undertake these same costs.  Ms. Chambers stated that there would also be a benefit to increased coordination between the natural gas pipelines and ISOs/RTOs about the location of new generation</w:t>
            </w:r>
            <w:r w:rsidR="009337A8">
              <w:t xml:space="preserve"> to ensure such generation has access to needed fuel sources.</w:t>
            </w:r>
          </w:p>
          <w:p w14:paraId="79AAF94B" w14:textId="4BBC7D8C" w:rsidR="009337A8" w:rsidRPr="001D57C6" w:rsidRDefault="009337A8" w:rsidP="000A5B50">
            <w:pPr>
              <w:spacing w:before="120" w:after="120"/>
              <w:jc w:val="both"/>
              <w:rPr>
                <w:u w:val="single"/>
              </w:rPr>
            </w:pPr>
            <w:r>
              <w:rPr>
                <w:u w:val="single"/>
              </w:rPr>
              <w:t>SoCal Gas</w:t>
            </w:r>
          </w:p>
          <w:p w14:paraId="5DBAF300" w14:textId="32FE6E3A" w:rsidR="009337A8" w:rsidRDefault="000A5B50" w:rsidP="00324CB5">
            <w:pPr>
              <w:spacing w:before="120" w:after="120"/>
              <w:jc w:val="both"/>
            </w:pPr>
            <w:r>
              <w:t xml:space="preserve">Mr. </w:t>
            </w:r>
            <w:r w:rsidR="009337A8">
              <w:t xml:space="preserve">Peress stated that in its written comments, SoCal Gas provides recommendations that are derived from a recent report developed by WECC staff, The Year 2030 Extreme Weather Event Study Report, which evaluates the types of analysis that can be done to better project demand need and potential shortfalls during future extreme weather events.  He indicated that SoCal Gas would like to add the report to the record and noted that the recent report by the American Gas Foundation, Enhancing and Maintaining Gas and Energy System Resiliency, also contains analogous and consistent recommendations. </w:t>
            </w:r>
          </w:p>
          <w:p w14:paraId="65D781CE" w14:textId="2C0B60E0" w:rsidR="009337A8" w:rsidRDefault="009337A8" w:rsidP="00324CB5">
            <w:pPr>
              <w:spacing w:before="120" w:after="120"/>
              <w:jc w:val="both"/>
            </w:pPr>
            <w:r>
              <w:t xml:space="preserve">Mr. Booe commented that the report from the American Gas Foundation had already been added to the list of </w:t>
            </w:r>
            <w:hyperlink r:id="rId11" w:history="1">
              <w:r w:rsidRPr="00453FD1">
                <w:rPr>
                  <w:rStyle w:val="Hyperlink"/>
                </w:rPr>
                <w:t>NAESB GEH Forum Reference Materials</w:t>
              </w:r>
            </w:hyperlink>
            <w:r>
              <w:t xml:space="preserve"> and that the WECC report could be included as well. </w:t>
            </w:r>
          </w:p>
          <w:p w14:paraId="5B2927DD" w14:textId="34E0458C" w:rsidR="008F1ED9" w:rsidRDefault="009337A8" w:rsidP="003E3BCD">
            <w:pPr>
              <w:keepNext/>
              <w:keepLines/>
              <w:widowControl w:val="0"/>
              <w:spacing w:before="120" w:after="120"/>
              <w:jc w:val="both"/>
              <w:rPr>
                <w:u w:val="single"/>
              </w:rPr>
            </w:pPr>
            <w:r>
              <w:rPr>
                <w:u w:val="single"/>
              </w:rPr>
              <w:t>American Gas Association</w:t>
            </w:r>
          </w:p>
          <w:p w14:paraId="0A1CA1CE" w14:textId="5D48F718" w:rsidR="009337A8" w:rsidRDefault="008F1ED9" w:rsidP="003E3BCD">
            <w:pPr>
              <w:keepNext/>
              <w:keepLines/>
              <w:widowControl w:val="0"/>
              <w:spacing w:before="120" w:after="120"/>
              <w:jc w:val="both"/>
            </w:pPr>
            <w:r>
              <w:t xml:space="preserve">Ms. </w:t>
            </w:r>
            <w:r w:rsidR="009337A8">
              <w:t xml:space="preserve">Agen </w:t>
            </w:r>
            <w:r w:rsidR="001B3A43">
              <w:t>reviewed</w:t>
            </w:r>
            <w:r w:rsidR="009337A8">
              <w:t xml:space="preserve"> the American Gas Foundation report, indicating that the report discusses investments and infrastructure improvements that will be necessary to support not just gas but also electric resiliency.  He stated that the report identifies tools such as adjustments by regulators to the framework for natural gas utilities to make needed upgrades and legislation or federal directives that could establish baseline resiliency requirements for jurisdictional entities, as well as recommends improving the interdependency and coordination </w:t>
            </w:r>
            <w:r w:rsidR="00622ECB">
              <w:t xml:space="preserve">of the natural gas and electric industries.  Mr. Agen explained that these changes can help LDCs continue to serve </w:t>
            </w:r>
            <w:r w:rsidR="00453FD1">
              <w:t xml:space="preserve">their </w:t>
            </w:r>
            <w:r w:rsidR="00622ECB">
              <w:t>customers as well as improve planning processes for the electric sector.  He indicated that AGA is in the process of creating an informational video about the report.</w:t>
            </w:r>
          </w:p>
          <w:p w14:paraId="42ABC1FC" w14:textId="24F3D4F3" w:rsidR="00622ECB" w:rsidRDefault="00622ECB" w:rsidP="003E3BCD">
            <w:pPr>
              <w:keepNext/>
              <w:keepLines/>
              <w:widowControl w:val="0"/>
              <w:spacing w:before="120" w:after="120"/>
              <w:jc w:val="both"/>
            </w:pPr>
            <w:r>
              <w:t>Mr. Booe noted that a comment in the zoom chat indicated that the American Gas Foundation will be holding a webinar on its report on December 15, 2022.</w:t>
            </w:r>
          </w:p>
          <w:p w14:paraId="17AD4483" w14:textId="3958F21F" w:rsidR="00D1193C" w:rsidRPr="00D1193C" w:rsidRDefault="00622ECB" w:rsidP="00324CB5">
            <w:pPr>
              <w:spacing w:before="120" w:after="120"/>
              <w:jc w:val="both"/>
              <w:rPr>
                <w:u w:val="single"/>
              </w:rPr>
            </w:pPr>
            <w:r>
              <w:rPr>
                <w:u w:val="single"/>
              </w:rPr>
              <w:t>Big Data Energy</w:t>
            </w:r>
          </w:p>
          <w:p w14:paraId="695DA84E" w14:textId="6B54E9E0" w:rsidR="00D1193C" w:rsidRDefault="00622ECB" w:rsidP="00324CB5">
            <w:pPr>
              <w:spacing w:before="120" w:after="120"/>
              <w:jc w:val="both"/>
            </w:pPr>
            <w:r>
              <w:t>Mr. Danner stated GEH Forum discussions have identified a number of ideas with merit and suggested there may be a benefit in the development of a simulation that can model one or more of these ideas</w:t>
            </w:r>
            <w:r w:rsidR="003A4342">
              <w:t xml:space="preserve">.  He indicated that the outcomes from the simulation could then be used to help inform policy decisions, noting that a similar undertaking was recently made regarding the expansion of the Houston Ship Channel.  Mr. Gee asked how such a simulation may be </w:t>
            </w:r>
            <w:r w:rsidR="00004833">
              <w:t>carried out</w:t>
            </w:r>
            <w:r w:rsidR="003A4342">
              <w:t xml:space="preserve">.  Mr. Danner responded </w:t>
            </w:r>
            <w:r w:rsidR="00004833">
              <w:t>any</w:t>
            </w:r>
            <w:r w:rsidR="003A4342">
              <w:t xml:space="preserve"> simulation would involve stakeholder participation and start with modeling a replica of a small portion of the grid that could then be expand upon.  Mr. Gee asked how such a tool could be funded.  Mr. Danner suggested that FERC may be the logical funding source as the simulation outcomes would be used to shape policy and market design decisions.</w:t>
            </w:r>
          </w:p>
          <w:p w14:paraId="42FB850B" w14:textId="77777777" w:rsidR="003A4342" w:rsidRPr="002E7122" w:rsidRDefault="003A4342" w:rsidP="00453FD1">
            <w:pPr>
              <w:keepNext/>
              <w:keepLines/>
              <w:widowControl w:val="0"/>
              <w:spacing w:before="120" w:after="120"/>
              <w:jc w:val="both"/>
              <w:rPr>
                <w:u w:val="single"/>
              </w:rPr>
            </w:pPr>
            <w:r w:rsidRPr="002E7122">
              <w:rPr>
                <w:u w:val="single"/>
              </w:rPr>
              <w:t>Natural Gas Supply Association (NGSA)</w:t>
            </w:r>
          </w:p>
          <w:p w14:paraId="1A40CCBF" w14:textId="0E787730" w:rsidR="003A4342" w:rsidRDefault="003A4342" w:rsidP="00453FD1">
            <w:pPr>
              <w:keepNext/>
              <w:keepLines/>
              <w:widowControl w:val="0"/>
              <w:spacing w:before="120" w:after="120"/>
              <w:jc w:val="both"/>
            </w:pPr>
            <w:r>
              <w:lastRenderedPageBreak/>
              <w:t xml:space="preserve">Ms. Jagtiani stated that NGSA has been working with a diverse group of market representatives to explore the potential for a study to evaluate if there are adequate generator resources in place to accommodate the increased use of variable resources as well as if there is sufficient fuel supplies to support </w:t>
            </w:r>
            <w:r w:rsidR="00030FC1">
              <w:t>those generator resources.  She indicated that it may be helpful if such a study was conducted under the purview of the U.S. Department of Energy, NERC, or one of the national laboratories.</w:t>
            </w:r>
          </w:p>
          <w:p w14:paraId="567ACD46" w14:textId="7D5181BB" w:rsidR="00030FC1" w:rsidRDefault="00030FC1" w:rsidP="00030FC1">
            <w:pPr>
              <w:spacing w:before="120" w:after="120"/>
              <w:jc w:val="both"/>
            </w:pPr>
            <w:r>
              <w:t>Mr. Booe stated that the participants would next address Question 4.</w:t>
            </w:r>
          </w:p>
          <w:p w14:paraId="4021CC5F" w14:textId="063995A4" w:rsidR="00030FC1" w:rsidRPr="00345E46" w:rsidRDefault="00030FC1" w:rsidP="00030FC1">
            <w:pPr>
              <w:spacing w:before="120"/>
              <w:ind w:left="415" w:right="1010"/>
              <w:jc w:val="both"/>
              <w:rPr>
                <w:bCs/>
              </w:rPr>
            </w:pPr>
            <w:r>
              <w:rPr>
                <w:b/>
                <w:u w:val="single"/>
              </w:rPr>
              <w:t>Question 4:</w:t>
            </w:r>
            <w:r>
              <w:rPr>
                <w:bCs/>
              </w:rPr>
              <w:t xml:space="preserve"> </w:t>
            </w:r>
            <w:r w:rsidRPr="003456E2">
              <w:t>Recognizing that there are costs associated with providing increased reliability of the natural gas infrastructure system, how could/should those costs be addressed?</w:t>
            </w:r>
          </w:p>
          <w:p w14:paraId="117336B8" w14:textId="77777777" w:rsidR="00030FC1" w:rsidRPr="008451A8" w:rsidRDefault="00030FC1" w:rsidP="00030FC1">
            <w:pPr>
              <w:spacing w:before="120" w:after="120"/>
              <w:jc w:val="both"/>
              <w:rPr>
                <w:u w:val="single"/>
              </w:rPr>
            </w:pPr>
            <w:r>
              <w:rPr>
                <w:u w:val="single"/>
              </w:rPr>
              <w:t>Interstate Natural Gas Association of America (INGAA)</w:t>
            </w:r>
          </w:p>
          <w:p w14:paraId="64913887" w14:textId="77777777" w:rsidR="005A0FD5" w:rsidRDefault="00030FC1" w:rsidP="00324CB5">
            <w:pPr>
              <w:spacing w:before="120" w:after="120"/>
              <w:jc w:val="both"/>
            </w:pPr>
            <w:r>
              <w:t>Mr. Smith stated that, as efforts by interstate natural gas pipelines to increase capacity and access to natural gas would be done to be of benefit to the electric sector, the associated costs should be borne by the electric sector.  He reiterated that in determining approvals of new natural gas infrastructure, the FERC evaluates the existence of precedent agreements.   Mr. Smith explained that, as discussed during the GEH Forum meetings, there has been hesitancy for natural-gas fired generators to enter into long-term agreements for obtaining firm natural gas service.  He indicated that there need to be better mechanisms in place to incentivize market participants to enter into such agreements.</w:t>
            </w:r>
          </w:p>
          <w:p w14:paraId="05C1EB20" w14:textId="77777777" w:rsidR="00030FC1" w:rsidRDefault="00030FC1" w:rsidP="00324CB5">
            <w:pPr>
              <w:spacing w:before="120" w:after="120"/>
              <w:jc w:val="both"/>
            </w:pPr>
            <w:r>
              <w:t>Mr. Desselle, noting time constraints, asked if there were any other participants that submitted written comments regarding this question that would like to speak.  There were no additional participants that asked to speak.</w:t>
            </w:r>
          </w:p>
          <w:p w14:paraId="2B23EC5A" w14:textId="48B93E4F" w:rsidR="00030FC1" w:rsidRDefault="00030FC1" w:rsidP="00324CB5">
            <w:pPr>
              <w:spacing w:before="120" w:after="120"/>
              <w:jc w:val="both"/>
            </w:pPr>
            <w:r>
              <w:t>Mr. Booe asked if there were any participants submitting written comments that would like to speak to Question 5:</w:t>
            </w:r>
          </w:p>
          <w:p w14:paraId="059832F2" w14:textId="42F2354B" w:rsidR="00030FC1" w:rsidRPr="00030FC1" w:rsidRDefault="00030FC1" w:rsidP="00030FC1">
            <w:pPr>
              <w:spacing w:before="120"/>
              <w:ind w:left="415" w:right="1010"/>
              <w:jc w:val="both"/>
              <w:rPr>
                <w:bCs/>
              </w:rPr>
            </w:pPr>
            <w:r>
              <w:rPr>
                <w:b/>
                <w:u w:val="single"/>
              </w:rPr>
              <w:t>Question 5:</w:t>
            </w:r>
            <w:r>
              <w:rPr>
                <w:bCs/>
              </w:rPr>
              <w:t xml:space="preserve"> </w:t>
            </w:r>
            <w:r>
              <w:t>Are there contractual terms or policies that present a barrier to responses in situations of constrained capacity/unanticipated demand?</w:t>
            </w:r>
          </w:p>
          <w:p w14:paraId="0BBEC92D" w14:textId="77777777" w:rsidR="00030FC1" w:rsidRDefault="00030FC1" w:rsidP="00324CB5">
            <w:pPr>
              <w:spacing w:before="120" w:after="120"/>
              <w:jc w:val="both"/>
            </w:pPr>
            <w:r>
              <w:t>There were no participants that volunteered to provide additional comments.</w:t>
            </w:r>
          </w:p>
          <w:p w14:paraId="31386CDC" w14:textId="5BF33F40" w:rsidR="00030FC1" w:rsidRDefault="00030FC1" w:rsidP="00030FC1">
            <w:pPr>
              <w:spacing w:before="120" w:after="120"/>
              <w:jc w:val="both"/>
            </w:pPr>
            <w:r>
              <w:t>Mr. Booe asked if there were any participants submitting written comments that would like to speak to Question 6:</w:t>
            </w:r>
          </w:p>
          <w:p w14:paraId="1450D06C" w14:textId="12AA6B02" w:rsidR="00030FC1" w:rsidRPr="00345E46" w:rsidRDefault="00030FC1" w:rsidP="00030FC1">
            <w:pPr>
              <w:spacing w:before="120"/>
              <w:ind w:left="415" w:right="1010"/>
              <w:jc w:val="both"/>
              <w:rPr>
                <w:bCs/>
              </w:rPr>
            </w:pPr>
            <w:r>
              <w:rPr>
                <w:b/>
                <w:u w:val="single"/>
              </w:rPr>
              <w:t>Question 6:</w:t>
            </w:r>
            <w:r>
              <w:rPr>
                <w:bCs/>
              </w:rPr>
              <w:t xml:space="preserve"> </w:t>
            </w:r>
            <w:r w:rsidR="00742CA2" w:rsidRPr="0091554F">
              <w:t>Ideally, what modifications to the existing processes for nominating firm service on interstate/intrastate pipelines would be the most beneficial in preparation for and during events when demand for natural gas is rising sharply and leading to constraints/unanticipated demand (i.e. operations on holidays/weekends, operations outside of the day ahead market)?</w:t>
            </w:r>
          </w:p>
          <w:p w14:paraId="33F4EA16" w14:textId="5CB4FF86" w:rsidR="00030FC1" w:rsidRPr="008451A8" w:rsidRDefault="00030FC1" w:rsidP="00030FC1">
            <w:pPr>
              <w:spacing w:before="120" w:after="120"/>
              <w:jc w:val="both"/>
            </w:pPr>
            <w:r>
              <w:t>There were no participants that volunteered to provide additional comments.</w:t>
            </w:r>
          </w:p>
        </w:tc>
      </w:tr>
      <w:tr w:rsidR="00772999" w14:paraId="612FEDEA" w14:textId="77777777" w:rsidTr="003C4EB7">
        <w:tc>
          <w:tcPr>
            <w:tcW w:w="2430" w:type="dxa"/>
          </w:tcPr>
          <w:p w14:paraId="0F61AB7C" w14:textId="7F24F6F3" w:rsidR="00575FE4" w:rsidRDefault="003C4EB7" w:rsidP="00DC2A77">
            <w:pPr>
              <w:spacing w:before="120" w:after="60"/>
              <w:outlineLvl w:val="2"/>
              <w:rPr>
                <w:b/>
              </w:rPr>
            </w:pPr>
            <w:r>
              <w:rPr>
                <w:b/>
              </w:rPr>
              <w:lastRenderedPageBreak/>
              <w:t>Next Steps and Other Business</w:t>
            </w:r>
          </w:p>
        </w:tc>
        <w:tc>
          <w:tcPr>
            <w:tcW w:w="7488" w:type="dxa"/>
          </w:tcPr>
          <w:p w14:paraId="6B1170CA" w14:textId="6AFA005C" w:rsidR="00742CA2" w:rsidRDefault="00742CA2" w:rsidP="00A54037">
            <w:pPr>
              <w:spacing w:before="120" w:after="120"/>
              <w:jc w:val="both"/>
            </w:pPr>
            <w:r>
              <w:t>Mr. Booe commented that the NAESB GEH Forum may have had sufficient discussions and reached a point that the participants can begin moving to an analysis phase to identify recommended solutions that are responsive to the areas identified by FERC and NERC staff.  He asked if there were any closing remarks from the panelists.</w:t>
            </w:r>
          </w:p>
          <w:p w14:paraId="200FDDCA" w14:textId="1CA55DFA" w:rsidR="00742CA2" w:rsidRDefault="00742CA2" w:rsidP="00A54037">
            <w:pPr>
              <w:spacing w:before="120" w:after="120"/>
              <w:jc w:val="both"/>
            </w:pPr>
            <w:r>
              <w:lastRenderedPageBreak/>
              <w:t>Mr. Gee stated that in developing recommendations, the NAESB GEH Forum needs to identify solutions that will address both long-term and short-term issues, reminding the participants that new infrastructure to increase capacity is not an immediate fix.</w:t>
            </w:r>
          </w:p>
          <w:p w14:paraId="0C0D16A5" w14:textId="4E69CFD9" w:rsidR="00742CA2" w:rsidRDefault="00742CA2" w:rsidP="00A54037">
            <w:pPr>
              <w:spacing w:before="120" w:after="120"/>
              <w:jc w:val="both"/>
            </w:pPr>
            <w:r>
              <w:t>Mr. Huff indicated that offers made by participants to provide additional education or background regarding their market sector will be helpful in exploring workable solutions.  He commented that the NAESB GEH Forum meetings have produced valuable discussion and spoke to the benefit of detailed information.</w:t>
            </w:r>
          </w:p>
          <w:p w14:paraId="51E28852" w14:textId="6D6E150B" w:rsidR="00742CA2" w:rsidRDefault="00742CA2" w:rsidP="00A54037">
            <w:pPr>
              <w:spacing w:before="120" w:after="120"/>
              <w:jc w:val="both"/>
            </w:pPr>
            <w:r>
              <w:t>Mr. Desselle reminded the participants that the charge of the NAESB GEH Forum is to develop solutions to support better natural gas and electric market coordination, which includes interim solutions that support the markets during extreme weather events.</w:t>
            </w:r>
          </w:p>
          <w:p w14:paraId="30FC7C0E" w14:textId="138FE94C" w:rsidR="00A54037" w:rsidRPr="00772999" w:rsidRDefault="00742CA2" w:rsidP="00A54037">
            <w:pPr>
              <w:spacing w:before="120" w:after="120"/>
              <w:jc w:val="both"/>
            </w:pPr>
            <w:r>
              <w:t>Mr. Booe stated that NAESB staff is working with the forum leadership to develop an agenda for the next meeting, including the determination of any survey questions that may be needed.</w:t>
            </w:r>
            <w:r w:rsidR="00785645">
              <w:t xml:space="preserve">  He indicated that next year, forum discussions will likely shift from an exploratory phase to the development of recommendations that can be provided to FERC and NERC.</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lastRenderedPageBreak/>
              <w:t>Adjourn:</w:t>
            </w:r>
          </w:p>
        </w:tc>
        <w:tc>
          <w:tcPr>
            <w:tcW w:w="7488" w:type="dxa"/>
          </w:tcPr>
          <w:p w14:paraId="5569AEA7" w14:textId="577E6AEB" w:rsidR="004667C2" w:rsidRDefault="004667C2" w:rsidP="00C67A5F">
            <w:pPr>
              <w:tabs>
                <w:tab w:val="left" w:pos="360"/>
              </w:tabs>
              <w:spacing w:before="120" w:after="120"/>
            </w:pPr>
            <w:r>
              <w:t>The meeting was adjourned at</w:t>
            </w:r>
            <w:r w:rsidR="00D83C07">
              <w:t xml:space="preserve"> </w:t>
            </w:r>
            <w:r w:rsidR="00742CA2">
              <w:t>3:28 PM</w:t>
            </w:r>
            <w:r w:rsidR="000A2BB9">
              <w:t xml:space="preserve">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15E17F7E" w:rsidR="00324F5F" w:rsidRPr="00785645" w:rsidRDefault="004667C2"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Announcement</w:t>
            </w:r>
            <w:r w:rsidR="009871F9" w:rsidRPr="00785645">
              <w:rPr>
                <w:rFonts w:ascii="Times New Roman" w:hAnsi="Times New Roman" w:cs="Times New Roman"/>
                <w:color w:val="000000"/>
                <w:sz w:val="20"/>
                <w:szCs w:val="20"/>
              </w:rPr>
              <w:t xml:space="preserve">: </w:t>
            </w:r>
            <w:hyperlink r:id="rId12" w:history="1">
              <w:r w:rsidR="00785645" w:rsidRPr="00785645">
                <w:rPr>
                  <w:rStyle w:val="Hyperlink"/>
                  <w:rFonts w:ascii="Times New Roman" w:hAnsi="Times New Roman"/>
                  <w:sz w:val="20"/>
                  <w:szCs w:val="20"/>
                </w:rPr>
                <w:t>https://naesb.org/pdf4/geh120522a.docx</w:t>
              </w:r>
            </w:hyperlink>
            <w:r w:rsidR="00785645" w:rsidRPr="00785645">
              <w:rPr>
                <w:rFonts w:ascii="Times New Roman" w:hAnsi="Times New Roman" w:cs="Times New Roman"/>
                <w:sz w:val="20"/>
                <w:szCs w:val="20"/>
              </w:rPr>
              <w:t xml:space="preserve"> </w:t>
            </w:r>
          </w:p>
          <w:p w14:paraId="3517F564" w14:textId="6F82BCD8" w:rsidR="009871F9" w:rsidRPr="00785645" w:rsidRDefault="009871F9"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 xml:space="preserve">Agenda: </w:t>
            </w:r>
            <w:hyperlink r:id="rId13" w:history="1">
              <w:r w:rsidR="00785645" w:rsidRPr="00785645">
                <w:rPr>
                  <w:rStyle w:val="Hyperlink"/>
                  <w:rFonts w:ascii="Times New Roman" w:hAnsi="Times New Roman"/>
                  <w:sz w:val="20"/>
                  <w:szCs w:val="20"/>
                </w:rPr>
                <w:t>https://naesb.org/pdf4/geh120522ra.docx</w:t>
              </w:r>
            </w:hyperlink>
            <w:r w:rsidR="00785645" w:rsidRPr="00785645">
              <w:rPr>
                <w:rFonts w:ascii="Times New Roman" w:hAnsi="Times New Roman" w:cs="Times New Roman"/>
                <w:sz w:val="20"/>
                <w:szCs w:val="20"/>
              </w:rPr>
              <w:t xml:space="preserve"> </w:t>
            </w:r>
          </w:p>
          <w:p w14:paraId="54219BE3" w14:textId="77777777" w:rsidR="00503991" w:rsidRPr="00785645"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785645">
              <w:rPr>
                <w:rFonts w:ascii="Times New Roman" w:hAnsi="Times New Roman" w:cs="Times New Roman"/>
                <w:color w:val="000000"/>
                <w:sz w:val="20"/>
                <w:szCs w:val="20"/>
              </w:rPr>
              <w:t xml:space="preserve">Antitrust Guidance and Other Meeting Policies:  </w:t>
            </w:r>
            <w:hyperlink r:id="rId14" w:history="1">
              <w:r w:rsidRPr="00785645">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20B0CAA1" w14:textId="38812CC5" w:rsidR="003C4EB7" w:rsidRDefault="003C4EB7" w:rsidP="00A54037">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GE Forum Survey Responses – </w:t>
            </w:r>
            <w:r w:rsidR="00A54037">
              <w:rPr>
                <w:rFonts w:ascii="Times New Roman" w:hAnsi="Times New Roman" w:cs="Times New Roman"/>
                <w:color w:val="000000"/>
                <w:sz w:val="20"/>
                <w:szCs w:val="20"/>
              </w:rPr>
              <w:t>November 1</w:t>
            </w:r>
            <w:r>
              <w:rPr>
                <w:rFonts w:ascii="Times New Roman" w:hAnsi="Times New Roman" w:cs="Times New Roman"/>
                <w:color w:val="000000"/>
                <w:sz w:val="20"/>
                <w:szCs w:val="20"/>
              </w:rPr>
              <w:t xml:space="preserve">, 2022: </w:t>
            </w:r>
            <w:hyperlink r:id="rId15" w:history="1">
              <w:r w:rsidR="00785645" w:rsidRPr="0022710F">
                <w:rPr>
                  <w:rStyle w:val="Hyperlink"/>
                  <w:rFonts w:ascii="Times New Roman" w:hAnsi="Times New Roman"/>
                  <w:sz w:val="20"/>
                  <w:szCs w:val="20"/>
                </w:rPr>
                <w:t>https://naesb.org/pdf4/geh120522w1.docx</w:t>
              </w:r>
            </w:hyperlink>
            <w:r w:rsidR="00785645">
              <w:rPr>
                <w:rFonts w:ascii="Times New Roman" w:hAnsi="Times New Roman" w:cs="Times New Roman"/>
                <w:color w:val="000000"/>
                <w:sz w:val="20"/>
                <w:szCs w:val="20"/>
              </w:rPr>
              <w:t xml:space="preserve"> </w:t>
            </w:r>
          </w:p>
          <w:p w14:paraId="77C980EF" w14:textId="73CFB6AF" w:rsidR="00785645" w:rsidRDefault="00785645" w:rsidP="00A54037">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Supplemental Comments Submitted by TCPA: </w:t>
            </w:r>
            <w:hyperlink r:id="rId16" w:history="1">
              <w:r w:rsidRPr="0022710F">
                <w:rPr>
                  <w:rStyle w:val="Hyperlink"/>
                  <w:rFonts w:ascii="Times New Roman" w:hAnsi="Times New Roman"/>
                  <w:sz w:val="20"/>
                  <w:szCs w:val="20"/>
                </w:rPr>
                <w:t>https://naesb.org/pdf4/geh120522w2.docx</w:t>
              </w:r>
            </w:hyperlink>
            <w:r>
              <w:rPr>
                <w:rFonts w:ascii="Times New Roman" w:hAnsi="Times New Roman" w:cs="Times New Roman"/>
                <w:color w:val="000000"/>
                <w:sz w:val="20"/>
                <w:szCs w:val="20"/>
              </w:rPr>
              <w:t xml:space="preserve"> </w:t>
            </w:r>
          </w:p>
          <w:p w14:paraId="4C83A067" w14:textId="73467336" w:rsidR="00785645" w:rsidRDefault="00785645" w:rsidP="00A54037">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Supplemental Comments Submitted by NGSA: </w:t>
            </w:r>
            <w:hyperlink r:id="rId17" w:history="1">
              <w:r w:rsidRPr="0022710F">
                <w:rPr>
                  <w:rStyle w:val="Hyperlink"/>
                  <w:rFonts w:ascii="Times New Roman" w:hAnsi="Times New Roman"/>
                  <w:sz w:val="20"/>
                  <w:szCs w:val="20"/>
                </w:rPr>
                <w:t>https://naesb.org/pdf4/geh120522w3.docx</w:t>
              </w:r>
            </w:hyperlink>
            <w:r>
              <w:rPr>
                <w:rFonts w:ascii="Times New Roman" w:hAnsi="Times New Roman" w:cs="Times New Roman"/>
                <w:color w:val="000000"/>
                <w:sz w:val="20"/>
                <w:szCs w:val="20"/>
              </w:rPr>
              <w:t xml:space="preserve"> </w:t>
            </w:r>
          </w:p>
          <w:p w14:paraId="51ADEA58" w14:textId="6397DE57" w:rsidR="00785645" w:rsidRDefault="00785645" w:rsidP="00A54037">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Supplemental Comments Submitted by AGA: </w:t>
            </w:r>
            <w:hyperlink r:id="rId18" w:history="1">
              <w:r w:rsidRPr="0022710F">
                <w:rPr>
                  <w:rStyle w:val="Hyperlink"/>
                  <w:rFonts w:ascii="Times New Roman" w:hAnsi="Times New Roman"/>
                  <w:sz w:val="20"/>
                  <w:szCs w:val="20"/>
                </w:rPr>
                <w:t>https://naesb.org/pdf4/geh120522w4.pdf</w:t>
              </w:r>
            </w:hyperlink>
            <w:r>
              <w:rPr>
                <w:rFonts w:ascii="Times New Roman" w:hAnsi="Times New Roman" w:cs="Times New Roman"/>
                <w:color w:val="000000"/>
                <w:sz w:val="20"/>
                <w:szCs w:val="20"/>
              </w:rPr>
              <w:t xml:space="preserve"> </w:t>
            </w:r>
          </w:p>
          <w:p w14:paraId="1E1AF9D1" w14:textId="692D76E1" w:rsidR="00785645" w:rsidRPr="00A54037" w:rsidRDefault="00785645" w:rsidP="00A54037">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 xml:space="preserve">Supplemental Comments Submitted by TPA: </w:t>
            </w:r>
            <w:hyperlink r:id="rId19" w:history="1">
              <w:r w:rsidRPr="0022710F">
                <w:rPr>
                  <w:rStyle w:val="Hyperlink"/>
                  <w:rFonts w:ascii="Times New Roman" w:hAnsi="Times New Roman"/>
                  <w:sz w:val="20"/>
                  <w:szCs w:val="20"/>
                </w:rPr>
                <w:t>https://naesb.org/pdf4/geh120522w6.docx</w:t>
              </w:r>
            </w:hyperlink>
            <w:r>
              <w:rPr>
                <w:rFonts w:ascii="Times New Roman" w:hAnsi="Times New Roman" w:cs="Times New Roman"/>
                <w:color w:val="000000"/>
                <w:sz w:val="20"/>
                <w:szCs w:val="2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10EE5139" w:rsidR="000858F5" w:rsidRPr="001776AF" w:rsidRDefault="000858F5" w:rsidP="00C220B1">
            <w:pPr>
              <w:spacing w:before="120" w:after="60"/>
              <w:rPr>
                <w:b/>
              </w:rPr>
            </w:pPr>
            <w:r w:rsidRPr="002C5BEF">
              <w:rPr>
                <w:bCs/>
              </w:rPr>
              <w:t>Please see the posted participant attendance record:</w:t>
            </w:r>
            <w:r>
              <w:rPr>
                <w:b/>
              </w:rPr>
              <w:t xml:space="preserve"> </w:t>
            </w:r>
            <w:hyperlink r:id="rId20" w:history="1">
              <w:r w:rsidR="00EE453A" w:rsidRPr="00EE453A">
                <w:rPr>
                  <w:rStyle w:val="Hyperlink"/>
                  <w:bCs/>
                </w:rPr>
                <w:t>https://naesb.org/pdf4/geh120522a2.docx</w:t>
              </w:r>
            </w:hyperlink>
            <w:r w:rsidR="00EE453A">
              <w:rPr>
                <w:b/>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21"/>
      <w:footerReference w:type="default" r:id="rId22"/>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C38C6" w14:textId="77777777" w:rsidR="00EE190B" w:rsidRDefault="00EE190B">
      <w:r>
        <w:separator/>
      </w:r>
    </w:p>
  </w:endnote>
  <w:endnote w:type="continuationSeparator" w:id="0">
    <w:p w14:paraId="3F6E99F9" w14:textId="77777777" w:rsidR="00EE190B" w:rsidRDefault="00EE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A0564" w14:textId="091F0B68" w:rsidR="00680D5B" w:rsidRDefault="00680D5B">
    <w:pPr>
      <w:pStyle w:val="Footer"/>
      <w:pBdr>
        <w:top w:val="single" w:sz="18" w:space="1" w:color="auto"/>
      </w:pBdr>
      <w:jc w:val="right"/>
    </w:pPr>
    <w:r>
      <w:t xml:space="preserve">NAESB Gas-Electric Harmonization Forum Staff Notes – </w:t>
    </w:r>
    <w:r w:rsidR="00004833">
      <w:t>December 5</w:t>
    </w:r>
    <w:r w:rsidR="00C07B90">
      <w:t>, 2022</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1D78C" w14:textId="77777777" w:rsidR="00EE190B" w:rsidRDefault="00EE190B">
      <w:r>
        <w:separator/>
      </w:r>
    </w:p>
  </w:footnote>
  <w:footnote w:type="continuationSeparator" w:id="0">
    <w:p w14:paraId="1867F764" w14:textId="77777777" w:rsidR="00EE190B" w:rsidRDefault="00EE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r>
      <w:rPr>
        <w:lang w:val="fr-FR"/>
      </w:rPr>
      <w:t>Phone: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0"/>
  </w:num>
  <w:num w:numId="5">
    <w:abstractNumId w:val="9"/>
  </w:num>
  <w:num w:numId="6">
    <w:abstractNumId w:val="3"/>
  </w:num>
  <w:num w:numId="7">
    <w:abstractNumId w:val="6"/>
  </w:num>
  <w:num w:numId="8">
    <w:abstractNumId w:val="1"/>
  </w:num>
  <w:num w:numId="9">
    <w:abstractNumId w:val="3"/>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11FA5"/>
    <w:rsid w:val="00012167"/>
    <w:rsid w:val="00013647"/>
    <w:rsid w:val="000145AA"/>
    <w:rsid w:val="00014FC5"/>
    <w:rsid w:val="00015484"/>
    <w:rsid w:val="00017B56"/>
    <w:rsid w:val="00017E73"/>
    <w:rsid w:val="0002033B"/>
    <w:rsid w:val="00021729"/>
    <w:rsid w:val="00021933"/>
    <w:rsid w:val="000261AD"/>
    <w:rsid w:val="000268CC"/>
    <w:rsid w:val="00030FC1"/>
    <w:rsid w:val="00032477"/>
    <w:rsid w:val="000341BD"/>
    <w:rsid w:val="00034719"/>
    <w:rsid w:val="0003649B"/>
    <w:rsid w:val="00040E7D"/>
    <w:rsid w:val="000418F5"/>
    <w:rsid w:val="00041F48"/>
    <w:rsid w:val="00042E6E"/>
    <w:rsid w:val="00047687"/>
    <w:rsid w:val="00050256"/>
    <w:rsid w:val="0005030F"/>
    <w:rsid w:val="00050526"/>
    <w:rsid w:val="00053050"/>
    <w:rsid w:val="00060AE3"/>
    <w:rsid w:val="00062835"/>
    <w:rsid w:val="000635AC"/>
    <w:rsid w:val="0006708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29E9"/>
    <w:rsid w:val="000A2BB9"/>
    <w:rsid w:val="000A43B2"/>
    <w:rsid w:val="000A5B50"/>
    <w:rsid w:val="000B0498"/>
    <w:rsid w:val="000B22ED"/>
    <w:rsid w:val="000B2C38"/>
    <w:rsid w:val="000B3411"/>
    <w:rsid w:val="000B67BE"/>
    <w:rsid w:val="000B68BD"/>
    <w:rsid w:val="000C23A9"/>
    <w:rsid w:val="000C3BC5"/>
    <w:rsid w:val="000D08BD"/>
    <w:rsid w:val="000D1F0F"/>
    <w:rsid w:val="000D3E29"/>
    <w:rsid w:val="000D583E"/>
    <w:rsid w:val="000E3A30"/>
    <w:rsid w:val="000E48C0"/>
    <w:rsid w:val="000F03C7"/>
    <w:rsid w:val="000F09A0"/>
    <w:rsid w:val="000F272E"/>
    <w:rsid w:val="000F4DE5"/>
    <w:rsid w:val="001047AA"/>
    <w:rsid w:val="001103A3"/>
    <w:rsid w:val="00112476"/>
    <w:rsid w:val="00113465"/>
    <w:rsid w:val="00113B87"/>
    <w:rsid w:val="0011578A"/>
    <w:rsid w:val="00115B4D"/>
    <w:rsid w:val="00116B25"/>
    <w:rsid w:val="00116ECA"/>
    <w:rsid w:val="00120A8F"/>
    <w:rsid w:val="00125ECC"/>
    <w:rsid w:val="00131C5F"/>
    <w:rsid w:val="00137DD9"/>
    <w:rsid w:val="00137EA8"/>
    <w:rsid w:val="00147FC4"/>
    <w:rsid w:val="001502B0"/>
    <w:rsid w:val="001505E2"/>
    <w:rsid w:val="00153A24"/>
    <w:rsid w:val="0015424D"/>
    <w:rsid w:val="00154A7F"/>
    <w:rsid w:val="001600D7"/>
    <w:rsid w:val="00160C0D"/>
    <w:rsid w:val="001625A8"/>
    <w:rsid w:val="00163632"/>
    <w:rsid w:val="00167F92"/>
    <w:rsid w:val="00171035"/>
    <w:rsid w:val="00176CE9"/>
    <w:rsid w:val="001776AF"/>
    <w:rsid w:val="00180238"/>
    <w:rsid w:val="001859E4"/>
    <w:rsid w:val="00186A29"/>
    <w:rsid w:val="001922F4"/>
    <w:rsid w:val="001949E6"/>
    <w:rsid w:val="00194A0D"/>
    <w:rsid w:val="001953C9"/>
    <w:rsid w:val="001A33E6"/>
    <w:rsid w:val="001A48EC"/>
    <w:rsid w:val="001A5DA6"/>
    <w:rsid w:val="001A7C85"/>
    <w:rsid w:val="001B3A43"/>
    <w:rsid w:val="001B4079"/>
    <w:rsid w:val="001B4F19"/>
    <w:rsid w:val="001C739C"/>
    <w:rsid w:val="001D37DD"/>
    <w:rsid w:val="001D4819"/>
    <w:rsid w:val="001D57C6"/>
    <w:rsid w:val="001D6675"/>
    <w:rsid w:val="001E0F44"/>
    <w:rsid w:val="001E69D9"/>
    <w:rsid w:val="001E7AC3"/>
    <w:rsid w:val="001F050F"/>
    <w:rsid w:val="001F0D87"/>
    <w:rsid w:val="001F1FFF"/>
    <w:rsid w:val="001F4C45"/>
    <w:rsid w:val="00200674"/>
    <w:rsid w:val="00201C76"/>
    <w:rsid w:val="002056BF"/>
    <w:rsid w:val="002066E7"/>
    <w:rsid w:val="00206CE5"/>
    <w:rsid w:val="00207501"/>
    <w:rsid w:val="00207796"/>
    <w:rsid w:val="00213FCF"/>
    <w:rsid w:val="002140EE"/>
    <w:rsid w:val="002172FF"/>
    <w:rsid w:val="00217A94"/>
    <w:rsid w:val="00220A7E"/>
    <w:rsid w:val="002223D6"/>
    <w:rsid w:val="00223F42"/>
    <w:rsid w:val="00225F4F"/>
    <w:rsid w:val="00232166"/>
    <w:rsid w:val="002324C3"/>
    <w:rsid w:val="002354DE"/>
    <w:rsid w:val="00235A28"/>
    <w:rsid w:val="00236B03"/>
    <w:rsid w:val="00237196"/>
    <w:rsid w:val="002413DE"/>
    <w:rsid w:val="00241F25"/>
    <w:rsid w:val="002441A2"/>
    <w:rsid w:val="00245B29"/>
    <w:rsid w:val="00245FF1"/>
    <w:rsid w:val="00251CD8"/>
    <w:rsid w:val="00254971"/>
    <w:rsid w:val="00271C81"/>
    <w:rsid w:val="0027443D"/>
    <w:rsid w:val="00285298"/>
    <w:rsid w:val="002876AC"/>
    <w:rsid w:val="00290071"/>
    <w:rsid w:val="002915F2"/>
    <w:rsid w:val="00292647"/>
    <w:rsid w:val="002934F0"/>
    <w:rsid w:val="0029383C"/>
    <w:rsid w:val="00294263"/>
    <w:rsid w:val="00294E14"/>
    <w:rsid w:val="00297A25"/>
    <w:rsid w:val="002A0E29"/>
    <w:rsid w:val="002A0F1D"/>
    <w:rsid w:val="002A1981"/>
    <w:rsid w:val="002A5287"/>
    <w:rsid w:val="002A5C6D"/>
    <w:rsid w:val="002A6E68"/>
    <w:rsid w:val="002B167C"/>
    <w:rsid w:val="002B7DAF"/>
    <w:rsid w:val="002C0C09"/>
    <w:rsid w:val="002C3B25"/>
    <w:rsid w:val="002C501A"/>
    <w:rsid w:val="002C5BEF"/>
    <w:rsid w:val="002C61DC"/>
    <w:rsid w:val="002C7D7E"/>
    <w:rsid w:val="002D081F"/>
    <w:rsid w:val="002D1DCE"/>
    <w:rsid w:val="002D23D1"/>
    <w:rsid w:val="002D243E"/>
    <w:rsid w:val="002D49A3"/>
    <w:rsid w:val="002E13A8"/>
    <w:rsid w:val="002E1CB5"/>
    <w:rsid w:val="002E272A"/>
    <w:rsid w:val="002E29EC"/>
    <w:rsid w:val="002E7122"/>
    <w:rsid w:val="002F0E1E"/>
    <w:rsid w:val="002F6EB2"/>
    <w:rsid w:val="002F77BF"/>
    <w:rsid w:val="003072A5"/>
    <w:rsid w:val="00312863"/>
    <w:rsid w:val="00314982"/>
    <w:rsid w:val="00316A19"/>
    <w:rsid w:val="00324CB5"/>
    <w:rsid w:val="00324F5F"/>
    <w:rsid w:val="00325CC6"/>
    <w:rsid w:val="003310C6"/>
    <w:rsid w:val="003339B1"/>
    <w:rsid w:val="003353C3"/>
    <w:rsid w:val="00335F4F"/>
    <w:rsid w:val="00337F42"/>
    <w:rsid w:val="00341B8B"/>
    <w:rsid w:val="0034301B"/>
    <w:rsid w:val="00345E46"/>
    <w:rsid w:val="0034639B"/>
    <w:rsid w:val="003468F9"/>
    <w:rsid w:val="00350889"/>
    <w:rsid w:val="00357A17"/>
    <w:rsid w:val="003621CC"/>
    <w:rsid w:val="00367B36"/>
    <w:rsid w:val="00375C3F"/>
    <w:rsid w:val="00376F58"/>
    <w:rsid w:val="003843F1"/>
    <w:rsid w:val="00385998"/>
    <w:rsid w:val="0038645F"/>
    <w:rsid w:val="003869FA"/>
    <w:rsid w:val="0039157F"/>
    <w:rsid w:val="003925E5"/>
    <w:rsid w:val="003A072A"/>
    <w:rsid w:val="003A23C4"/>
    <w:rsid w:val="003A3A47"/>
    <w:rsid w:val="003A4342"/>
    <w:rsid w:val="003A648B"/>
    <w:rsid w:val="003A69F3"/>
    <w:rsid w:val="003B02B2"/>
    <w:rsid w:val="003B170F"/>
    <w:rsid w:val="003B25B9"/>
    <w:rsid w:val="003B49C8"/>
    <w:rsid w:val="003B4C10"/>
    <w:rsid w:val="003C11BD"/>
    <w:rsid w:val="003C20B5"/>
    <w:rsid w:val="003C3968"/>
    <w:rsid w:val="003C4EB7"/>
    <w:rsid w:val="003C56F4"/>
    <w:rsid w:val="003C61C4"/>
    <w:rsid w:val="003D52A8"/>
    <w:rsid w:val="003E1BC1"/>
    <w:rsid w:val="003E3AA7"/>
    <w:rsid w:val="003E3BCD"/>
    <w:rsid w:val="003E3C80"/>
    <w:rsid w:val="003E4CF5"/>
    <w:rsid w:val="003E6CE0"/>
    <w:rsid w:val="003F03DF"/>
    <w:rsid w:val="003F1937"/>
    <w:rsid w:val="003F264E"/>
    <w:rsid w:val="00401A41"/>
    <w:rsid w:val="004027B0"/>
    <w:rsid w:val="0040345D"/>
    <w:rsid w:val="00404BE5"/>
    <w:rsid w:val="00404C8A"/>
    <w:rsid w:val="00406A85"/>
    <w:rsid w:val="004078DC"/>
    <w:rsid w:val="004303DE"/>
    <w:rsid w:val="00433852"/>
    <w:rsid w:val="00434A28"/>
    <w:rsid w:val="00435735"/>
    <w:rsid w:val="0044068F"/>
    <w:rsid w:val="0044335F"/>
    <w:rsid w:val="00443F91"/>
    <w:rsid w:val="00453FD1"/>
    <w:rsid w:val="004611DC"/>
    <w:rsid w:val="004667C2"/>
    <w:rsid w:val="00466C5E"/>
    <w:rsid w:val="00472DBF"/>
    <w:rsid w:val="00475704"/>
    <w:rsid w:val="004767EE"/>
    <w:rsid w:val="0048022B"/>
    <w:rsid w:val="004840C0"/>
    <w:rsid w:val="00484314"/>
    <w:rsid w:val="00485635"/>
    <w:rsid w:val="00490D75"/>
    <w:rsid w:val="00493C36"/>
    <w:rsid w:val="00494104"/>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30F8"/>
    <w:rsid w:val="004F7978"/>
    <w:rsid w:val="00500EA6"/>
    <w:rsid w:val="0050184E"/>
    <w:rsid w:val="00503991"/>
    <w:rsid w:val="00506F55"/>
    <w:rsid w:val="00507E4E"/>
    <w:rsid w:val="00510337"/>
    <w:rsid w:val="00515C3F"/>
    <w:rsid w:val="005236AB"/>
    <w:rsid w:val="00523DDE"/>
    <w:rsid w:val="0052731E"/>
    <w:rsid w:val="00530E02"/>
    <w:rsid w:val="005339E5"/>
    <w:rsid w:val="00533B87"/>
    <w:rsid w:val="00533BD5"/>
    <w:rsid w:val="00535637"/>
    <w:rsid w:val="005404DE"/>
    <w:rsid w:val="00540F12"/>
    <w:rsid w:val="00542123"/>
    <w:rsid w:val="00542CC7"/>
    <w:rsid w:val="00544E40"/>
    <w:rsid w:val="005474AD"/>
    <w:rsid w:val="00554313"/>
    <w:rsid w:val="00554E35"/>
    <w:rsid w:val="00561474"/>
    <w:rsid w:val="0056406C"/>
    <w:rsid w:val="0056423E"/>
    <w:rsid w:val="0056527A"/>
    <w:rsid w:val="005717F0"/>
    <w:rsid w:val="0057426A"/>
    <w:rsid w:val="00574FF9"/>
    <w:rsid w:val="00575FE4"/>
    <w:rsid w:val="00577687"/>
    <w:rsid w:val="00581DC8"/>
    <w:rsid w:val="0058401F"/>
    <w:rsid w:val="00585112"/>
    <w:rsid w:val="0059297D"/>
    <w:rsid w:val="0059499F"/>
    <w:rsid w:val="00596CBA"/>
    <w:rsid w:val="005A0147"/>
    <w:rsid w:val="005A0C1C"/>
    <w:rsid w:val="005A0E19"/>
    <w:rsid w:val="005A0FD5"/>
    <w:rsid w:val="005A1EBA"/>
    <w:rsid w:val="005A5A5C"/>
    <w:rsid w:val="005A75B7"/>
    <w:rsid w:val="005B2E39"/>
    <w:rsid w:val="005B68AB"/>
    <w:rsid w:val="005B707C"/>
    <w:rsid w:val="005B79C6"/>
    <w:rsid w:val="005C0CEA"/>
    <w:rsid w:val="005C21C3"/>
    <w:rsid w:val="005C3A01"/>
    <w:rsid w:val="005C5ED7"/>
    <w:rsid w:val="005C6470"/>
    <w:rsid w:val="005D0B6F"/>
    <w:rsid w:val="005D175A"/>
    <w:rsid w:val="005D544A"/>
    <w:rsid w:val="005D7FAF"/>
    <w:rsid w:val="005E1437"/>
    <w:rsid w:val="005E2E17"/>
    <w:rsid w:val="005E499E"/>
    <w:rsid w:val="005E4E1D"/>
    <w:rsid w:val="005E5473"/>
    <w:rsid w:val="005F037E"/>
    <w:rsid w:val="005F3D43"/>
    <w:rsid w:val="005F4164"/>
    <w:rsid w:val="005F7413"/>
    <w:rsid w:val="0060198D"/>
    <w:rsid w:val="006077BB"/>
    <w:rsid w:val="00607B30"/>
    <w:rsid w:val="00612E72"/>
    <w:rsid w:val="006227D8"/>
    <w:rsid w:val="00622ECB"/>
    <w:rsid w:val="00623010"/>
    <w:rsid w:val="00631453"/>
    <w:rsid w:val="00631522"/>
    <w:rsid w:val="006315AA"/>
    <w:rsid w:val="00632F43"/>
    <w:rsid w:val="00634D74"/>
    <w:rsid w:val="006359B2"/>
    <w:rsid w:val="00636E27"/>
    <w:rsid w:val="00637CD3"/>
    <w:rsid w:val="006416B9"/>
    <w:rsid w:val="00642587"/>
    <w:rsid w:val="006425F6"/>
    <w:rsid w:val="00643A27"/>
    <w:rsid w:val="00646EA9"/>
    <w:rsid w:val="00652898"/>
    <w:rsid w:val="0065779B"/>
    <w:rsid w:val="0066114C"/>
    <w:rsid w:val="00661401"/>
    <w:rsid w:val="0066190F"/>
    <w:rsid w:val="00662F02"/>
    <w:rsid w:val="00664B3A"/>
    <w:rsid w:val="00665AAE"/>
    <w:rsid w:val="00667657"/>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A00A1"/>
    <w:rsid w:val="006A3417"/>
    <w:rsid w:val="006A574F"/>
    <w:rsid w:val="006A6629"/>
    <w:rsid w:val="006A6B27"/>
    <w:rsid w:val="006A7FA4"/>
    <w:rsid w:val="006B2D07"/>
    <w:rsid w:val="006B3203"/>
    <w:rsid w:val="006B4B30"/>
    <w:rsid w:val="006B7877"/>
    <w:rsid w:val="006C1BA3"/>
    <w:rsid w:val="006C2D32"/>
    <w:rsid w:val="006C3946"/>
    <w:rsid w:val="006C3CE0"/>
    <w:rsid w:val="006C5503"/>
    <w:rsid w:val="006C67B2"/>
    <w:rsid w:val="006C6FCE"/>
    <w:rsid w:val="006D14F6"/>
    <w:rsid w:val="006D38CA"/>
    <w:rsid w:val="006D79E6"/>
    <w:rsid w:val="006E0BF9"/>
    <w:rsid w:val="006E22F4"/>
    <w:rsid w:val="006F3B14"/>
    <w:rsid w:val="006F4339"/>
    <w:rsid w:val="006F6EB9"/>
    <w:rsid w:val="006F70E4"/>
    <w:rsid w:val="007054B4"/>
    <w:rsid w:val="00706A27"/>
    <w:rsid w:val="00707EA8"/>
    <w:rsid w:val="007108D4"/>
    <w:rsid w:val="00725ACD"/>
    <w:rsid w:val="00731D44"/>
    <w:rsid w:val="00733900"/>
    <w:rsid w:val="00733C3C"/>
    <w:rsid w:val="00734360"/>
    <w:rsid w:val="00735661"/>
    <w:rsid w:val="00737DD8"/>
    <w:rsid w:val="007411C4"/>
    <w:rsid w:val="00741BF7"/>
    <w:rsid w:val="00742CA2"/>
    <w:rsid w:val="007446FC"/>
    <w:rsid w:val="00745A57"/>
    <w:rsid w:val="007506D5"/>
    <w:rsid w:val="007509F4"/>
    <w:rsid w:val="00752664"/>
    <w:rsid w:val="00752A57"/>
    <w:rsid w:val="007532E6"/>
    <w:rsid w:val="007644F2"/>
    <w:rsid w:val="0076480A"/>
    <w:rsid w:val="007673E1"/>
    <w:rsid w:val="00770ECA"/>
    <w:rsid w:val="00770FDD"/>
    <w:rsid w:val="00772999"/>
    <w:rsid w:val="00774881"/>
    <w:rsid w:val="0077652A"/>
    <w:rsid w:val="0077659A"/>
    <w:rsid w:val="0078415C"/>
    <w:rsid w:val="00785645"/>
    <w:rsid w:val="00785CAE"/>
    <w:rsid w:val="00796E8A"/>
    <w:rsid w:val="007A06E4"/>
    <w:rsid w:val="007A2FB0"/>
    <w:rsid w:val="007B396D"/>
    <w:rsid w:val="007B3D4F"/>
    <w:rsid w:val="007B6565"/>
    <w:rsid w:val="007B68AF"/>
    <w:rsid w:val="007B6EB2"/>
    <w:rsid w:val="007C1D97"/>
    <w:rsid w:val="007C2CD5"/>
    <w:rsid w:val="007C5119"/>
    <w:rsid w:val="007C5872"/>
    <w:rsid w:val="007C5C90"/>
    <w:rsid w:val="007C7B50"/>
    <w:rsid w:val="007D071D"/>
    <w:rsid w:val="007D0768"/>
    <w:rsid w:val="007D43DF"/>
    <w:rsid w:val="007D75CD"/>
    <w:rsid w:val="007E3CC5"/>
    <w:rsid w:val="007F382C"/>
    <w:rsid w:val="007F410D"/>
    <w:rsid w:val="007F4ED5"/>
    <w:rsid w:val="008012ED"/>
    <w:rsid w:val="008056BA"/>
    <w:rsid w:val="00806555"/>
    <w:rsid w:val="0080721D"/>
    <w:rsid w:val="00814195"/>
    <w:rsid w:val="008236AF"/>
    <w:rsid w:val="00834D5B"/>
    <w:rsid w:val="00835207"/>
    <w:rsid w:val="00844102"/>
    <w:rsid w:val="008451A8"/>
    <w:rsid w:val="008508E3"/>
    <w:rsid w:val="0085540B"/>
    <w:rsid w:val="008630A3"/>
    <w:rsid w:val="00867AB1"/>
    <w:rsid w:val="00871193"/>
    <w:rsid w:val="00871291"/>
    <w:rsid w:val="00872CF2"/>
    <w:rsid w:val="00872D4F"/>
    <w:rsid w:val="00874FE2"/>
    <w:rsid w:val="008750A7"/>
    <w:rsid w:val="00875330"/>
    <w:rsid w:val="00875982"/>
    <w:rsid w:val="00875FAE"/>
    <w:rsid w:val="00877BC9"/>
    <w:rsid w:val="00886BD7"/>
    <w:rsid w:val="008870EC"/>
    <w:rsid w:val="00887EFB"/>
    <w:rsid w:val="008971DB"/>
    <w:rsid w:val="008A0C8D"/>
    <w:rsid w:val="008A10B1"/>
    <w:rsid w:val="008A53FE"/>
    <w:rsid w:val="008A7361"/>
    <w:rsid w:val="008B657F"/>
    <w:rsid w:val="008C2FA7"/>
    <w:rsid w:val="008C32E4"/>
    <w:rsid w:val="008C37AD"/>
    <w:rsid w:val="008C3B22"/>
    <w:rsid w:val="008C59EF"/>
    <w:rsid w:val="008C5DFB"/>
    <w:rsid w:val="008D0943"/>
    <w:rsid w:val="008D5E58"/>
    <w:rsid w:val="008E1481"/>
    <w:rsid w:val="008E52D0"/>
    <w:rsid w:val="008E7D53"/>
    <w:rsid w:val="008F1ED9"/>
    <w:rsid w:val="00900248"/>
    <w:rsid w:val="009023AD"/>
    <w:rsid w:val="0090640D"/>
    <w:rsid w:val="00906707"/>
    <w:rsid w:val="00911B48"/>
    <w:rsid w:val="0091307A"/>
    <w:rsid w:val="00922D3F"/>
    <w:rsid w:val="00924078"/>
    <w:rsid w:val="00925B09"/>
    <w:rsid w:val="00926D4B"/>
    <w:rsid w:val="00927668"/>
    <w:rsid w:val="00930382"/>
    <w:rsid w:val="009337A8"/>
    <w:rsid w:val="009369CD"/>
    <w:rsid w:val="009377A4"/>
    <w:rsid w:val="00942125"/>
    <w:rsid w:val="009431A1"/>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365A"/>
    <w:rsid w:val="009B4615"/>
    <w:rsid w:val="009B796D"/>
    <w:rsid w:val="009C1FE6"/>
    <w:rsid w:val="009C259C"/>
    <w:rsid w:val="009C5B39"/>
    <w:rsid w:val="009C77CE"/>
    <w:rsid w:val="009D10B8"/>
    <w:rsid w:val="009D3192"/>
    <w:rsid w:val="009D4F69"/>
    <w:rsid w:val="009D7ECD"/>
    <w:rsid w:val="009E02C7"/>
    <w:rsid w:val="009E4523"/>
    <w:rsid w:val="009E5EB0"/>
    <w:rsid w:val="009E6269"/>
    <w:rsid w:val="009E7277"/>
    <w:rsid w:val="009F0F0F"/>
    <w:rsid w:val="009F196E"/>
    <w:rsid w:val="00A0596D"/>
    <w:rsid w:val="00A05E9C"/>
    <w:rsid w:val="00A11AE4"/>
    <w:rsid w:val="00A14AAA"/>
    <w:rsid w:val="00A14C6A"/>
    <w:rsid w:val="00A23B7A"/>
    <w:rsid w:val="00A23C43"/>
    <w:rsid w:val="00A25DF3"/>
    <w:rsid w:val="00A27101"/>
    <w:rsid w:val="00A27816"/>
    <w:rsid w:val="00A329BD"/>
    <w:rsid w:val="00A33EF1"/>
    <w:rsid w:val="00A35262"/>
    <w:rsid w:val="00A414F2"/>
    <w:rsid w:val="00A54037"/>
    <w:rsid w:val="00A55D2B"/>
    <w:rsid w:val="00A56D18"/>
    <w:rsid w:val="00A579EE"/>
    <w:rsid w:val="00A60516"/>
    <w:rsid w:val="00A62998"/>
    <w:rsid w:val="00A6591F"/>
    <w:rsid w:val="00A67ED3"/>
    <w:rsid w:val="00A70574"/>
    <w:rsid w:val="00A74236"/>
    <w:rsid w:val="00A7443B"/>
    <w:rsid w:val="00A74B4D"/>
    <w:rsid w:val="00A76814"/>
    <w:rsid w:val="00A77FC4"/>
    <w:rsid w:val="00A82F62"/>
    <w:rsid w:val="00A83CE1"/>
    <w:rsid w:val="00A8492F"/>
    <w:rsid w:val="00A85E69"/>
    <w:rsid w:val="00A869D5"/>
    <w:rsid w:val="00A92A71"/>
    <w:rsid w:val="00A93E8A"/>
    <w:rsid w:val="00A95BEB"/>
    <w:rsid w:val="00A95D15"/>
    <w:rsid w:val="00AA1287"/>
    <w:rsid w:val="00AA3FBD"/>
    <w:rsid w:val="00AA4B9E"/>
    <w:rsid w:val="00AA606C"/>
    <w:rsid w:val="00AA78A5"/>
    <w:rsid w:val="00AA7D56"/>
    <w:rsid w:val="00AB190D"/>
    <w:rsid w:val="00AB1CE2"/>
    <w:rsid w:val="00AB3A58"/>
    <w:rsid w:val="00AB688E"/>
    <w:rsid w:val="00AB7BAB"/>
    <w:rsid w:val="00AC40B2"/>
    <w:rsid w:val="00AC45D6"/>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3EB7"/>
    <w:rsid w:val="00B15495"/>
    <w:rsid w:val="00B17911"/>
    <w:rsid w:val="00B22EB8"/>
    <w:rsid w:val="00B23F02"/>
    <w:rsid w:val="00B27079"/>
    <w:rsid w:val="00B35C2C"/>
    <w:rsid w:val="00B3624F"/>
    <w:rsid w:val="00B41E2E"/>
    <w:rsid w:val="00B46E5A"/>
    <w:rsid w:val="00B47779"/>
    <w:rsid w:val="00B503D5"/>
    <w:rsid w:val="00B50503"/>
    <w:rsid w:val="00B52287"/>
    <w:rsid w:val="00B5247D"/>
    <w:rsid w:val="00B533A6"/>
    <w:rsid w:val="00B60427"/>
    <w:rsid w:val="00B61055"/>
    <w:rsid w:val="00B61391"/>
    <w:rsid w:val="00B64B8B"/>
    <w:rsid w:val="00B7010F"/>
    <w:rsid w:val="00B72E43"/>
    <w:rsid w:val="00B75E82"/>
    <w:rsid w:val="00B776EA"/>
    <w:rsid w:val="00B90E6B"/>
    <w:rsid w:val="00B9456C"/>
    <w:rsid w:val="00B97A03"/>
    <w:rsid w:val="00BA03C3"/>
    <w:rsid w:val="00BA06D0"/>
    <w:rsid w:val="00BA0845"/>
    <w:rsid w:val="00BA3FD0"/>
    <w:rsid w:val="00BA431E"/>
    <w:rsid w:val="00BA466B"/>
    <w:rsid w:val="00BA6AD0"/>
    <w:rsid w:val="00BA7BF2"/>
    <w:rsid w:val="00BB3395"/>
    <w:rsid w:val="00BB469B"/>
    <w:rsid w:val="00BB57F2"/>
    <w:rsid w:val="00BC1479"/>
    <w:rsid w:val="00BC1862"/>
    <w:rsid w:val="00BC239E"/>
    <w:rsid w:val="00BC439B"/>
    <w:rsid w:val="00BC74DE"/>
    <w:rsid w:val="00BD0291"/>
    <w:rsid w:val="00BD2A5E"/>
    <w:rsid w:val="00BD7D7C"/>
    <w:rsid w:val="00BE0646"/>
    <w:rsid w:val="00BE25C4"/>
    <w:rsid w:val="00BE3A37"/>
    <w:rsid w:val="00BE49DA"/>
    <w:rsid w:val="00BE6EEB"/>
    <w:rsid w:val="00BE79F0"/>
    <w:rsid w:val="00BE7BB2"/>
    <w:rsid w:val="00BF2933"/>
    <w:rsid w:val="00BF2EBA"/>
    <w:rsid w:val="00BF5222"/>
    <w:rsid w:val="00BF72A4"/>
    <w:rsid w:val="00C033AB"/>
    <w:rsid w:val="00C05362"/>
    <w:rsid w:val="00C056ED"/>
    <w:rsid w:val="00C07B90"/>
    <w:rsid w:val="00C10ADF"/>
    <w:rsid w:val="00C11700"/>
    <w:rsid w:val="00C11DE9"/>
    <w:rsid w:val="00C12CA9"/>
    <w:rsid w:val="00C1302A"/>
    <w:rsid w:val="00C131DD"/>
    <w:rsid w:val="00C167EA"/>
    <w:rsid w:val="00C2028E"/>
    <w:rsid w:val="00C220B1"/>
    <w:rsid w:val="00C2376D"/>
    <w:rsid w:val="00C2425D"/>
    <w:rsid w:val="00C24CD8"/>
    <w:rsid w:val="00C255C9"/>
    <w:rsid w:val="00C30624"/>
    <w:rsid w:val="00C31751"/>
    <w:rsid w:val="00C3599D"/>
    <w:rsid w:val="00C37D77"/>
    <w:rsid w:val="00C40AC3"/>
    <w:rsid w:val="00C4691D"/>
    <w:rsid w:val="00C47D20"/>
    <w:rsid w:val="00C50D36"/>
    <w:rsid w:val="00C52AB6"/>
    <w:rsid w:val="00C6049A"/>
    <w:rsid w:val="00C60C27"/>
    <w:rsid w:val="00C60F16"/>
    <w:rsid w:val="00C6653C"/>
    <w:rsid w:val="00C67A5F"/>
    <w:rsid w:val="00C67C5D"/>
    <w:rsid w:val="00C70E7D"/>
    <w:rsid w:val="00C73052"/>
    <w:rsid w:val="00C7472B"/>
    <w:rsid w:val="00C74E9D"/>
    <w:rsid w:val="00C760BA"/>
    <w:rsid w:val="00C8105B"/>
    <w:rsid w:val="00C81A71"/>
    <w:rsid w:val="00C86E97"/>
    <w:rsid w:val="00C941CF"/>
    <w:rsid w:val="00C9548D"/>
    <w:rsid w:val="00C96814"/>
    <w:rsid w:val="00C96AE3"/>
    <w:rsid w:val="00C975F3"/>
    <w:rsid w:val="00CA06DA"/>
    <w:rsid w:val="00CA355A"/>
    <w:rsid w:val="00CA69FD"/>
    <w:rsid w:val="00CB0224"/>
    <w:rsid w:val="00CB42AD"/>
    <w:rsid w:val="00CB432B"/>
    <w:rsid w:val="00CB7CF1"/>
    <w:rsid w:val="00CB7DB9"/>
    <w:rsid w:val="00CC5D8A"/>
    <w:rsid w:val="00CD0BCE"/>
    <w:rsid w:val="00CD2B48"/>
    <w:rsid w:val="00CD3E5E"/>
    <w:rsid w:val="00CD43E9"/>
    <w:rsid w:val="00CD6516"/>
    <w:rsid w:val="00CD6770"/>
    <w:rsid w:val="00CE2285"/>
    <w:rsid w:val="00CE6919"/>
    <w:rsid w:val="00CF0F49"/>
    <w:rsid w:val="00CF15F5"/>
    <w:rsid w:val="00CF2893"/>
    <w:rsid w:val="00CF48E2"/>
    <w:rsid w:val="00D01DB9"/>
    <w:rsid w:val="00D025A2"/>
    <w:rsid w:val="00D06A8C"/>
    <w:rsid w:val="00D075F3"/>
    <w:rsid w:val="00D1193C"/>
    <w:rsid w:val="00D11C12"/>
    <w:rsid w:val="00D17E43"/>
    <w:rsid w:val="00D24041"/>
    <w:rsid w:val="00D26D1F"/>
    <w:rsid w:val="00D27EFD"/>
    <w:rsid w:val="00D3206F"/>
    <w:rsid w:val="00D343ED"/>
    <w:rsid w:val="00D41C17"/>
    <w:rsid w:val="00D42CDB"/>
    <w:rsid w:val="00D44C5E"/>
    <w:rsid w:val="00D47ACF"/>
    <w:rsid w:val="00D47C06"/>
    <w:rsid w:val="00D50D0F"/>
    <w:rsid w:val="00D570B1"/>
    <w:rsid w:val="00D61DC0"/>
    <w:rsid w:val="00D633E5"/>
    <w:rsid w:val="00D6469C"/>
    <w:rsid w:val="00D64BC1"/>
    <w:rsid w:val="00D66893"/>
    <w:rsid w:val="00D75345"/>
    <w:rsid w:val="00D7590E"/>
    <w:rsid w:val="00D839BA"/>
    <w:rsid w:val="00D83C07"/>
    <w:rsid w:val="00D86ECC"/>
    <w:rsid w:val="00D9013B"/>
    <w:rsid w:val="00D90EC5"/>
    <w:rsid w:val="00DA493D"/>
    <w:rsid w:val="00DA6418"/>
    <w:rsid w:val="00DA6CF9"/>
    <w:rsid w:val="00DA760A"/>
    <w:rsid w:val="00DB27FB"/>
    <w:rsid w:val="00DB3C42"/>
    <w:rsid w:val="00DB6569"/>
    <w:rsid w:val="00DC2A77"/>
    <w:rsid w:val="00DC3855"/>
    <w:rsid w:val="00DC5265"/>
    <w:rsid w:val="00DC56EB"/>
    <w:rsid w:val="00DD1713"/>
    <w:rsid w:val="00DD2293"/>
    <w:rsid w:val="00DD27F0"/>
    <w:rsid w:val="00DD3C32"/>
    <w:rsid w:val="00DD3CE4"/>
    <w:rsid w:val="00DD4847"/>
    <w:rsid w:val="00DD58E0"/>
    <w:rsid w:val="00DD7223"/>
    <w:rsid w:val="00DD7235"/>
    <w:rsid w:val="00DE3C15"/>
    <w:rsid w:val="00DE4D06"/>
    <w:rsid w:val="00DE6599"/>
    <w:rsid w:val="00DE7EB5"/>
    <w:rsid w:val="00DF450C"/>
    <w:rsid w:val="00DF467B"/>
    <w:rsid w:val="00DF5845"/>
    <w:rsid w:val="00DF613D"/>
    <w:rsid w:val="00E00E05"/>
    <w:rsid w:val="00E01106"/>
    <w:rsid w:val="00E02EFF"/>
    <w:rsid w:val="00E04E60"/>
    <w:rsid w:val="00E12DBD"/>
    <w:rsid w:val="00E132C1"/>
    <w:rsid w:val="00E1364F"/>
    <w:rsid w:val="00E13A7A"/>
    <w:rsid w:val="00E153E3"/>
    <w:rsid w:val="00E16755"/>
    <w:rsid w:val="00E22452"/>
    <w:rsid w:val="00E25B31"/>
    <w:rsid w:val="00E34539"/>
    <w:rsid w:val="00E34E23"/>
    <w:rsid w:val="00E37756"/>
    <w:rsid w:val="00E45CF6"/>
    <w:rsid w:val="00E45DD8"/>
    <w:rsid w:val="00E4678A"/>
    <w:rsid w:val="00E56DEE"/>
    <w:rsid w:val="00E56EDA"/>
    <w:rsid w:val="00E60911"/>
    <w:rsid w:val="00E62215"/>
    <w:rsid w:val="00E64B74"/>
    <w:rsid w:val="00E706B8"/>
    <w:rsid w:val="00E71186"/>
    <w:rsid w:val="00E740C2"/>
    <w:rsid w:val="00E749CE"/>
    <w:rsid w:val="00E74D67"/>
    <w:rsid w:val="00E8087D"/>
    <w:rsid w:val="00E82CAE"/>
    <w:rsid w:val="00E85A3D"/>
    <w:rsid w:val="00E91E4A"/>
    <w:rsid w:val="00E928C2"/>
    <w:rsid w:val="00E95A9F"/>
    <w:rsid w:val="00E9654C"/>
    <w:rsid w:val="00E96A38"/>
    <w:rsid w:val="00EA7DCA"/>
    <w:rsid w:val="00EB0894"/>
    <w:rsid w:val="00EB30D3"/>
    <w:rsid w:val="00EB39BB"/>
    <w:rsid w:val="00EB3B02"/>
    <w:rsid w:val="00EB443C"/>
    <w:rsid w:val="00EB61F3"/>
    <w:rsid w:val="00EC5C84"/>
    <w:rsid w:val="00EC5D7D"/>
    <w:rsid w:val="00EC6F87"/>
    <w:rsid w:val="00ED0F43"/>
    <w:rsid w:val="00ED2290"/>
    <w:rsid w:val="00ED2874"/>
    <w:rsid w:val="00EE003E"/>
    <w:rsid w:val="00EE0ECD"/>
    <w:rsid w:val="00EE190B"/>
    <w:rsid w:val="00EE2ED5"/>
    <w:rsid w:val="00EE453A"/>
    <w:rsid w:val="00EE6B0D"/>
    <w:rsid w:val="00EF0AD0"/>
    <w:rsid w:val="00EF12E2"/>
    <w:rsid w:val="00EF5447"/>
    <w:rsid w:val="00F03E6E"/>
    <w:rsid w:val="00F04310"/>
    <w:rsid w:val="00F04A21"/>
    <w:rsid w:val="00F04B82"/>
    <w:rsid w:val="00F10031"/>
    <w:rsid w:val="00F121DD"/>
    <w:rsid w:val="00F13458"/>
    <w:rsid w:val="00F151C9"/>
    <w:rsid w:val="00F16094"/>
    <w:rsid w:val="00F212B0"/>
    <w:rsid w:val="00F22354"/>
    <w:rsid w:val="00F30FDC"/>
    <w:rsid w:val="00F31E4C"/>
    <w:rsid w:val="00F36ABD"/>
    <w:rsid w:val="00F42F7B"/>
    <w:rsid w:val="00F43D67"/>
    <w:rsid w:val="00F5208B"/>
    <w:rsid w:val="00F525A5"/>
    <w:rsid w:val="00F52CB9"/>
    <w:rsid w:val="00F539E1"/>
    <w:rsid w:val="00F56CEF"/>
    <w:rsid w:val="00F57865"/>
    <w:rsid w:val="00F66663"/>
    <w:rsid w:val="00F72BE8"/>
    <w:rsid w:val="00F74C9D"/>
    <w:rsid w:val="00F82B64"/>
    <w:rsid w:val="00F86595"/>
    <w:rsid w:val="00F939D7"/>
    <w:rsid w:val="00F9591F"/>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120522recording.mp4" TargetMode="External"/><Relationship Id="rId13" Type="http://schemas.openxmlformats.org/officeDocument/2006/relationships/hyperlink" Target="https://naesb.org/pdf4/geh120522ra.docx" TargetMode="External"/><Relationship Id="rId18" Type="http://schemas.openxmlformats.org/officeDocument/2006/relationships/hyperlink" Target="https://naesb.org/pdf4/geh120522w4.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naesb.org/pdf4/geh120522a.docx" TargetMode="External"/><Relationship Id="rId17" Type="http://schemas.openxmlformats.org/officeDocument/2006/relationships/hyperlink" Target="https://naesb.org/pdf4/geh120522w3.docx" TargetMode="External"/><Relationship Id="rId2" Type="http://schemas.openxmlformats.org/officeDocument/2006/relationships/numbering" Target="numbering.xml"/><Relationship Id="rId16" Type="http://schemas.openxmlformats.org/officeDocument/2006/relationships/hyperlink" Target="https://naesb.org/pdf4/geh120522w2.docx" TargetMode="External"/><Relationship Id="rId20" Type="http://schemas.openxmlformats.org/officeDocument/2006/relationships/hyperlink" Target="https://naesb.org/pdf4/geh120522a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_reference_documentation_list.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esb.org/pdf4/geh120522w1.docx" TargetMode="External"/><Relationship Id="rId23" Type="http://schemas.openxmlformats.org/officeDocument/2006/relationships/fontTable" Target="fontTable.xml"/><Relationship Id="rId10" Type="http://schemas.openxmlformats.org/officeDocument/2006/relationships/hyperlink" Target="https://naesb.org/pdf4/geh_schedule.docx" TargetMode="External"/><Relationship Id="rId19" Type="http://schemas.openxmlformats.org/officeDocument/2006/relationships/hyperlink" Target="https://naesb.org/pdf4/geh120522w6.docx" TargetMode="External"/><Relationship Id="rId4" Type="http://schemas.openxmlformats.org/officeDocument/2006/relationships/settings" Target="settings.xml"/><Relationship Id="rId9" Type="http://schemas.openxmlformats.org/officeDocument/2006/relationships/hyperlink" Target="https://naesb.org/pdf4/geh120522chat.docx" TargetMode="External"/><Relationship Id="rId14" Type="http://schemas.openxmlformats.org/officeDocument/2006/relationships/hyperlink" Target="http://www.naesb.org/misc/antitrust_guidance.do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CD6F-5118-4FEA-BDED-A0D726CE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4</cp:revision>
  <cp:lastPrinted>2014-03-31T22:59:00Z</cp:lastPrinted>
  <dcterms:created xsi:type="dcterms:W3CDTF">2023-01-11T19:38:00Z</dcterms:created>
  <dcterms:modified xsi:type="dcterms:W3CDTF">2023-02-22T16:37:00Z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