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56A152B6" w:rsidR="009E4BB5" w:rsidRDefault="00214064">
      <w:pPr>
        <w:ind w:left="1440" w:hanging="1440"/>
        <w:jc w:val="right"/>
        <w:rPr>
          <w:bCs/>
        </w:rPr>
      </w:pPr>
      <w:r>
        <w:rPr>
          <w:bCs/>
        </w:rPr>
        <w:t xml:space="preserve">September </w:t>
      </w:r>
      <w:r w:rsidR="00C262FE">
        <w:rPr>
          <w:bCs/>
        </w:rPr>
        <w:t>1</w:t>
      </w:r>
      <w:r w:rsidR="004C1375">
        <w:rPr>
          <w:bCs/>
        </w:rPr>
        <w:t>6</w:t>
      </w:r>
      <w:r w:rsidR="00DC2709" w:rsidRPr="008933FA">
        <w:rPr>
          <w:bCs/>
        </w:rPr>
        <w:t>, 20</w:t>
      </w:r>
      <w:r w:rsidR="005F7607">
        <w:rPr>
          <w:bCs/>
        </w:rPr>
        <w:t>22</w:t>
      </w:r>
    </w:p>
    <w:p w14:paraId="7DF0C51F" w14:textId="2E9EFC41" w:rsidR="009E4BB5" w:rsidRDefault="009E4BB5" w:rsidP="00A568B8">
      <w:pPr>
        <w:spacing w:before="120"/>
        <w:ind w:left="900" w:hanging="900"/>
        <w:rPr>
          <w:bCs/>
        </w:rPr>
      </w:pPr>
      <w:r>
        <w:rPr>
          <w:b/>
        </w:rPr>
        <w:t xml:space="preserve">TO: </w:t>
      </w:r>
      <w:r>
        <w:rPr>
          <w:b/>
        </w:rPr>
        <w:tab/>
      </w:r>
      <w:r w:rsidR="00214064" w:rsidRPr="00214064">
        <w:rPr>
          <w:bCs/>
        </w:rPr>
        <w:t xml:space="preserve">NAESB </w:t>
      </w:r>
      <w:r w:rsidRPr="00AF291A">
        <w:rPr>
          <w:bCs/>
        </w:rPr>
        <w:t>Gas</w:t>
      </w:r>
      <w:r w:rsidR="00C266A5">
        <w:rPr>
          <w:bCs/>
        </w:rPr>
        <w:t>-</w:t>
      </w:r>
      <w:r w:rsidRPr="00AF291A">
        <w:rPr>
          <w:bCs/>
        </w:rPr>
        <w:t>Electri</w:t>
      </w:r>
      <w:r w:rsidR="00214064">
        <w:rPr>
          <w:bCs/>
        </w:rPr>
        <w:t>c</w:t>
      </w:r>
      <w:r w:rsidR="00A360C0">
        <w:rPr>
          <w:bCs/>
        </w:rPr>
        <w:t xml:space="preserve"> </w:t>
      </w:r>
      <w:r w:rsidR="009B09E5">
        <w:rPr>
          <w:bCs/>
        </w:rPr>
        <w:t>Forum and Interested Parties</w:t>
      </w:r>
    </w:p>
    <w:p w14:paraId="18C73185" w14:textId="49A51E7D" w:rsidR="00767D0B" w:rsidRPr="00AF291A" w:rsidRDefault="00767D0B" w:rsidP="00A568B8">
      <w:pPr>
        <w:spacing w:before="120"/>
        <w:ind w:left="900" w:hanging="900"/>
        <w:rPr>
          <w:bCs/>
        </w:rPr>
      </w:pPr>
      <w:r w:rsidRPr="00767D0B">
        <w:rPr>
          <w:b/>
          <w:bCs/>
        </w:rPr>
        <w:t>cc:</w:t>
      </w:r>
      <w:r w:rsidR="00A568B8">
        <w:rPr>
          <w:bCs/>
        </w:rPr>
        <w:tab/>
      </w:r>
      <w:r w:rsidR="00214064">
        <w:rPr>
          <w:bCs/>
        </w:rPr>
        <w:t xml:space="preserve">NAESB Board of Directors, Executive Committee (EC) Members, EC Alternates, Members, and Advisory Council </w:t>
      </w:r>
    </w:p>
    <w:p w14:paraId="2CC38D84" w14:textId="58B2CF6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14064">
        <w:rPr>
          <w:bCs/>
        </w:rPr>
        <w:t>Rae McQuade, NAESB President &amp; Jonathan Booe, NAESB Executive Vice President &amp; COO</w:t>
      </w:r>
    </w:p>
    <w:p w14:paraId="6518BE64" w14:textId="4F04ACC0"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214064">
        <w:rPr>
          <w:bCs/>
        </w:rPr>
        <w:t xml:space="preserve">NAESB Gas-Electric Forum </w:t>
      </w:r>
      <w:r w:rsidR="00C262FE">
        <w:rPr>
          <w:bCs/>
        </w:rPr>
        <w:t>Survey Responses - September 14, 2022</w:t>
      </w:r>
      <w:r w:rsidR="00272E4E">
        <w:rPr>
          <w:bCs/>
        </w:rPr>
        <w:t xml:space="preserve"> – Responses Related to Item 3</w:t>
      </w:r>
      <w:r w:rsidR="00536468">
        <w:rPr>
          <w:bCs/>
        </w:rPr>
        <w:t>b</w:t>
      </w:r>
    </w:p>
    <w:p w14:paraId="014D0070" w14:textId="28A476D4" w:rsidR="009E4BB5" w:rsidRDefault="009B09E5" w:rsidP="00B92AB7">
      <w:pPr>
        <w:tabs>
          <w:tab w:val="left" w:pos="0"/>
        </w:tabs>
        <w:spacing w:before="360"/>
        <w:jc w:val="both"/>
        <w:rPr>
          <w:bCs/>
        </w:rPr>
      </w:pPr>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p w14:paraId="370B97F7" w14:textId="24C4FB68" w:rsidR="00A017A7" w:rsidRDefault="007725F7" w:rsidP="0064079D">
      <w:pPr>
        <w:autoSpaceDE w:val="0"/>
        <w:autoSpaceDN w:val="0"/>
        <w:adjustRightInd w:val="0"/>
        <w:spacing w:before="80" w:after="80"/>
      </w:pPr>
      <w:r>
        <w:t xml:space="preserve">Please find below the </w:t>
      </w:r>
      <w:r w:rsidR="00AA3C14">
        <w:t>comment</w:t>
      </w:r>
      <w:r w:rsidR="00272E4E">
        <w:t>s</w:t>
      </w:r>
      <w:r w:rsidR="00AA3C14">
        <w:t xml:space="preserve"> received by the NAESB Office in response to the survey/request for comments that was distributed on September 7, 2022 </w:t>
      </w:r>
      <w:hyperlink r:id="rId8" w:history="1">
        <w:r w:rsidR="00AA3C14" w:rsidRPr="00834CC5">
          <w:rPr>
            <w:rStyle w:val="Hyperlink"/>
          </w:rPr>
          <w:t>https://www.naesb.org/pdf4/geh092322w1.docx</w:t>
        </w:r>
      </w:hyperlink>
      <w:r w:rsidR="00AA3C14">
        <w:t xml:space="preserve">.  </w:t>
      </w:r>
      <w:r w:rsidR="00272E4E">
        <w:t>The following responses were submitted regarding question/topic 3</w:t>
      </w:r>
      <w:r w:rsidR="00536468">
        <w:t>b</w:t>
      </w:r>
      <w:r w:rsidR="00272E4E">
        <w:t>:</w:t>
      </w:r>
    </w:p>
    <w:bookmarkEnd w:id="0"/>
    <w:bookmarkEnd w:id="1"/>
    <w:bookmarkEnd w:id="2"/>
    <w:bookmarkEnd w:id="3"/>
    <w:bookmarkEnd w:id="4"/>
    <w:bookmarkEnd w:id="5"/>
    <w:p w14:paraId="2F0BB649" w14:textId="557FDEF7" w:rsidR="00536468" w:rsidRDefault="00536468" w:rsidP="00992DB3">
      <w:pPr>
        <w:autoSpaceDE w:val="0"/>
        <w:autoSpaceDN w:val="0"/>
        <w:adjustRightInd w:val="0"/>
        <w:spacing w:before="80" w:after="80"/>
      </w:pPr>
      <w:r w:rsidRPr="00536468">
        <w:t>Please provide comments and any specific recommendations for the forum attendees to consider regarding [Recommendation 24] “Possible options for increased regasification of liquid natural gas (including possible Jones Act Waivers).”</w:t>
      </w:r>
    </w:p>
    <w:p w14:paraId="25997CE7" w14:textId="77777777" w:rsidR="00536468" w:rsidRDefault="00536468" w:rsidP="00992DB3">
      <w:pPr>
        <w:autoSpaceDE w:val="0"/>
        <w:autoSpaceDN w:val="0"/>
        <w:adjustRightInd w:val="0"/>
        <w:spacing w:before="80" w:after="80"/>
      </w:pP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620"/>
        <w:gridCol w:w="1800"/>
        <w:gridCol w:w="7920"/>
      </w:tblGrid>
      <w:tr w:rsidR="00536468" w14:paraId="2B3E36D0" w14:textId="77777777" w:rsidTr="004F7870">
        <w:trPr>
          <w:trHeight w:val="414"/>
          <w:tblHeader/>
        </w:trPr>
        <w:tc>
          <w:tcPr>
            <w:tcW w:w="13045" w:type="dxa"/>
            <w:gridSpan w:val="5"/>
            <w:tcBorders>
              <w:bottom w:val="double" w:sz="4" w:space="0" w:color="auto"/>
            </w:tcBorders>
            <w:shd w:val="pct10" w:color="auto" w:fill="auto"/>
          </w:tcPr>
          <w:p w14:paraId="2A8E2C17" w14:textId="77777777" w:rsidR="00536468" w:rsidRDefault="00536468" w:rsidP="004F7870">
            <w:pPr>
              <w:pStyle w:val="BodyText"/>
              <w:tabs>
                <w:tab w:val="center" w:pos="4569"/>
              </w:tabs>
              <w:spacing w:before="60" w:after="60"/>
              <w:jc w:val="center"/>
            </w:pPr>
            <w:bookmarkStart w:id="6" w:name="_Hlk114058723"/>
            <w:r w:rsidRPr="007A306B">
              <w:rPr>
                <w:b/>
                <w:bCs/>
                <w:sz w:val="20"/>
              </w:rPr>
              <w:br w:type="page"/>
            </w:r>
            <w:r>
              <w:rPr>
                <w:b/>
                <w:bCs/>
                <w:smallCaps/>
                <w:sz w:val="20"/>
              </w:rPr>
              <w:t>Responses Submitted by September 14, 2022 – 3b</w:t>
            </w:r>
          </w:p>
        </w:tc>
      </w:tr>
      <w:tr w:rsidR="00536468" w14:paraId="32D90589" w14:textId="77777777" w:rsidTr="004F7870">
        <w:trPr>
          <w:tblHeader/>
        </w:trPr>
        <w:tc>
          <w:tcPr>
            <w:tcW w:w="1705" w:type="dxa"/>
            <w:gridSpan w:val="2"/>
            <w:tcBorders>
              <w:top w:val="double" w:sz="4" w:space="0" w:color="auto"/>
              <w:bottom w:val="single" w:sz="4" w:space="0" w:color="auto"/>
            </w:tcBorders>
            <w:shd w:val="pct10" w:color="auto" w:fill="auto"/>
          </w:tcPr>
          <w:p w14:paraId="0CC995D8" w14:textId="77777777" w:rsidR="00536468" w:rsidRPr="007A306B" w:rsidRDefault="00536468" w:rsidP="004F7870">
            <w:pPr>
              <w:autoSpaceDE w:val="0"/>
              <w:autoSpaceDN w:val="0"/>
              <w:adjustRightInd w:val="0"/>
              <w:spacing w:before="80" w:after="80"/>
              <w:rPr>
                <w:b/>
                <w:bCs/>
              </w:rPr>
            </w:pPr>
            <w:r>
              <w:rPr>
                <w:b/>
                <w:bCs/>
              </w:rPr>
              <w:t>Question/Topic</w:t>
            </w:r>
          </w:p>
        </w:tc>
        <w:tc>
          <w:tcPr>
            <w:tcW w:w="11340" w:type="dxa"/>
            <w:gridSpan w:val="3"/>
            <w:tcBorders>
              <w:top w:val="double" w:sz="4" w:space="0" w:color="auto"/>
              <w:bottom w:val="single" w:sz="4" w:space="0" w:color="auto"/>
            </w:tcBorders>
            <w:shd w:val="pct10" w:color="auto" w:fill="auto"/>
          </w:tcPr>
          <w:p w14:paraId="2C862F80" w14:textId="77777777" w:rsidR="00536468" w:rsidRDefault="00536468" w:rsidP="004F7870">
            <w:pPr>
              <w:autoSpaceDE w:val="0"/>
              <w:autoSpaceDN w:val="0"/>
              <w:adjustRightInd w:val="0"/>
              <w:spacing w:before="80" w:after="80"/>
              <w:rPr>
                <w:b/>
                <w:bCs/>
              </w:rPr>
            </w:pPr>
            <w:r>
              <w:t xml:space="preserve">3b. </w:t>
            </w:r>
            <w:bookmarkStart w:id="7" w:name="_Hlk114146565"/>
            <w:r w:rsidRPr="006609A5">
              <w:t>Please provide comments and any specific recommendations for the forum attendees to consider regarding [Recommendation 24] “Possible options for increased regasification of liquid natural gas (including possible Jones Act Waivers).”</w:t>
            </w:r>
            <w:bookmarkEnd w:id="7"/>
          </w:p>
        </w:tc>
      </w:tr>
      <w:tr w:rsidR="00536468" w14:paraId="28D9F6CC" w14:textId="77777777" w:rsidTr="004F7870">
        <w:trPr>
          <w:tblHeader/>
        </w:trPr>
        <w:tc>
          <w:tcPr>
            <w:tcW w:w="265" w:type="dxa"/>
            <w:tcBorders>
              <w:top w:val="single" w:sz="4" w:space="0" w:color="auto"/>
              <w:bottom w:val="single" w:sz="4" w:space="0" w:color="auto"/>
            </w:tcBorders>
            <w:shd w:val="clear" w:color="auto" w:fill="auto"/>
          </w:tcPr>
          <w:p w14:paraId="4AB62FE9" w14:textId="77777777" w:rsidR="00536468" w:rsidRDefault="00536468" w:rsidP="004F7870">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4A58E100" w14:textId="77777777" w:rsidR="00536468" w:rsidRDefault="00536468" w:rsidP="004F7870">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4EBC914B" w14:textId="77777777" w:rsidR="00536468" w:rsidRDefault="00536468" w:rsidP="004F7870">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331ED159" w14:textId="77777777" w:rsidR="00536468" w:rsidRDefault="00536468" w:rsidP="004F7870">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40521AC6" w14:textId="77777777" w:rsidR="00536468" w:rsidRDefault="00536468" w:rsidP="004F7870">
            <w:pPr>
              <w:autoSpaceDE w:val="0"/>
              <w:autoSpaceDN w:val="0"/>
              <w:adjustRightInd w:val="0"/>
              <w:spacing w:before="80" w:after="80"/>
              <w:rPr>
                <w:b/>
                <w:bCs/>
              </w:rPr>
            </w:pPr>
            <w:r>
              <w:rPr>
                <w:b/>
                <w:bCs/>
              </w:rPr>
              <w:t>Comment &amp; Specific Recommendation</w:t>
            </w:r>
          </w:p>
        </w:tc>
      </w:tr>
      <w:tr w:rsidR="00536468" w14:paraId="25FDF25E" w14:textId="77777777" w:rsidTr="004F7870">
        <w:tc>
          <w:tcPr>
            <w:tcW w:w="265" w:type="dxa"/>
            <w:shd w:val="clear" w:color="auto" w:fill="auto"/>
          </w:tcPr>
          <w:p w14:paraId="4CDDB3EB" w14:textId="77777777" w:rsidR="00536468" w:rsidRDefault="00536468" w:rsidP="004F7870">
            <w:pPr>
              <w:autoSpaceDE w:val="0"/>
              <w:autoSpaceDN w:val="0"/>
              <w:adjustRightInd w:val="0"/>
              <w:spacing w:before="80" w:after="80"/>
              <w:ind w:left="-112" w:right="-107"/>
              <w:jc w:val="center"/>
            </w:pPr>
            <w:r>
              <w:t>1</w:t>
            </w:r>
          </w:p>
        </w:tc>
        <w:tc>
          <w:tcPr>
            <w:tcW w:w="1440" w:type="dxa"/>
            <w:shd w:val="clear" w:color="auto" w:fill="auto"/>
          </w:tcPr>
          <w:p w14:paraId="704C26F8" w14:textId="77777777" w:rsidR="00536468" w:rsidRDefault="00536468" w:rsidP="004F7870">
            <w:pPr>
              <w:autoSpaceDE w:val="0"/>
              <w:autoSpaceDN w:val="0"/>
              <w:adjustRightInd w:val="0"/>
              <w:spacing w:before="80" w:after="80"/>
            </w:pPr>
            <w:r>
              <w:t>LS Power</w:t>
            </w:r>
          </w:p>
        </w:tc>
        <w:tc>
          <w:tcPr>
            <w:tcW w:w="1620" w:type="dxa"/>
            <w:shd w:val="clear" w:color="auto" w:fill="auto"/>
          </w:tcPr>
          <w:p w14:paraId="347FE7D0" w14:textId="77777777" w:rsidR="00536468" w:rsidRPr="001A3C59" w:rsidRDefault="00536468" w:rsidP="004F7870">
            <w:pPr>
              <w:autoSpaceDE w:val="0"/>
              <w:autoSpaceDN w:val="0"/>
              <w:adjustRightInd w:val="0"/>
              <w:spacing w:before="80" w:after="80"/>
            </w:pPr>
            <w:r>
              <w:t>Marji Phillips</w:t>
            </w:r>
          </w:p>
        </w:tc>
        <w:tc>
          <w:tcPr>
            <w:tcW w:w="1800" w:type="dxa"/>
          </w:tcPr>
          <w:p w14:paraId="29ECE9CF" w14:textId="77777777" w:rsidR="00536468" w:rsidRPr="001A3C59" w:rsidRDefault="00536468" w:rsidP="004F7870">
            <w:pPr>
              <w:autoSpaceDE w:val="0"/>
              <w:autoSpaceDN w:val="0"/>
              <w:adjustRightInd w:val="0"/>
              <w:spacing w:before="80" w:after="80"/>
            </w:pPr>
            <w:r>
              <w:t>WEQ – Generator</w:t>
            </w:r>
          </w:p>
        </w:tc>
        <w:tc>
          <w:tcPr>
            <w:tcW w:w="7920" w:type="dxa"/>
          </w:tcPr>
          <w:p w14:paraId="00D27C7A" w14:textId="77777777" w:rsidR="00536468" w:rsidRPr="001A3C59" w:rsidRDefault="00536468" w:rsidP="004F7870">
            <w:pPr>
              <w:autoSpaceDE w:val="0"/>
              <w:autoSpaceDN w:val="0"/>
              <w:adjustRightInd w:val="0"/>
              <w:spacing w:before="80" w:after="80"/>
            </w:pPr>
            <w:r w:rsidRPr="006609A5">
              <w:t>It is likely that it will take more than Jones Act Waivers.  It is about reserving the ships, competing with Europe and other countries willing to pay more for LNG than US counterparts.</w:t>
            </w:r>
          </w:p>
        </w:tc>
      </w:tr>
      <w:tr w:rsidR="00536468" w14:paraId="2612CD31" w14:textId="77777777" w:rsidTr="004F7870">
        <w:tc>
          <w:tcPr>
            <w:tcW w:w="265" w:type="dxa"/>
            <w:shd w:val="clear" w:color="auto" w:fill="auto"/>
          </w:tcPr>
          <w:p w14:paraId="1A47D3C6" w14:textId="77777777" w:rsidR="00536468" w:rsidRDefault="00536468" w:rsidP="004F7870">
            <w:pPr>
              <w:autoSpaceDE w:val="0"/>
              <w:autoSpaceDN w:val="0"/>
              <w:adjustRightInd w:val="0"/>
              <w:spacing w:before="80" w:after="80"/>
              <w:ind w:left="-112" w:right="-107"/>
              <w:jc w:val="center"/>
            </w:pPr>
            <w:r>
              <w:t>2</w:t>
            </w:r>
          </w:p>
        </w:tc>
        <w:tc>
          <w:tcPr>
            <w:tcW w:w="1440" w:type="dxa"/>
            <w:shd w:val="clear" w:color="auto" w:fill="auto"/>
          </w:tcPr>
          <w:p w14:paraId="509406D1" w14:textId="77777777" w:rsidR="00536468" w:rsidRDefault="00536468" w:rsidP="004F7870">
            <w:pPr>
              <w:autoSpaceDE w:val="0"/>
              <w:autoSpaceDN w:val="0"/>
              <w:adjustRightInd w:val="0"/>
              <w:spacing w:before="80" w:after="80"/>
            </w:pPr>
            <w:r>
              <w:t>Aspen Environmental Group</w:t>
            </w:r>
          </w:p>
        </w:tc>
        <w:tc>
          <w:tcPr>
            <w:tcW w:w="1620" w:type="dxa"/>
            <w:shd w:val="clear" w:color="auto" w:fill="auto"/>
          </w:tcPr>
          <w:p w14:paraId="59D664BE" w14:textId="77777777" w:rsidR="00536468" w:rsidRDefault="00536468" w:rsidP="004F7870">
            <w:pPr>
              <w:autoSpaceDE w:val="0"/>
              <w:autoSpaceDN w:val="0"/>
              <w:adjustRightInd w:val="0"/>
              <w:spacing w:before="80" w:after="80"/>
            </w:pPr>
            <w:r>
              <w:t>Catherine Elder</w:t>
            </w:r>
          </w:p>
        </w:tc>
        <w:tc>
          <w:tcPr>
            <w:tcW w:w="1800" w:type="dxa"/>
          </w:tcPr>
          <w:p w14:paraId="10E3A2E5" w14:textId="77777777" w:rsidR="00536468" w:rsidRDefault="00536468" w:rsidP="004F7870">
            <w:pPr>
              <w:autoSpaceDE w:val="0"/>
              <w:autoSpaceDN w:val="0"/>
              <w:adjustRightInd w:val="0"/>
              <w:spacing w:before="80" w:after="80"/>
            </w:pPr>
            <w:r>
              <w:t>Other/Observer</w:t>
            </w:r>
          </w:p>
        </w:tc>
        <w:tc>
          <w:tcPr>
            <w:tcW w:w="7920" w:type="dxa"/>
          </w:tcPr>
          <w:p w14:paraId="07ECE4D1" w14:textId="77777777" w:rsidR="00536468" w:rsidRDefault="00536468" w:rsidP="004F7870">
            <w:pPr>
              <w:autoSpaceDE w:val="0"/>
              <w:autoSpaceDN w:val="0"/>
              <w:adjustRightInd w:val="0"/>
              <w:spacing w:before="80" w:after="80"/>
            </w:pPr>
            <w:r w:rsidRPr="006609A5">
              <w:t xml:space="preserve">It isn’t clear to me how the Jones Act waiver helps when we are exporting so much gas as LNG.  Rather, simply reduce the export, though that has international geopolitical repercussions as well as potential contract interference issues.  I suppose suspending the Jones Act would help those that are able to find a cargo in transit but cannot take delivery because the carrier is not US-flagged.  But even then, several days could pass by the time the carrier reaches a US import terminal and the gas enters our pipeline system, making its usefulness in an emergency less than clear. Instead, I think it makes more sense to encourage more LNG needle peaking units astride existing pipelines (that have capacity available during winter) or located near generators.  These units, of course, cost more than pipeline capacity so we get back to the question of how to pay for them – perhaps a reliability surcharge ultimately makes sense.  More underground gas </w:t>
            </w:r>
            <w:r w:rsidRPr="006609A5">
              <w:lastRenderedPageBreak/>
              <w:t>storage could help, too, but clearly the merchant/option pricing approach has not resulted in large amounts of gas storage being added in recent decades.  Should the ultimate approach be to create emergency declaration with associated intervention powers, though, I don’t see a reason not to include temporary waiver of the Jones Act for purchase and delivery of spot cargos.</w:t>
            </w:r>
          </w:p>
        </w:tc>
      </w:tr>
      <w:tr w:rsidR="00536468" w14:paraId="3217B164" w14:textId="77777777" w:rsidTr="004F7870">
        <w:tc>
          <w:tcPr>
            <w:tcW w:w="265" w:type="dxa"/>
            <w:shd w:val="clear" w:color="auto" w:fill="auto"/>
          </w:tcPr>
          <w:p w14:paraId="3A568B2C" w14:textId="77777777" w:rsidR="00536468" w:rsidRDefault="00536468" w:rsidP="004F7870">
            <w:pPr>
              <w:autoSpaceDE w:val="0"/>
              <w:autoSpaceDN w:val="0"/>
              <w:adjustRightInd w:val="0"/>
              <w:spacing w:before="80" w:after="80"/>
              <w:ind w:left="-112" w:right="-107"/>
              <w:jc w:val="center"/>
            </w:pPr>
            <w:r>
              <w:lastRenderedPageBreak/>
              <w:t>3</w:t>
            </w:r>
          </w:p>
        </w:tc>
        <w:tc>
          <w:tcPr>
            <w:tcW w:w="1440" w:type="dxa"/>
            <w:shd w:val="clear" w:color="auto" w:fill="auto"/>
          </w:tcPr>
          <w:p w14:paraId="2525DD92" w14:textId="77777777" w:rsidR="00536468" w:rsidRDefault="00536468" w:rsidP="004F7870">
            <w:pPr>
              <w:autoSpaceDE w:val="0"/>
              <w:autoSpaceDN w:val="0"/>
              <w:adjustRightInd w:val="0"/>
              <w:spacing w:before="80" w:after="80"/>
            </w:pPr>
            <w:r>
              <w:t>Natural Gas Supply Association</w:t>
            </w:r>
          </w:p>
        </w:tc>
        <w:tc>
          <w:tcPr>
            <w:tcW w:w="1620" w:type="dxa"/>
            <w:shd w:val="clear" w:color="auto" w:fill="auto"/>
          </w:tcPr>
          <w:p w14:paraId="38B1E190" w14:textId="77777777" w:rsidR="00536468" w:rsidRDefault="00536468" w:rsidP="004F7870">
            <w:pPr>
              <w:autoSpaceDE w:val="0"/>
              <w:autoSpaceDN w:val="0"/>
              <w:adjustRightInd w:val="0"/>
              <w:spacing w:before="80" w:after="80"/>
            </w:pPr>
            <w:r>
              <w:t>Pat Jagtiani</w:t>
            </w:r>
          </w:p>
        </w:tc>
        <w:tc>
          <w:tcPr>
            <w:tcW w:w="1800" w:type="dxa"/>
          </w:tcPr>
          <w:p w14:paraId="1B271BA5" w14:textId="77777777" w:rsidR="00536468" w:rsidRDefault="00536468" w:rsidP="004F7870">
            <w:pPr>
              <w:autoSpaceDE w:val="0"/>
              <w:autoSpaceDN w:val="0"/>
              <w:adjustRightInd w:val="0"/>
              <w:spacing w:before="80" w:after="80"/>
            </w:pPr>
            <w:r>
              <w:t>WGQ Producer</w:t>
            </w:r>
          </w:p>
        </w:tc>
        <w:tc>
          <w:tcPr>
            <w:tcW w:w="7920" w:type="dxa"/>
          </w:tcPr>
          <w:p w14:paraId="465C439C" w14:textId="77777777" w:rsidR="00536468" w:rsidRDefault="00536468" w:rsidP="004F7870">
            <w:pPr>
              <w:autoSpaceDE w:val="0"/>
              <w:autoSpaceDN w:val="0"/>
              <w:adjustRightInd w:val="0"/>
              <w:spacing w:before="80" w:after="80"/>
            </w:pPr>
            <w:r>
              <w:t xml:space="preserve">As noted above, the primary obstacle hampering adequate LNG options is the inability of gas generators to recover the fixed costs associated with such investments and significant market design improvements must be made to reflect the value of reliability so that generators will be motivated to contract for such services.  If the market does not provide the proper signals to attract sufficient resources required for grid reliability, additional market-based products should be considered. </w:t>
            </w:r>
          </w:p>
          <w:p w14:paraId="5C9A9A20" w14:textId="77777777" w:rsidR="00536468" w:rsidRPr="00B73B47" w:rsidRDefault="00536468" w:rsidP="004F7870">
            <w:pPr>
              <w:autoSpaceDE w:val="0"/>
              <w:autoSpaceDN w:val="0"/>
              <w:adjustRightInd w:val="0"/>
              <w:spacing w:before="80" w:after="80"/>
            </w:pPr>
            <w:r>
              <w:t>Recently, in an August 18 letter to Massachusetts Governor Baker, Energy Secretary Granholm stated that the Department of Homeland Security will consider waivers to the Jones Act on a case-by-case basis.</w:t>
            </w:r>
            <w:r>
              <w:rPr>
                <w:rStyle w:val="FootnoteReference"/>
              </w:rPr>
              <w:footnoteReference w:id="1"/>
            </w:r>
            <w:r>
              <w:t xml:space="preserve">   Absent any additional legislation, we will continue to rely on individual determinations, which may not provide the level of fuel security required to ensure that sufficient resources are available to maintain reliability.   </w:t>
            </w:r>
          </w:p>
        </w:tc>
      </w:tr>
      <w:tr w:rsidR="00536468" w14:paraId="769D0C16" w14:textId="77777777" w:rsidTr="004F7870">
        <w:tc>
          <w:tcPr>
            <w:tcW w:w="265" w:type="dxa"/>
            <w:shd w:val="clear" w:color="auto" w:fill="auto"/>
          </w:tcPr>
          <w:p w14:paraId="51FD1528" w14:textId="77777777" w:rsidR="00536468" w:rsidRDefault="00536468" w:rsidP="004F7870">
            <w:pPr>
              <w:autoSpaceDE w:val="0"/>
              <w:autoSpaceDN w:val="0"/>
              <w:adjustRightInd w:val="0"/>
              <w:spacing w:before="80" w:after="80"/>
              <w:ind w:left="-112" w:right="-107"/>
              <w:jc w:val="center"/>
            </w:pPr>
            <w:r>
              <w:t>4</w:t>
            </w:r>
          </w:p>
        </w:tc>
        <w:tc>
          <w:tcPr>
            <w:tcW w:w="1440" w:type="dxa"/>
            <w:shd w:val="clear" w:color="auto" w:fill="auto"/>
          </w:tcPr>
          <w:p w14:paraId="75217279" w14:textId="77777777" w:rsidR="00536468" w:rsidRDefault="00536468" w:rsidP="004F7870">
            <w:pPr>
              <w:autoSpaceDE w:val="0"/>
              <w:autoSpaceDN w:val="0"/>
              <w:adjustRightInd w:val="0"/>
              <w:spacing w:before="80" w:after="80"/>
            </w:pPr>
            <w:r>
              <w:t>Process Gas Consumers Group &amp; American Forest Paper Association</w:t>
            </w:r>
          </w:p>
        </w:tc>
        <w:tc>
          <w:tcPr>
            <w:tcW w:w="1620" w:type="dxa"/>
            <w:shd w:val="clear" w:color="auto" w:fill="auto"/>
          </w:tcPr>
          <w:p w14:paraId="1F318F15" w14:textId="77777777" w:rsidR="00536468" w:rsidRDefault="00536468" w:rsidP="004F7870">
            <w:pPr>
              <w:autoSpaceDE w:val="0"/>
              <w:autoSpaceDN w:val="0"/>
              <w:adjustRightInd w:val="0"/>
              <w:spacing w:before="80" w:after="80"/>
            </w:pPr>
            <w:r>
              <w:t>Andrea Chambers</w:t>
            </w:r>
          </w:p>
        </w:tc>
        <w:tc>
          <w:tcPr>
            <w:tcW w:w="1800" w:type="dxa"/>
          </w:tcPr>
          <w:p w14:paraId="4B4AEDAC" w14:textId="77777777" w:rsidR="00536468" w:rsidRDefault="00536468" w:rsidP="004F7870">
            <w:pPr>
              <w:autoSpaceDE w:val="0"/>
              <w:autoSpaceDN w:val="0"/>
              <w:adjustRightInd w:val="0"/>
              <w:spacing w:before="80" w:after="80"/>
            </w:pPr>
            <w:r>
              <w:t>WGQ End User</w:t>
            </w:r>
          </w:p>
        </w:tc>
        <w:tc>
          <w:tcPr>
            <w:tcW w:w="7920" w:type="dxa"/>
          </w:tcPr>
          <w:p w14:paraId="148CBF8C" w14:textId="77777777" w:rsidR="00536468" w:rsidRDefault="00536468" w:rsidP="004F7870">
            <w:r w:rsidRPr="00015C7B">
              <w:t xml:space="preserve">The increased regasification of liquified natural gas (“LNG”) in capacity constrained regions is not without infrastructure components.  For example, both options will require some amount of storage infrastructure to be built as well as local pipelines to deliver the commodity to the end user.  The storage component of this option will not completely negate the capacity constraints because there is a limited amount of storage capacity in these regions as well.  Moreover, importing LNG and foreign gas will also expose consumers to increased price volatility because the imports will subject to macroeconomic pricing as well as any foreign and domestic tariffs.  </w:t>
            </w:r>
            <w:r w:rsidRPr="00015C7B">
              <w:lastRenderedPageBreak/>
              <w:t xml:space="preserve">However, other regions, like the Pacific Northwest, rely on market-area storage to supply winter supply needs and LNG for peak-shaving events to avoid curtailment of load in peak seasons without the need to build additional pipeline capacity from the production areas.  It is critical that each region plan ahead and have in place adequate infrastructure to serve their loads. </w:t>
            </w:r>
          </w:p>
        </w:tc>
      </w:tr>
      <w:bookmarkEnd w:id="6"/>
    </w:tbl>
    <w:p w14:paraId="2DB35AE1" w14:textId="77777777" w:rsidR="00992DB3" w:rsidRDefault="00992DB3" w:rsidP="00992DB3">
      <w:pPr>
        <w:autoSpaceDE w:val="0"/>
        <w:autoSpaceDN w:val="0"/>
        <w:adjustRightInd w:val="0"/>
        <w:spacing w:before="80" w:after="80"/>
      </w:pPr>
    </w:p>
    <w:p w14:paraId="2954A99F" w14:textId="77777777" w:rsidR="00992DB3" w:rsidRPr="00BF45BA" w:rsidRDefault="00992DB3" w:rsidP="00992DB3">
      <w:pPr>
        <w:pStyle w:val="BodyText"/>
      </w:pPr>
    </w:p>
    <w:sectPr w:rsidR="00992DB3" w:rsidRPr="00BF45BA" w:rsidSect="008D6D30">
      <w:headerReference w:type="default" r:id="rId9"/>
      <w:footerReference w:type="default" r:id="rId10"/>
      <w:pgSz w:w="15840" w:h="12240" w:orient="landscape" w:code="1"/>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54C84" w14:textId="77777777" w:rsidR="00845B84" w:rsidRDefault="00845B84">
      <w:r>
        <w:separator/>
      </w:r>
    </w:p>
  </w:endnote>
  <w:endnote w:type="continuationSeparator" w:id="0">
    <w:p w14:paraId="6602179E" w14:textId="77777777" w:rsidR="00845B84" w:rsidRDefault="0084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6225D6D9" w:rsidR="00460D78" w:rsidRDefault="00460D78" w:rsidP="00AA10A5">
    <w:pPr>
      <w:pStyle w:val="Footer"/>
      <w:pBdr>
        <w:top w:val="single" w:sz="18" w:space="1" w:color="auto"/>
      </w:pBdr>
      <w:jc w:val="right"/>
    </w:pPr>
    <w:r>
      <w:t xml:space="preserve">NAESB Gas-Electric </w:t>
    </w:r>
    <w:r w:rsidR="007725F7">
      <w:t xml:space="preserve">Forum </w:t>
    </w:r>
    <w:r w:rsidR="00674943">
      <w:t>– Comment Responses</w:t>
    </w:r>
  </w:p>
  <w:p w14:paraId="0F68237E" w14:textId="452E9703" w:rsidR="00674943" w:rsidRDefault="00674943" w:rsidP="00AA10A5">
    <w:pPr>
      <w:pStyle w:val="Footer"/>
      <w:pBdr>
        <w:top w:val="single" w:sz="18" w:space="1" w:color="auto"/>
      </w:pBdr>
      <w:jc w:val="right"/>
    </w:pPr>
    <w:r>
      <w:t>September 14, 2022</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fldSimple w:instr=" NUMPAGES ">
      <w:r w:rsidR="00AE78B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0CA7B" w14:textId="77777777" w:rsidR="00845B84" w:rsidRDefault="00845B84">
      <w:r>
        <w:separator/>
      </w:r>
    </w:p>
  </w:footnote>
  <w:footnote w:type="continuationSeparator" w:id="0">
    <w:p w14:paraId="7DE80ACE" w14:textId="77777777" w:rsidR="00845B84" w:rsidRDefault="00845B84">
      <w:r>
        <w:continuationSeparator/>
      </w:r>
    </w:p>
  </w:footnote>
  <w:footnote w:id="1">
    <w:p w14:paraId="01E5AAF9" w14:textId="77777777" w:rsidR="00536468" w:rsidRDefault="00536468" w:rsidP="00536468">
      <w:pPr>
        <w:pStyle w:val="FootnoteText"/>
      </w:pPr>
      <w:r>
        <w:rPr>
          <w:rStyle w:val="FootnoteReference"/>
        </w:rPr>
        <w:footnoteRef/>
      </w:r>
      <w:r>
        <w:t xml:space="preserve"> </w:t>
      </w:r>
      <w:r w:rsidRPr="006B1A98">
        <w:t>Granholm, Jennifer. The Secretary of Energy. August 18, 2022. Letter to the Honorable Charles D. Baker, Governor of the Commonwealth of Massachusetts. “With regard to the Jones Act, the Department of Homeland Security (DHS), which reviews waiver requests under the Jones Act, has a process in place to expeditiously review any requests for waivers, and the Secretary of Homeland Security will make a determination for each request consistent with the requirements of 46 U.S.C. § 501. While the law does not enable DHS to issue pre-emptive blanket waivers, DHS will expeditiously consider each individual waiver request to determine if the waiver is necessary in the interest of national defense. DOE is a consulting agency for Jones Act waiver requests related to energy, and the Department works closely with DHS to provide input into how energy supplies impact national defense interests,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00C702FA" w:rsidR="00460D78" w:rsidRDefault="008D206F">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0ECD0139">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sidR="00460D78">
      <w:rPr>
        <w:noProof/>
      </w:rPr>
      <mc:AlternateContent>
        <mc:Choice Requires="wps">
          <w:drawing>
            <wp:anchor distT="0" distB="0" distL="114300" distR="114300" simplePos="0" relativeHeight="251659264" behindDoc="1" locked="0" layoutInCell="1" allowOverlap="1" wp14:anchorId="0E93B66D" wp14:editId="06A0E434">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460D78" w:rsidRDefault="00460D78"/>
                </w:txbxContent>
              </v:textbox>
            </v:rect>
          </w:pict>
        </mc:Fallback>
      </mc:AlternateContent>
    </w:r>
  </w:p>
  <w:p w14:paraId="089AE41F" w14:textId="60B61EA0"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6F38C68B" w:rsidR="00460D78" w:rsidRDefault="005947A1">
    <w:pPr>
      <w:pStyle w:val="Header"/>
      <w:tabs>
        <w:tab w:val="left" w:pos="680"/>
        <w:tab w:val="right" w:pos="9810"/>
      </w:tabs>
      <w:spacing w:before="60"/>
      <w:ind w:left="1800"/>
      <w:jc w:val="right"/>
    </w:pPr>
    <w:r>
      <w:t>1415 Louisiana St.</w:t>
    </w:r>
    <w:r w:rsidR="00460D78">
      <w:t xml:space="preserve">, Suite </w:t>
    </w:r>
    <w:r>
      <w:t>3460</w:t>
    </w:r>
    <w:r w:rsidR="00460D78">
      <w:t>, Houston, Texas 77002</w:t>
    </w:r>
  </w:p>
  <w:p w14:paraId="3A017125" w14:textId="7753A030" w:rsidR="00460D78" w:rsidRDefault="00460D78">
    <w:pPr>
      <w:pStyle w:val="Header"/>
      <w:ind w:left="1800"/>
      <w:jc w:val="right"/>
    </w:pPr>
    <w:r>
      <w:t>Phone: (713) 356-0060, Fax: (713) 356-0067, E-mail: naesb@naesb.org</w:t>
    </w:r>
  </w:p>
  <w:p w14:paraId="645E707B" w14:textId="5D61F960"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366F2BE6"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6E1099"/>
    <w:multiLevelType w:val="hybridMultilevel"/>
    <w:tmpl w:val="EE0862C8"/>
    <w:lvl w:ilvl="0" w:tplc="141603E4">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BEF40798">
      <w:numFmt w:val="bullet"/>
      <w:lvlText w:val="•"/>
      <w:lvlJc w:val="left"/>
      <w:pPr>
        <w:ind w:left="2930" w:hanging="514"/>
      </w:pPr>
      <w:rPr>
        <w:rFonts w:hint="default"/>
      </w:rPr>
    </w:lvl>
    <w:lvl w:ilvl="2" w:tplc="C30A0642">
      <w:numFmt w:val="bullet"/>
      <w:lvlText w:val="•"/>
      <w:lvlJc w:val="left"/>
      <w:pPr>
        <w:ind w:left="3880" w:hanging="514"/>
      </w:pPr>
      <w:rPr>
        <w:rFonts w:hint="default"/>
      </w:rPr>
    </w:lvl>
    <w:lvl w:ilvl="3" w:tplc="55609D00">
      <w:numFmt w:val="bullet"/>
      <w:lvlText w:val="•"/>
      <w:lvlJc w:val="left"/>
      <w:pPr>
        <w:ind w:left="4830" w:hanging="514"/>
      </w:pPr>
      <w:rPr>
        <w:rFonts w:hint="default"/>
      </w:rPr>
    </w:lvl>
    <w:lvl w:ilvl="4" w:tplc="7CEC0D28">
      <w:numFmt w:val="bullet"/>
      <w:lvlText w:val="•"/>
      <w:lvlJc w:val="left"/>
      <w:pPr>
        <w:ind w:left="5780" w:hanging="514"/>
      </w:pPr>
      <w:rPr>
        <w:rFonts w:hint="default"/>
      </w:rPr>
    </w:lvl>
    <w:lvl w:ilvl="5" w:tplc="08B0B9A0">
      <w:numFmt w:val="bullet"/>
      <w:lvlText w:val="•"/>
      <w:lvlJc w:val="left"/>
      <w:pPr>
        <w:ind w:left="6730" w:hanging="514"/>
      </w:pPr>
      <w:rPr>
        <w:rFonts w:hint="default"/>
      </w:rPr>
    </w:lvl>
    <w:lvl w:ilvl="6" w:tplc="AA505664">
      <w:numFmt w:val="bullet"/>
      <w:lvlText w:val="•"/>
      <w:lvlJc w:val="left"/>
      <w:pPr>
        <w:ind w:left="7680" w:hanging="514"/>
      </w:pPr>
      <w:rPr>
        <w:rFonts w:hint="default"/>
      </w:rPr>
    </w:lvl>
    <w:lvl w:ilvl="7" w:tplc="B93CBC62">
      <w:numFmt w:val="bullet"/>
      <w:lvlText w:val="•"/>
      <w:lvlJc w:val="left"/>
      <w:pPr>
        <w:ind w:left="8630" w:hanging="514"/>
      </w:pPr>
      <w:rPr>
        <w:rFonts w:hint="default"/>
      </w:rPr>
    </w:lvl>
    <w:lvl w:ilvl="8" w:tplc="9FBEC0DE">
      <w:numFmt w:val="bullet"/>
      <w:lvlText w:val="•"/>
      <w:lvlJc w:val="left"/>
      <w:pPr>
        <w:ind w:left="9580" w:hanging="514"/>
      </w:pPr>
      <w:rPr>
        <w:rFonts w:hint="default"/>
      </w:rPr>
    </w:lvl>
  </w:abstractNum>
  <w:abstractNum w:abstractNumId="3"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57880"/>
    <w:multiLevelType w:val="hybridMultilevel"/>
    <w:tmpl w:val="2662D934"/>
    <w:lvl w:ilvl="0" w:tplc="58147318">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EBE0A67E">
      <w:numFmt w:val="bullet"/>
      <w:lvlText w:val="•"/>
      <w:lvlJc w:val="left"/>
      <w:pPr>
        <w:ind w:left="2930" w:hanging="514"/>
      </w:pPr>
      <w:rPr>
        <w:rFonts w:hint="default"/>
      </w:rPr>
    </w:lvl>
    <w:lvl w:ilvl="2" w:tplc="B4187B42">
      <w:numFmt w:val="bullet"/>
      <w:lvlText w:val="•"/>
      <w:lvlJc w:val="left"/>
      <w:pPr>
        <w:ind w:left="3880" w:hanging="514"/>
      </w:pPr>
      <w:rPr>
        <w:rFonts w:hint="default"/>
      </w:rPr>
    </w:lvl>
    <w:lvl w:ilvl="3" w:tplc="1B062232">
      <w:numFmt w:val="bullet"/>
      <w:lvlText w:val="•"/>
      <w:lvlJc w:val="left"/>
      <w:pPr>
        <w:ind w:left="4830" w:hanging="514"/>
      </w:pPr>
      <w:rPr>
        <w:rFonts w:hint="default"/>
      </w:rPr>
    </w:lvl>
    <w:lvl w:ilvl="4" w:tplc="54468F20">
      <w:numFmt w:val="bullet"/>
      <w:lvlText w:val="•"/>
      <w:lvlJc w:val="left"/>
      <w:pPr>
        <w:ind w:left="5780" w:hanging="514"/>
      </w:pPr>
      <w:rPr>
        <w:rFonts w:hint="default"/>
      </w:rPr>
    </w:lvl>
    <w:lvl w:ilvl="5" w:tplc="547EC03C">
      <w:numFmt w:val="bullet"/>
      <w:lvlText w:val="•"/>
      <w:lvlJc w:val="left"/>
      <w:pPr>
        <w:ind w:left="6730" w:hanging="514"/>
      </w:pPr>
      <w:rPr>
        <w:rFonts w:hint="default"/>
      </w:rPr>
    </w:lvl>
    <w:lvl w:ilvl="6" w:tplc="6A5E0AE6">
      <w:numFmt w:val="bullet"/>
      <w:lvlText w:val="•"/>
      <w:lvlJc w:val="left"/>
      <w:pPr>
        <w:ind w:left="7680" w:hanging="514"/>
      </w:pPr>
      <w:rPr>
        <w:rFonts w:hint="default"/>
      </w:rPr>
    </w:lvl>
    <w:lvl w:ilvl="7" w:tplc="9CCA8F20">
      <w:numFmt w:val="bullet"/>
      <w:lvlText w:val="•"/>
      <w:lvlJc w:val="left"/>
      <w:pPr>
        <w:ind w:left="8630" w:hanging="514"/>
      </w:pPr>
      <w:rPr>
        <w:rFonts w:hint="default"/>
      </w:rPr>
    </w:lvl>
    <w:lvl w:ilvl="8" w:tplc="43B618D0">
      <w:numFmt w:val="bullet"/>
      <w:lvlText w:val="•"/>
      <w:lvlJc w:val="left"/>
      <w:pPr>
        <w:ind w:left="9580" w:hanging="514"/>
      </w:pPr>
      <w:rPr>
        <w:rFonts w:hint="default"/>
      </w:rPr>
    </w:lvl>
  </w:abstractNum>
  <w:abstractNum w:abstractNumId="9" w15:restartNumberingAfterBreak="0">
    <w:nsid w:val="1FCC1E86"/>
    <w:multiLevelType w:val="hybridMultilevel"/>
    <w:tmpl w:val="74C882B4"/>
    <w:lvl w:ilvl="0" w:tplc="C506166C">
      <w:numFmt w:val="bullet"/>
      <w:lvlText w:val=""/>
      <w:lvlJc w:val="left"/>
      <w:pPr>
        <w:ind w:left="1560" w:hanging="360"/>
      </w:pPr>
      <w:rPr>
        <w:rFonts w:ascii="Symbol" w:eastAsia="Symbol" w:hAnsi="Symbol" w:cs="Symbol" w:hint="default"/>
        <w:w w:val="100"/>
        <w:sz w:val="24"/>
        <w:szCs w:val="24"/>
      </w:rPr>
    </w:lvl>
    <w:lvl w:ilvl="1" w:tplc="7F12355E">
      <w:numFmt w:val="bullet"/>
      <w:lvlText w:val="•"/>
      <w:lvlJc w:val="left"/>
      <w:pPr>
        <w:ind w:left="2364" w:hanging="360"/>
      </w:pPr>
      <w:rPr>
        <w:rFonts w:hint="default"/>
      </w:rPr>
    </w:lvl>
    <w:lvl w:ilvl="2" w:tplc="DB2CAF16">
      <w:numFmt w:val="bullet"/>
      <w:lvlText w:val="•"/>
      <w:lvlJc w:val="left"/>
      <w:pPr>
        <w:ind w:left="3168" w:hanging="360"/>
      </w:pPr>
      <w:rPr>
        <w:rFonts w:hint="default"/>
      </w:rPr>
    </w:lvl>
    <w:lvl w:ilvl="3" w:tplc="66DC9A24">
      <w:numFmt w:val="bullet"/>
      <w:lvlText w:val="•"/>
      <w:lvlJc w:val="left"/>
      <w:pPr>
        <w:ind w:left="3972" w:hanging="360"/>
      </w:pPr>
      <w:rPr>
        <w:rFonts w:hint="default"/>
      </w:rPr>
    </w:lvl>
    <w:lvl w:ilvl="4" w:tplc="EB6E61C4">
      <w:numFmt w:val="bullet"/>
      <w:lvlText w:val="•"/>
      <w:lvlJc w:val="left"/>
      <w:pPr>
        <w:ind w:left="4776" w:hanging="360"/>
      </w:pPr>
      <w:rPr>
        <w:rFonts w:hint="default"/>
      </w:rPr>
    </w:lvl>
    <w:lvl w:ilvl="5" w:tplc="29C00660">
      <w:numFmt w:val="bullet"/>
      <w:lvlText w:val="•"/>
      <w:lvlJc w:val="left"/>
      <w:pPr>
        <w:ind w:left="5580" w:hanging="360"/>
      </w:pPr>
      <w:rPr>
        <w:rFonts w:hint="default"/>
      </w:rPr>
    </w:lvl>
    <w:lvl w:ilvl="6" w:tplc="D68EA988">
      <w:numFmt w:val="bullet"/>
      <w:lvlText w:val="•"/>
      <w:lvlJc w:val="left"/>
      <w:pPr>
        <w:ind w:left="6384" w:hanging="360"/>
      </w:pPr>
      <w:rPr>
        <w:rFonts w:hint="default"/>
      </w:rPr>
    </w:lvl>
    <w:lvl w:ilvl="7" w:tplc="3698D6F0">
      <w:numFmt w:val="bullet"/>
      <w:lvlText w:val="•"/>
      <w:lvlJc w:val="left"/>
      <w:pPr>
        <w:ind w:left="7188" w:hanging="360"/>
      </w:pPr>
      <w:rPr>
        <w:rFonts w:hint="default"/>
      </w:rPr>
    </w:lvl>
    <w:lvl w:ilvl="8" w:tplc="37BCA61C">
      <w:numFmt w:val="bullet"/>
      <w:lvlText w:val="•"/>
      <w:lvlJc w:val="left"/>
      <w:pPr>
        <w:ind w:left="7992" w:hanging="360"/>
      </w:pPr>
      <w:rPr>
        <w:rFonts w:hint="default"/>
      </w:rPr>
    </w:lvl>
  </w:abstractNum>
  <w:abstractNum w:abstractNumId="10" w15:restartNumberingAfterBreak="0">
    <w:nsid w:val="213F21BB"/>
    <w:multiLevelType w:val="hybridMultilevel"/>
    <w:tmpl w:val="60201424"/>
    <w:lvl w:ilvl="0" w:tplc="27DC895C">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FB720BD6">
      <w:numFmt w:val="bullet"/>
      <w:lvlText w:val="•"/>
      <w:lvlJc w:val="left"/>
      <w:pPr>
        <w:ind w:left="2930" w:hanging="514"/>
      </w:pPr>
      <w:rPr>
        <w:rFonts w:hint="default"/>
      </w:rPr>
    </w:lvl>
    <w:lvl w:ilvl="2" w:tplc="6B0872FA">
      <w:numFmt w:val="bullet"/>
      <w:lvlText w:val="•"/>
      <w:lvlJc w:val="left"/>
      <w:pPr>
        <w:ind w:left="3880" w:hanging="514"/>
      </w:pPr>
      <w:rPr>
        <w:rFonts w:hint="default"/>
      </w:rPr>
    </w:lvl>
    <w:lvl w:ilvl="3" w:tplc="7D665808">
      <w:numFmt w:val="bullet"/>
      <w:lvlText w:val="•"/>
      <w:lvlJc w:val="left"/>
      <w:pPr>
        <w:ind w:left="4830" w:hanging="514"/>
      </w:pPr>
      <w:rPr>
        <w:rFonts w:hint="default"/>
      </w:rPr>
    </w:lvl>
    <w:lvl w:ilvl="4" w:tplc="84B82AC4">
      <w:numFmt w:val="bullet"/>
      <w:lvlText w:val="•"/>
      <w:lvlJc w:val="left"/>
      <w:pPr>
        <w:ind w:left="5780" w:hanging="514"/>
      </w:pPr>
      <w:rPr>
        <w:rFonts w:hint="default"/>
      </w:rPr>
    </w:lvl>
    <w:lvl w:ilvl="5" w:tplc="06B25266">
      <w:numFmt w:val="bullet"/>
      <w:lvlText w:val="•"/>
      <w:lvlJc w:val="left"/>
      <w:pPr>
        <w:ind w:left="6730" w:hanging="514"/>
      </w:pPr>
      <w:rPr>
        <w:rFonts w:hint="default"/>
      </w:rPr>
    </w:lvl>
    <w:lvl w:ilvl="6" w:tplc="95C65D5E">
      <w:numFmt w:val="bullet"/>
      <w:lvlText w:val="•"/>
      <w:lvlJc w:val="left"/>
      <w:pPr>
        <w:ind w:left="7680" w:hanging="514"/>
      </w:pPr>
      <w:rPr>
        <w:rFonts w:hint="default"/>
      </w:rPr>
    </w:lvl>
    <w:lvl w:ilvl="7" w:tplc="74BA7F30">
      <w:numFmt w:val="bullet"/>
      <w:lvlText w:val="•"/>
      <w:lvlJc w:val="left"/>
      <w:pPr>
        <w:ind w:left="8630" w:hanging="514"/>
      </w:pPr>
      <w:rPr>
        <w:rFonts w:hint="default"/>
      </w:rPr>
    </w:lvl>
    <w:lvl w:ilvl="8" w:tplc="D05E29C8">
      <w:numFmt w:val="bullet"/>
      <w:lvlText w:val="•"/>
      <w:lvlJc w:val="left"/>
      <w:pPr>
        <w:ind w:left="9580" w:hanging="514"/>
      </w:pPr>
      <w:rPr>
        <w:rFonts w:hint="default"/>
      </w:rPr>
    </w:lvl>
  </w:abstractNum>
  <w:abstractNum w:abstractNumId="11"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A2D4A"/>
    <w:multiLevelType w:val="hybridMultilevel"/>
    <w:tmpl w:val="5B38D126"/>
    <w:lvl w:ilvl="0" w:tplc="2FC2736C">
      <w:numFmt w:val="bullet"/>
      <w:lvlText w:val=""/>
      <w:lvlJc w:val="left"/>
      <w:pPr>
        <w:ind w:left="1560" w:hanging="360"/>
      </w:pPr>
      <w:rPr>
        <w:rFonts w:ascii="Symbol" w:eastAsia="Symbol" w:hAnsi="Symbol" w:cs="Symbol" w:hint="default"/>
        <w:w w:val="100"/>
        <w:sz w:val="24"/>
        <w:szCs w:val="24"/>
      </w:rPr>
    </w:lvl>
    <w:lvl w:ilvl="1" w:tplc="940AF00A">
      <w:numFmt w:val="bullet"/>
      <w:lvlText w:val="•"/>
      <w:lvlJc w:val="left"/>
      <w:pPr>
        <w:ind w:left="2364" w:hanging="360"/>
      </w:pPr>
      <w:rPr>
        <w:rFonts w:hint="default"/>
      </w:rPr>
    </w:lvl>
    <w:lvl w:ilvl="2" w:tplc="69460AEA">
      <w:numFmt w:val="bullet"/>
      <w:lvlText w:val="•"/>
      <w:lvlJc w:val="left"/>
      <w:pPr>
        <w:ind w:left="3168" w:hanging="360"/>
      </w:pPr>
      <w:rPr>
        <w:rFonts w:hint="default"/>
      </w:rPr>
    </w:lvl>
    <w:lvl w:ilvl="3" w:tplc="FDEAB298">
      <w:numFmt w:val="bullet"/>
      <w:lvlText w:val="•"/>
      <w:lvlJc w:val="left"/>
      <w:pPr>
        <w:ind w:left="3972" w:hanging="360"/>
      </w:pPr>
      <w:rPr>
        <w:rFonts w:hint="default"/>
      </w:rPr>
    </w:lvl>
    <w:lvl w:ilvl="4" w:tplc="18A02108">
      <w:numFmt w:val="bullet"/>
      <w:lvlText w:val="•"/>
      <w:lvlJc w:val="left"/>
      <w:pPr>
        <w:ind w:left="4776" w:hanging="360"/>
      </w:pPr>
      <w:rPr>
        <w:rFonts w:hint="default"/>
      </w:rPr>
    </w:lvl>
    <w:lvl w:ilvl="5" w:tplc="B0CAE5BC">
      <w:numFmt w:val="bullet"/>
      <w:lvlText w:val="•"/>
      <w:lvlJc w:val="left"/>
      <w:pPr>
        <w:ind w:left="5580" w:hanging="360"/>
      </w:pPr>
      <w:rPr>
        <w:rFonts w:hint="default"/>
      </w:rPr>
    </w:lvl>
    <w:lvl w:ilvl="6" w:tplc="EA821F00">
      <w:numFmt w:val="bullet"/>
      <w:lvlText w:val="•"/>
      <w:lvlJc w:val="left"/>
      <w:pPr>
        <w:ind w:left="6384" w:hanging="360"/>
      </w:pPr>
      <w:rPr>
        <w:rFonts w:hint="default"/>
      </w:rPr>
    </w:lvl>
    <w:lvl w:ilvl="7" w:tplc="A69C1852">
      <w:numFmt w:val="bullet"/>
      <w:lvlText w:val="•"/>
      <w:lvlJc w:val="left"/>
      <w:pPr>
        <w:ind w:left="7188" w:hanging="360"/>
      </w:pPr>
      <w:rPr>
        <w:rFonts w:hint="default"/>
      </w:rPr>
    </w:lvl>
    <w:lvl w:ilvl="8" w:tplc="73C4AAD8">
      <w:numFmt w:val="bullet"/>
      <w:lvlText w:val="•"/>
      <w:lvlJc w:val="left"/>
      <w:pPr>
        <w:ind w:left="7992" w:hanging="360"/>
      </w:pPr>
      <w:rPr>
        <w:rFonts w:hint="default"/>
      </w:rPr>
    </w:lvl>
  </w:abstractNum>
  <w:abstractNum w:abstractNumId="17"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E36DA"/>
    <w:multiLevelType w:val="hybridMultilevel"/>
    <w:tmpl w:val="21B805D6"/>
    <w:lvl w:ilvl="0" w:tplc="28CEDB62">
      <w:numFmt w:val="bullet"/>
      <w:lvlText w:val=""/>
      <w:lvlJc w:val="left"/>
      <w:pPr>
        <w:ind w:left="1560" w:hanging="360"/>
      </w:pPr>
      <w:rPr>
        <w:rFonts w:ascii="Symbol" w:eastAsia="Symbol" w:hAnsi="Symbol" w:cs="Symbol" w:hint="default"/>
        <w:w w:val="100"/>
        <w:sz w:val="24"/>
        <w:szCs w:val="24"/>
      </w:rPr>
    </w:lvl>
    <w:lvl w:ilvl="1" w:tplc="DE282382">
      <w:numFmt w:val="bullet"/>
      <w:lvlText w:val="•"/>
      <w:lvlJc w:val="left"/>
      <w:pPr>
        <w:ind w:left="2364" w:hanging="360"/>
      </w:pPr>
      <w:rPr>
        <w:rFonts w:hint="default"/>
      </w:rPr>
    </w:lvl>
    <w:lvl w:ilvl="2" w:tplc="7AA81DF6">
      <w:numFmt w:val="bullet"/>
      <w:lvlText w:val="•"/>
      <w:lvlJc w:val="left"/>
      <w:pPr>
        <w:ind w:left="3168" w:hanging="360"/>
      </w:pPr>
      <w:rPr>
        <w:rFonts w:hint="default"/>
      </w:rPr>
    </w:lvl>
    <w:lvl w:ilvl="3" w:tplc="DB584EB0">
      <w:numFmt w:val="bullet"/>
      <w:lvlText w:val="•"/>
      <w:lvlJc w:val="left"/>
      <w:pPr>
        <w:ind w:left="3972" w:hanging="360"/>
      </w:pPr>
      <w:rPr>
        <w:rFonts w:hint="default"/>
      </w:rPr>
    </w:lvl>
    <w:lvl w:ilvl="4" w:tplc="4EBCE86A">
      <w:numFmt w:val="bullet"/>
      <w:lvlText w:val="•"/>
      <w:lvlJc w:val="left"/>
      <w:pPr>
        <w:ind w:left="4776" w:hanging="360"/>
      </w:pPr>
      <w:rPr>
        <w:rFonts w:hint="default"/>
      </w:rPr>
    </w:lvl>
    <w:lvl w:ilvl="5" w:tplc="AFEA4C26">
      <w:numFmt w:val="bullet"/>
      <w:lvlText w:val="•"/>
      <w:lvlJc w:val="left"/>
      <w:pPr>
        <w:ind w:left="5580" w:hanging="360"/>
      </w:pPr>
      <w:rPr>
        <w:rFonts w:hint="default"/>
      </w:rPr>
    </w:lvl>
    <w:lvl w:ilvl="6" w:tplc="E1702796">
      <w:numFmt w:val="bullet"/>
      <w:lvlText w:val="•"/>
      <w:lvlJc w:val="left"/>
      <w:pPr>
        <w:ind w:left="6384" w:hanging="360"/>
      </w:pPr>
      <w:rPr>
        <w:rFonts w:hint="default"/>
      </w:rPr>
    </w:lvl>
    <w:lvl w:ilvl="7" w:tplc="FDE0280A">
      <w:numFmt w:val="bullet"/>
      <w:lvlText w:val="•"/>
      <w:lvlJc w:val="left"/>
      <w:pPr>
        <w:ind w:left="7188" w:hanging="360"/>
      </w:pPr>
      <w:rPr>
        <w:rFonts w:hint="default"/>
      </w:rPr>
    </w:lvl>
    <w:lvl w:ilvl="8" w:tplc="77B6F4BA">
      <w:numFmt w:val="bullet"/>
      <w:lvlText w:val="•"/>
      <w:lvlJc w:val="left"/>
      <w:pPr>
        <w:ind w:left="7992" w:hanging="360"/>
      </w:pPr>
      <w:rPr>
        <w:rFonts w:hint="default"/>
      </w:rPr>
    </w:lvl>
  </w:abstractNum>
  <w:abstractNum w:abstractNumId="19"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85F9B"/>
    <w:multiLevelType w:val="hybridMultilevel"/>
    <w:tmpl w:val="22BE492E"/>
    <w:lvl w:ilvl="0" w:tplc="DAE62A4E">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4D564D9C">
      <w:numFmt w:val="bullet"/>
      <w:lvlText w:val="•"/>
      <w:lvlJc w:val="left"/>
      <w:pPr>
        <w:ind w:left="2930" w:hanging="514"/>
      </w:pPr>
      <w:rPr>
        <w:rFonts w:hint="default"/>
      </w:rPr>
    </w:lvl>
    <w:lvl w:ilvl="2" w:tplc="AEBE3CA2">
      <w:numFmt w:val="bullet"/>
      <w:lvlText w:val="•"/>
      <w:lvlJc w:val="left"/>
      <w:pPr>
        <w:ind w:left="3880" w:hanging="514"/>
      </w:pPr>
      <w:rPr>
        <w:rFonts w:hint="default"/>
      </w:rPr>
    </w:lvl>
    <w:lvl w:ilvl="3" w:tplc="730E6FBA">
      <w:numFmt w:val="bullet"/>
      <w:lvlText w:val="•"/>
      <w:lvlJc w:val="left"/>
      <w:pPr>
        <w:ind w:left="4830" w:hanging="514"/>
      </w:pPr>
      <w:rPr>
        <w:rFonts w:hint="default"/>
      </w:rPr>
    </w:lvl>
    <w:lvl w:ilvl="4" w:tplc="9F200848">
      <w:numFmt w:val="bullet"/>
      <w:lvlText w:val="•"/>
      <w:lvlJc w:val="left"/>
      <w:pPr>
        <w:ind w:left="5780" w:hanging="514"/>
      </w:pPr>
      <w:rPr>
        <w:rFonts w:hint="default"/>
      </w:rPr>
    </w:lvl>
    <w:lvl w:ilvl="5" w:tplc="F4341AF2">
      <w:numFmt w:val="bullet"/>
      <w:lvlText w:val="•"/>
      <w:lvlJc w:val="left"/>
      <w:pPr>
        <w:ind w:left="6730" w:hanging="514"/>
      </w:pPr>
      <w:rPr>
        <w:rFonts w:hint="default"/>
      </w:rPr>
    </w:lvl>
    <w:lvl w:ilvl="6" w:tplc="32067342">
      <w:numFmt w:val="bullet"/>
      <w:lvlText w:val="•"/>
      <w:lvlJc w:val="left"/>
      <w:pPr>
        <w:ind w:left="7680" w:hanging="514"/>
      </w:pPr>
      <w:rPr>
        <w:rFonts w:hint="default"/>
      </w:rPr>
    </w:lvl>
    <w:lvl w:ilvl="7" w:tplc="04242D68">
      <w:numFmt w:val="bullet"/>
      <w:lvlText w:val="•"/>
      <w:lvlJc w:val="left"/>
      <w:pPr>
        <w:ind w:left="8630" w:hanging="514"/>
      </w:pPr>
      <w:rPr>
        <w:rFonts w:hint="default"/>
      </w:rPr>
    </w:lvl>
    <w:lvl w:ilvl="8" w:tplc="6B24C94E">
      <w:numFmt w:val="bullet"/>
      <w:lvlText w:val="•"/>
      <w:lvlJc w:val="left"/>
      <w:pPr>
        <w:ind w:left="9580" w:hanging="514"/>
      </w:pPr>
      <w:rPr>
        <w:rFonts w:hint="default"/>
      </w:rPr>
    </w:lvl>
  </w:abstractNum>
  <w:abstractNum w:abstractNumId="23"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B40DB"/>
    <w:multiLevelType w:val="hybridMultilevel"/>
    <w:tmpl w:val="8D98A8F4"/>
    <w:lvl w:ilvl="0" w:tplc="22184BFE">
      <w:numFmt w:val="bullet"/>
      <w:lvlText w:val=""/>
      <w:lvlJc w:val="left"/>
      <w:pPr>
        <w:ind w:left="1560" w:hanging="360"/>
      </w:pPr>
      <w:rPr>
        <w:rFonts w:ascii="Symbol" w:eastAsia="Symbol" w:hAnsi="Symbol" w:cs="Symbol" w:hint="default"/>
        <w:w w:val="100"/>
        <w:sz w:val="24"/>
        <w:szCs w:val="24"/>
      </w:rPr>
    </w:lvl>
    <w:lvl w:ilvl="1" w:tplc="D61EDBC0">
      <w:numFmt w:val="bullet"/>
      <w:lvlText w:val="•"/>
      <w:lvlJc w:val="left"/>
      <w:pPr>
        <w:ind w:left="2364" w:hanging="360"/>
      </w:pPr>
      <w:rPr>
        <w:rFonts w:hint="default"/>
      </w:rPr>
    </w:lvl>
    <w:lvl w:ilvl="2" w:tplc="0ECAA4A8">
      <w:numFmt w:val="bullet"/>
      <w:lvlText w:val="•"/>
      <w:lvlJc w:val="left"/>
      <w:pPr>
        <w:ind w:left="3168" w:hanging="360"/>
      </w:pPr>
      <w:rPr>
        <w:rFonts w:hint="default"/>
      </w:rPr>
    </w:lvl>
    <w:lvl w:ilvl="3" w:tplc="36441FAA">
      <w:numFmt w:val="bullet"/>
      <w:lvlText w:val="•"/>
      <w:lvlJc w:val="left"/>
      <w:pPr>
        <w:ind w:left="3972" w:hanging="360"/>
      </w:pPr>
      <w:rPr>
        <w:rFonts w:hint="default"/>
      </w:rPr>
    </w:lvl>
    <w:lvl w:ilvl="4" w:tplc="22129568">
      <w:numFmt w:val="bullet"/>
      <w:lvlText w:val="•"/>
      <w:lvlJc w:val="left"/>
      <w:pPr>
        <w:ind w:left="4776" w:hanging="360"/>
      </w:pPr>
      <w:rPr>
        <w:rFonts w:hint="default"/>
      </w:rPr>
    </w:lvl>
    <w:lvl w:ilvl="5" w:tplc="2188B9A4">
      <w:numFmt w:val="bullet"/>
      <w:lvlText w:val="•"/>
      <w:lvlJc w:val="left"/>
      <w:pPr>
        <w:ind w:left="5580" w:hanging="360"/>
      </w:pPr>
      <w:rPr>
        <w:rFonts w:hint="default"/>
      </w:rPr>
    </w:lvl>
    <w:lvl w:ilvl="6" w:tplc="58703EBE">
      <w:numFmt w:val="bullet"/>
      <w:lvlText w:val="•"/>
      <w:lvlJc w:val="left"/>
      <w:pPr>
        <w:ind w:left="6384" w:hanging="360"/>
      </w:pPr>
      <w:rPr>
        <w:rFonts w:hint="default"/>
      </w:rPr>
    </w:lvl>
    <w:lvl w:ilvl="7" w:tplc="67AEF258">
      <w:numFmt w:val="bullet"/>
      <w:lvlText w:val="•"/>
      <w:lvlJc w:val="left"/>
      <w:pPr>
        <w:ind w:left="7188" w:hanging="360"/>
      </w:pPr>
      <w:rPr>
        <w:rFonts w:hint="default"/>
      </w:rPr>
    </w:lvl>
    <w:lvl w:ilvl="8" w:tplc="D0B2B166">
      <w:numFmt w:val="bullet"/>
      <w:lvlText w:val="•"/>
      <w:lvlJc w:val="left"/>
      <w:pPr>
        <w:ind w:left="7992" w:hanging="360"/>
      </w:pPr>
      <w:rPr>
        <w:rFonts w:hint="default"/>
      </w:rPr>
    </w:lvl>
  </w:abstractNum>
  <w:abstractNum w:abstractNumId="28"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1D1DED"/>
    <w:multiLevelType w:val="hybridMultilevel"/>
    <w:tmpl w:val="6826E632"/>
    <w:lvl w:ilvl="0" w:tplc="897245D8">
      <w:start w:val="1"/>
      <w:numFmt w:val="upperRoman"/>
      <w:lvlText w:val="%1."/>
      <w:lvlJc w:val="left"/>
      <w:pPr>
        <w:ind w:left="514" w:hanging="514"/>
        <w:jc w:val="right"/>
      </w:pPr>
      <w:rPr>
        <w:rFonts w:ascii="Times New Roman" w:eastAsia="Times New Roman" w:hAnsi="Times New Roman" w:cs="Times New Roman" w:hint="default"/>
        <w:b/>
        <w:bCs/>
        <w:w w:val="99"/>
        <w:sz w:val="24"/>
        <w:szCs w:val="24"/>
      </w:rPr>
    </w:lvl>
    <w:lvl w:ilvl="1" w:tplc="D524544C">
      <w:numFmt w:val="bullet"/>
      <w:lvlText w:val="•"/>
      <w:lvlJc w:val="left"/>
      <w:pPr>
        <w:ind w:left="1464" w:hanging="514"/>
      </w:pPr>
      <w:rPr>
        <w:rFonts w:hint="default"/>
      </w:rPr>
    </w:lvl>
    <w:lvl w:ilvl="2" w:tplc="644C15E4">
      <w:numFmt w:val="bullet"/>
      <w:lvlText w:val="•"/>
      <w:lvlJc w:val="left"/>
      <w:pPr>
        <w:ind w:left="2414" w:hanging="514"/>
      </w:pPr>
      <w:rPr>
        <w:rFonts w:hint="default"/>
      </w:rPr>
    </w:lvl>
    <w:lvl w:ilvl="3" w:tplc="4C0E3056">
      <w:numFmt w:val="bullet"/>
      <w:lvlText w:val="•"/>
      <w:lvlJc w:val="left"/>
      <w:pPr>
        <w:ind w:left="3364" w:hanging="514"/>
      </w:pPr>
      <w:rPr>
        <w:rFonts w:hint="default"/>
      </w:rPr>
    </w:lvl>
    <w:lvl w:ilvl="4" w:tplc="E488CD76">
      <w:numFmt w:val="bullet"/>
      <w:lvlText w:val="•"/>
      <w:lvlJc w:val="left"/>
      <w:pPr>
        <w:ind w:left="4314" w:hanging="514"/>
      </w:pPr>
      <w:rPr>
        <w:rFonts w:hint="default"/>
      </w:rPr>
    </w:lvl>
    <w:lvl w:ilvl="5" w:tplc="E1AE6F7C">
      <w:numFmt w:val="bullet"/>
      <w:lvlText w:val="•"/>
      <w:lvlJc w:val="left"/>
      <w:pPr>
        <w:ind w:left="5264" w:hanging="514"/>
      </w:pPr>
      <w:rPr>
        <w:rFonts w:hint="default"/>
      </w:rPr>
    </w:lvl>
    <w:lvl w:ilvl="6" w:tplc="400C85AE">
      <w:numFmt w:val="bullet"/>
      <w:lvlText w:val="•"/>
      <w:lvlJc w:val="left"/>
      <w:pPr>
        <w:ind w:left="6214" w:hanging="514"/>
      </w:pPr>
      <w:rPr>
        <w:rFonts w:hint="default"/>
      </w:rPr>
    </w:lvl>
    <w:lvl w:ilvl="7" w:tplc="0DEC807E">
      <w:numFmt w:val="bullet"/>
      <w:lvlText w:val="•"/>
      <w:lvlJc w:val="left"/>
      <w:pPr>
        <w:ind w:left="7164" w:hanging="514"/>
      </w:pPr>
      <w:rPr>
        <w:rFonts w:hint="default"/>
      </w:rPr>
    </w:lvl>
    <w:lvl w:ilvl="8" w:tplc="04F80DF0">
      <w:numFmt w:val="bullet"/>
      <w:lvlText w:val="•"/>
      <w:lvlJc w:val="left"/>
      <w:pPr>
        <w:ind w:left="8114" w:hanging="514"/>
      </w:pPr>
      <w:rPr>
        <w:rFonts w:hint="default"/>
      </w:rPr>
    </w:lvl>
  </w:abstractNum>
  <w:abstractNum w:abstractNumId="36"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41A5E8B"/>
    <w:multiLevelType w:val="hybridMultilevel"/>
    <w:tmpl w:val="A8D0AC5A"/>
    <w:lvl w:ilvl="0" w:tplc="7388B28C">
      <w:numFmt w:val="bullet"/>
      <w:lvlText w:val=""/>
      <w:lvlJc w:val="left"/>
      <w:pPr>
        <w:ind w:left="1560" w:hanging="360"/>
      </w:pPr>
      <w:rPr>
        <w:rFonts w:ascii="Symbol" w:eastAsia="Symbol" w:hAnsi="Symbol" w:cs="Symbol" w:hint="default"/>
        <w:w w:val="100"/>
        <w:sz w:val="24"/>
        <w:szCs w:val="24"/>
      </w:rPr>
    </w:lvl>
    <w:lvl w:ilvl="1" w:tplc="5ABA1AAE">
      <w:numFmt w:val="bullet"/>
      <w:lvlText w:val="•"/>
      <w:lvlJc w:val="left"/>
      <w:pPr>
        <w:ind w:left="2364" w:hanging="360"/>
      </w:pPr>
      <w:rPr>
        <w:rFonts w:hint="default"/>
      </w:rPr>
    </w:lvl>
    <w:lvl w:ilvl="2" w:tplc="FA121102">
      <w:numFmt w:val="bullet"/>
      <w:lvlText w:val="•"/>
      <w:lvlJc w:val="left"/>
      <w:pPr>
        <w:ind w:left="3168" w:hanging="360"/>
      </w:pPr>
      <w:rPr>
        <w:rFonts w:hint="default"/>
      </w:rPr>
    </w:lvl>
    <w:lvl w:ilvl="3" w:tplc="D626059C">
      <w:numFmt w:val="bullet"/>
      <w:lvlText w:val="•"/>
      <w:lvlJc w:val="left"/>
      <w:pPr>
        <w:ind w:left="3972" w:hanging="360"/>
      </w:pPr>
      <w:rPr>
        <w:rFonts w:hint="default"/>
      </w:rPr>
    </w:lvl>
    <w:lvl w:ilvl="4" w:tplc="B0DEE970">
      <w:numFmt w:val="bullet"/>
      <w:lvlText w:val="•"/>
      <w:lvlJc w:val="left"/>
      <w:pPr>
        <w:ind w:left="4776" w:hanging="360"/>
      </w:pPr>
      <w:rPr>
        <w:rFonts w:hint="default"/>
      </w:rPr>
    </w:lvl>
    <w:lvl w:ilvl="5" w:tplc="0B6A2B4A">
      <w:numFmt w:val="bullet"/>
      <w:lvlText w:val="•"/>
      <w:lvlJc w:val="left"/>
      <w:pPr>
        <w:ind w:left="5580" w:hanging="360"/>
      </w:pPr>
      <w:rPr>
        <w:rFonts w:hint="default"/>
      </w:rPr>
    </w:lvl>
    <w:lvl w:ilvl="6" w:tplc="34587FFC">
      <w:numFmt w:val="bullet"/>
      <w:lvlText w:val="•"/>
      <w:lvlJc w:val="left"/>
      <w:pPr>
        <w:ind w:left="6384" w:hanging="360"/>
      </w:pPr>
      <w:rPr>
        <w:rFonts w:hint="default"/>
      </w:rPr>
    </w:lvl>
    <w:lvl w:ilvl="7" w:tplc="84B2445A">
      <w:numFmt w:val="bullet"/>
      <w:lvlText w:val="•"/>
      <w:lvlJc w:val="left"/>
      <w:pPr>
        <w:ind w:left="7188" w:hanging="360"/>
      </w:pPr>
      <w:rPr>
        <w:rFonts w:hint="default"/>
      </w:rPr>
    </w:lvl>
    <w:lvl w:ilvl="8" w:tplc="C428B388">
      <w:numFmt w:val="bullet"/>
      <w:lvlText w:val="•"/>
      <w:lvlJc w:val="left"/>
      <w:pPr>
        <w:ind w:left="7992" w:hanging="360"/>
      </w:pPr>
      <w:rPr>
        <w:rFonts w:hint="default"/>
      </w:rPr>
    </w:lvl>
  </w:abstractNum>
  <w:abstractNum w:abstractNumId="3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4"/>
  </w:num>
  <w:num w:numId="4">
    <w:abstractNumId w:val="26"/>
  </w:num>
  <w:num w:numId="5">
    <w:abstractNumId w:val="19"/>
  </w:num>
  <w:num w:numId="6">
    <w:abstractNumId w:val="3"/>
  </w:num>
  <w:num w:numId="7">
    <w:abstractNumId w:val="17"/>
  </w:num>
  <w:num w:numId="8">
    <w:abstractNumId w:val="36"/>
  </w:num>
  <w:num w:numId="9">
    <w:abstractNumId w:val="28"/>
  </w:num>
  <w:num w:numId="10">
    <w:abstractNumId w:val="40"/>
  </w:num>
  <w:num w:numId="11">
    <w:abstractNumId w:val="15"/>
  </w:num>
  <w:num w:numId="12">
    <w:abstractNumId w:val="14"/>
  </w:num>
  <w:num w:numId="13">
    <w:abstractNumId w:val="33"/>
  </w:num>
  <w:num w:numId="14">
    <w:abstractNumId w:val="11"/>
  </w:num>
  <w:num w:numId="15">
    <w:abstractNumId w:val="20"/>
  </w:num>
  <w:num w:numId="16">
    <w:abstractNumId w:val="4"/>
  </w:num>
  <w:num w:numId="17">
    <w:abstractNumId w:val="31"/>
  </w:num>
  <w:num w:numId="18">
    <w:abstractNumId w:val="29"/>
  </w:num>
  <w:num w:numId="19">
    <w:abstractNumId w:val="5"/>
  </w:num>
  <w:num w:numId="20">
    <w:abstractNumId w:val="7"/>
  </w:num>
  <w:num w:numId="21">
    <w:abstractNumId w:val="25"/>
  </w:num>
  <w:num w:numId="22">
    <w:abstractNumId w:val="21"/>
  </w:num>
  <w:num w:numId="23">
    <w:abstractNumId w:val="6"/>
  </w:num>
  <w:num w:numId="24">
    <w:abstractNumId w:val="0"/>
  </w:num>
  <w:num w:numId="25">
    <w:abstractNumId w:val="12"/>
  </w:num>
  <w:num w:numId="26">
    <w:abstractNumId w:val="23"/>
  </w:num>
  <w:num w:numId="27">
    <w:abstractNumId w:val="39"/>
  </w:num>
  <w:num w:numId="2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2"/>
  </w:num>
  <w:num w:numId="32">
    <w:abstractNumId w:val="16"/>
  </w:num>
  <w:num w:numId="33">
    <w:abstractNumId w:val="22"/>
  </w:num>
  <w:num w:numId="34">
    <w:abstractNumId w:val="18"/>
  </w:num>
  <w:num w:numId="35">
    <w:abstractNumId w:val="8"/>
  </w:num>
  <w:num w:numId="36">
    <w:abstractNumId w:val="9"/>
  </w:num>
  <w:num w:numId="37">
    <w:abstractNumId w:val="2"/>
  </w:num>
  <w:num w:numId="38">
    <w:abstractNumId w:val="27"/>
  </w:num>
  <w:num w:numId="39">
    <w:abstractNumId w:val="10"/>
  </w:num>
  <w:num w:numId="40">
    <w:abstractNumId w:val="38"/>
  </w:num>
  <w:num w:numId="4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3B96"/>
    <w:rsid w:val="00015C7B"/>
    <w:rsid w:val="000167CF"/>
    <w:rsid w:val="00023315"/>
    <w:rsid w:val="000326E4"/>
    <w:rsid w:val="000375D4"/>
    <w:rsid w:val="000443C9"/>
    <w:rsid w:val="0006209A"/>
    <w:rsid w:val="000630F5"/>
    <w:rsid w:val="00081E2B"/>
    <w:rsid w:val="000912FA"/>
    <w:rsid w:val="000A0EB9"/>
    <w:rsid w:val="000A6E3D"/>
    <w:rsid w:val="000B03F9"/>
    <w:rsid w:val="000B0E4A"/>
    <w:rsid w:val="000C6C89"/>
    <w:rsid w:val="000F0F90"/>
    <w:rsid w:val="000F45F0"/>
    <w:rsid w:val="000F7439"/>
    <w:rsid w:val="00114F3E"/>
    <w:rsid w:val="0012273A"/>
    <w:rsid w:val="001275E9"/>
    <w:rsid w:val="00131AED"/>
    <w:rsid w:val="00135A56"/>
    <w:rsid w:val="00143038"/>
    <w:rsid w:val="001475F3"/>
    <w:rsid w:val="00147AA9"/>
    <w:rsid w:val="00152EC5"/>
    <w:rsid w:val="00154007"/>
    <w:rsid w:val="00163273"/>
    <w:rsid w:val="00167523"/>
    <w:rsid w:val="00186996"/>
    <w:rsid w:val="00192991"/>
    <w:rsid w:val="001956F5"/>
    <w:rsid w:val="001A0A14"/>
    <w:rsid w:val="001A3C59"/>
    <w:rsid w:val="001C3F56"/>
    <w:rsid w:val="001C6F5D"/>
    <w:rsid w:val="001D6340"/>
    <w:rsid w:val="001D779F"/>
    <w:rsid w:val="001E4B53"/>
    <w:rsid w:val="002044D5"/>
    <w:rsid w:val="0020506F"/>
    <w:rsid w:val="002101D6"/>
    <w:rsid w:val="00214064"/>
    <w:rsid w:val="002168BF"/>
    <w:rsid w:val="00216F17"/>
    <w:rsid w:val="00230BE2"/>
    <w:rsid w:val="00241AD7"/>
    <w:rsid w:val="00242070"/>
    <w:rsid w:val="002423C1"/>
    <w:rsid w:val="002718B7"/>
    <w:rsid w:val="00272E4E"/>
    <w:rsid w:val="00273E76"/>
    <w:rsid w:val="0027644C"/>
    <w:rsid w:val="00284443"/>
    <w:rsid w:val="00290DCD"/>
    <w:rsid w:val="002955DE"/>
    <w:rsid w:val="002A211B"/>
    <w:rsid w:val="002B074F"/>
    <w:rsid w:val="002B2B92"/>
    <w:rsid w:val="002B6AB1"/>
    <w:rsid w:val="002C1AD4"/>
    <w:rsid w:val="002D509B"/>
    <w:rsid w:val="002E6AB8"/>
    <w:rsid w:val="002F1ECB"/>
    <w:rsid w:val="002F2534"/>
    <w:rsid w:val="002F5A9E"/>
    <w:rsid w:val="002F6DE2"/>
    <w:rsid w:val="0031677F"/>
    <w:rsid w:val="00336BA2"/>
    <w:rsid w:val="003424EA"/>
    <w:rsid w:val="00343274"/>
    <w:rsid w:val="00344C0B"/>
    <w:rsid w:val="00344C3F"/>
    <w:rsid w:val="00350675"/>
    <w:rsid w:val="00350806"/>
    <w:rsid w:val="003563F8"/>
    <w:rsid w:val="00360E79"/>
    <w:rsid w:val="003667B4"/>
    <w:rsid w:val="003674EE"/>
    <w:rsid w:val="00380021"/>
    <w:rsid w:val="003802C1"/>
    <w:rsid w:val="00397AF6"/>
    <w:rsid w:val="003A3728"/>
    <w:rsid w:val="003A4291"/>
    <w:rsid w:val="003A493C"/>
    <w:rsid w:val="003A52F5"/>
    <w:rsid w:val="003B14F5"/>
    <w:rsid w:val="003C1644"/>
    <w:rsid w:val="003C355E"/>
    <w:rsid w:val="003C5EED"/>
    <w:rsid w:val="003E00A9"/>
    <w:rsid w:val="003E22E3"/>
    <w:rsid w:val="003E3329"/>
    <w:rsid w:val="003E527A"/>
    <w:rsid w:val="003F721D"/>
    <w:rsid w:val="00404D3B"/>
    <w:rsid w:val="00432694"/>
    <w:rsid w:val="004538AC"/>
    <w:rsid w:val="00460D78"/>
    <w:rsid w:val="00472F7B"/>
    <w:rsid w:val="00482C7D"/>
    <w:rsid w:val="00497E30"/>
    <w:rsid w:val="004A005E"/>
    <w:rsid w:val="004B223A"/>
    <w:rsid w:val="004C01B5"/>
    <w:rsid w:val="004C1375"/>
    <w:rsid w:val="004C4E03"/>
    <w:rsid w:val="004C7CEC"/>
    <w:rsid w:val="004D79BF"/>
    <w:rsid w:val="005130ED"/>
    <w:rsid w:val="005345F8"/>
    <w:rsid w:val="00536468"/>
    <w:rsid w:val="005435A7"/>
    <w:rsid w:val="00551ACF"/>
    <w:rsid w:val="0056466B"/>
    <w:rsid w:val="00564EBB"/>
    <w:rsid w:val="00565FCC"/>
    <w:rsid w:val="005815EF"/>
    <w:rsid w:val="00586093"/>
    <w:rsid w:val="005876DB"/>
    <w:rsid w:val="0059325D"/>
    <w:rsid w:val="005943F3"/>
    <w:rsid w:val="005947A1"/>
    <w:rsid w:val="005A299F"/>
    <w:rsid w:val="005B1D8C"/>
    <w:rsid w:val="005B3D49"/>
    <w:rsid w:val="005D610F"/>
    <w:rsid w:val="005E5285"/>
    <w:rsid w:val="005F7607"/>
    <w:rsid w:val="006035CC"/>
    <w:rsid w:val="00606FDD"/>
    <w:rsid w:val="0062117A"/>
    <w:rsid w:val="00623F8C"/>
    <w:rsid w:val="00624951"/>
    <w:rsid w:val="0064079D"/>
    <w:rsid w:val="00650E25"/>
    <w:rsid w:val="006609A5"/>
    <w:rsid w:val="0066148B"/>
    <w:rsid w:val="00674841"/>
    <w:rsid w:val="00674943"/>
    <w:rsid w:val="0069471D"/>
    <w:rsid w:val="00696C99"/>
    <w:rsid w:val="006A4249"/>
    <w:rsid w:val="006A7E06"/>
    <w:rsid w:val="006B1A98"/>
    <w:rsid w:val="006C685D"/>
    <w:rsid w:val="006D0EFB"/>
    <w:rsid w:val="006D557A"/>
    <w:rsid w:val="006E4DB0"/>
    <w:rsid w:val="0070442A"/>
    <w:rsid w:val="007161EC"/>
    <w:rsid w:val="007206F5"/>
    <w:rsid w:val="00736570"/>
    <w:rsid w:val="00737E38"/>
    <w:rsid w:val="0074424B"/>
    <w:rsid w:val="00754AC9"/>
    <w:rsid w:val="0076028A"/>
    <w:rsid w:val="00767D0B"/>
    <w:rsid w:val="00770988"/>
    <w:rsid w:val="007725F7"/>
    <w:rsid w:val="00772BCF"/>
    <w:rsid w:val="00774346"/>
    <w:rsid w:val="007926B0"/>
    <w:rsid w:val="007975C1"/>
    <w:rsid w:val="007A2DB1"/>
    <w:rsid w:val="007A306B"/>
    <w:rsid w:val="007B0008"/>
    <w:rsid w:val="007B167F"/>
    <w:rsid w:val="007C0A21"/>
    <w:rsid w:val="007C50CA"/>
    <w:rsid w:val="007C5FC3"/>
    <w:rsid w:val="007D048A"/>
    <w:rsid w:val="007D115D"/>
    <w:rsid w:val="007E0090"/>
    <w:rsid w:val="007E639E"/>
    <w:rsid w:val="007E6487"/>
    <w:rsid w:val="007F3732"/>
    <w:rsid w:val="00807B43"/>
    <w:rsid w:val="00833B57"/>
    <w:rsid w:val="00833E8F"/>
    <w:rsid w:val="00841E13"/>
    <w:rsid w:val="00845B84"/>
    <w:rsid w:val="008635AF"/>
    <w:rsid w:val="008672D8"/>
    <w:rsid w:val="008933FA"/>
    <w:rsid w:val="00894199"/>
    <w:rsid w:val="008C0D4D"/>
    <w:rsid w:val="008D206F"/>
    <w:rsid w:val="008D6D30"/>
    <w:rsid w:val="008E0662"/>
    <w:rsid w:val="008F0F0B"/>
    <w:rsid w:val="008F70E1"/>
    <w:rsid w:val="00906608"/>
    <w:rsid w:val="009076C0"/>
    <w:rsid w:val="009321B4"/>
    <w:rsid w:val="009321D5"/>
    <w:rsid w:val="00935B03"/>
    <w:rsid w:val="00940F4A"/>
    <w:rsid w:val="00941DDA"/>
    <w:rsid w:val="009539D2"/>
    <w:rsid w:val="009545D2"/>
    <w:rsid w:val="00957702"/>
    <w:rsid w:val="0096006B"/>
    <w:rsid w:val="00961151"/>
    <w:rsid w:val="009629A6"/>
    <w:rsid w:val="00962F5C"/>
    <w:rsid w:val="00967ABE"/>
    <w:rsid w:val="00972479"/>
    <w:rsid w:val="0097346F"/>
    <w:rsid w:val="00974C2E"/>
    <w:rsid w:val="00980D78"/>
    <w:rsid w:val="00992DB3"/>
    <w:rsid w:val="009A6834"/>
    <w:rsid w:val="009B09E5"/>
    <w:rsid w:val="009B0B16"/>
    <w:rsid w:val="009D3DD8"/>
    <w:rsid w:val="009E0D21"/>
    <w:rsid w:val="009E2DBB"/>
    <w:rsid w:val="009E4BB5"/>
    <w:rsid w:val="009F4D57"/>
    <w:rsid w:val="00A017A7"/>
    <w:rsid w:val="00A06057"/>
    <w:rsid w:val="00A104FC"/>
    <w:rsid w:val="00A12832"/>
    <w:rsid w:val="00A30BA2"/>
    <w:rsid w:val="00A360C0"/>
    <w:rsid w:val="00A528D7"/>
    <w:rsid w:val="00A53B2F"/>
    <w:rsid w:val="00A56562"/>
    <w:rsid w:val="00A568B8"/>
    <w:rsid w:val="00A57711"/>
    <w:rsid w:val="00A64D28"/>
    <w:rsid w:val="00A7714F"/>
    <w:rsid w:val="00A829D4"/>
    <w:rsid w:val="00A953F7"/>
    <w:rsid w:val="00AA10A5"/>
    <w:rsid w:val="00AA3C14"/>
    <w:rsid w:val="00AA59AF"/>
    <w:rsid w:val="00AA64EA"/>
    <w:rsid w:val="00AA7FEE"/>
    <w:rsid w:val="00AB19C3"/>
    <w:rsid w:val="00AD4B1E"/>
    <w:rsid w:val="00AE6B33"/>
    <w:rsid w:val="00AE78B7"/>
    <w:rsid w:val="00AF291A"/>
    <w:rsid w:val="00AF358A"/>
    <w:rsid w:val="00B27E6D"/>
    <w:rsid w:val="00B47C04"/>
    <w:rsid w:val="00B51F0B"/>
    <w:rsid w:val="00B54DA0"/>
    <w:rsid w:val="00B601D4"/>
    <w:rsid w:val="00B65439"/>
    <w:rsid w:val="00B73B47"/>
    <w:rsid w:val="00B75D54"/>
    <w:rsid w:val="00B8290E"/>
    <w:rsid w:val="00B84A4B"/>
    <w:rsid w:val="00B860DF"/>
    <w:rsid w:val="00B86A32"/>
    <w:rsid w:val="00B872F7"/>
    <w:rsid w:val="00B902C8"/>
    <w:rsid w:val="00B91009"/>
    <w:rsid w:val="00B91C8A"/>
    <w:rsid w:val="00B920AB"/>
    <w:rsid w:val="00B92AB7"/>
    <w:rsid w:val="00B92B73"/>
    <w:rsid w:val="00BA209E"/>
    <w:rsid w:val="00BA26D4"/>
    <w:rsid w:val="00BB69F9"/>
    <w:rsid w:val="00BC6447"/>
    <w:rsid w:val="00BD7EF8"/>
    <w:rsid w:val="00BE05B5"/>
    <w:rsid w:val="00BE76E7"/>
    <w:rsid w:val="00BE7958"/>
    <w:rsid w:val="00BF22B4"/>
    <w:rsid w:val="00BF45BA"/>
    <w:rsid w:val="00C00ED1"/>
    <w:rsid w:val="00C1167B"/>
    <w:rsid w:val="00C22D37"/>
    <w:rsid w:val="00C23DBA"/>
    <w:rsid w:val="00C262FE"/>
    <w:rsid w:val="00C266A5"/>
    <w:rsid w:val="00C26DF7"/>
    <w:rsid w:val="00C30DDD"/>
    <w:rsid w:val="00C36563"/>
    <w:rsid w:val="00C42DC6"/>
    <w:rsid w:val="00C430F6"/>
    <w:rsid w:val="00C44A09"/>
    <w:rsid w:val="00C46644"/>
    <w:rsid w:val="00C5218B"/>
    <w:rsid w:val="00C52243"/>
    <w:rsid w:val="00C70307"/>
    <w:rsid w:val="00C77CB0"/>
    <w:rsid w:val="00C80691"/>
    <w:rsid w:val="00CB264C"/>
    <w:rsid w:val="00CB2F9F"/>
    <w:rsid w:val="00CB501E"/>
    <w:rsid w:val="00CD6046"/>
    <w:rsid w:val="00CE06CD"/>
    <w:rsid w:val="00CE7B2E"/>
    <w:rsid w:val="00CF2732"/>
    <w:rsid w:val="00CF4592"/>
    <w:rsid w:val="00CF7B01"/>
    <w:rsid w:val="00D2003C"/>
    <w:rsid w:val="00D2079D"/>
    <w:rsid w:val="00D24B68"/>
    <w:rsid w:val="00D41EE0"/>
    <w:rsid w:val="00D42538"/>
    <w:rsid w:val="00D56175"/>
    <w:rsid w:val="00D6360E"/>
    <w:rsid w:val="00D65B61"/>
    <w:rsid w:val="00D7247D"/>
    <w:rsid w:val="00D76772"/>
    <w:rsid w:val="00D82ECE"/>
    <w:rsid w:val="00D8595F"/>
    <w:rsid w:val="00D95FE9"/>
    <w:rsid w:val="00D9687C"/>
    <w:rsid w:val="00DA21D8"/>
    <w:rsid w:val="00DA37C3"/>
    <w:rsid w:val="00DB4CC2"/>
    <w:rsid w:val="00DC0127"/>
    <w:rsid w:val="00DC2709"/>
    <w:rsid w:val="00DC67DB"/>
    <w:rsid w:val="00DD3B85"/>
    <w:rsid w:val="00DD62F5"/>
    <w:rsid w:val="00DE3065"/>
    <w:rsid w:val="00E013C6"/>
    <w:rsid w:val="00E02DD5"/>
    <w:rsid w:val="00E04896"/>
    <w:rsid w:val="00E12B47"/>
    <w:rsid w:val="00E14EC7"/>
    <w:rsid w:val="00E260BE"/>
    <w:rsid w:val="00E31443"/>
    <w:rsid w:val="00E32F7D"/>
    <w:rsid w:val="00E361E2"/>
    <w:rsid w:val="00E47379"/>
    <w:rsid w:val="00E6258C"/>
    <w:rsid w:val="00E62B41"/>
    <w:rsid w:val="00E67555"/>
    <w:rsid w:val="00E8037D"/>
    <w:rsid w:val="00E846CF"/>
    <w:rsid w:val="00E8705A"/>
    <w:rsid w:val="00EA4772"/>
    <w:rsid w:val="00EB1FEA"/>
    <w:rsid w:val="00EC0B84"/>
    <w:rsid w:val="00ED0C37"/>
    <w:rsid w:val="00ED3EA0"/>
    <w:rsid w:val="00EF2B7C"/>
    <w:rsid w:val="00EF2C6F"/>
    <w:rsid w:val="00EF7437"/>
    <w:rsid w:val="00EF767C"/>
    <w:rsid w:val="00F03648"/>
    <w:rsid w:val="00F03896"/>
    <w:rsid w:val="00F04982"/>
    <w:rsid w:val="00F06BE0"/>
    <w:rsid w:val="00F23A44"/>
    <w:rsid w:val="00F2539B"/>
    <w:rsid w:val="00F25CB0"/>
    <w:rsid w:val="00F409B9"/>
    <w:rsid w:val="00F60405"/>
    <w:rsid w:val="00F63934"/>
    <w:rsid w:val="00F648EF"/>
    <w:rsid w:val="00F843FB"/>
    <w:rsid w:val="00F93FC9"/>
    <w:rsid w:val="00F967CA"/>
    <w:rsid w:val="00FA2ECA"/>
    <w:rsid w:val="00FB16E7"/>
    <w:rsid w:val="00FB3118"/>
    <w:rsid w:val="00FB33FA"/>
    <w:rsid w:val="00FB7867"/>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D1"/>
  </w:style>
  <w:style w:type="paragraph" w:styleId="Heading1">
    <w:name w:val="heading 1"/>
    <w:basedOn w:val="Normal"/>
    <w:link w:val="Heading1Char"/>
    <w:uiPriority w:val="9"/>
    <w:qFormat/>
    <w:locked/>
    <w:rsid w:val="008D206F"/>
    <w:pPr>
      <w:widowControl w:val="0"/>
      <w:autoSpaceDE w:val="0"/>
      <w:autoSpaceDN w:val="0"/>
      <w:ind w:left="1980" w:hanging="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1"/>
    <w:qFormat/>
    <w:rsid w:val="001275E9"/>
    <w:rPr>
      <w:sz w:val="24"/>
    </w:rPr>
  </w:style>
  <w:style w:type="character" w:customStyle="1" w:styleId="BodyTextChar">
    <w:name w:val="Body Text Char"/>
    <w:link w:val="BodyText"/>
    <w:uiPriority w:val="99"/>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1"/>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 w:type="character" w:customStyle="1" w:styleId="Heading1Char">
    <w:name w:val="Heading 1 Char"/>
    <w:basedOn w:val="DefaultParagraphFont"/>
    <w:link w:val="Heading1"/>
    <w:uiPriority w:val="9"/>
    <w:rsid w:val="008D206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92322w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12DA7-9C9D-418E-B5F6-E08E9F3AC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3</cp:revision>
  <cp:lastPrinted>2022-08-11T21:43:00Z</cp:lastPrinted>
  <dcterms:created xsi:type="dcterms:W3CDTF">2022-09-15T20:03:00Z</dcterms:created>
  <dcterms:modified xsi:type="dcterms:W3CDTF">2022-09-16T20:01:00Z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