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08650" w14:textId="7872FA51" w:rsidR="00B747F8" w:rsidRPr="00464C94" w:rsidRDefault="000D1B3B" w:rsidP="00B747F8">
      <w:pPr>
        <w:ind w:left="1440" w:hanging="1440"/>
        <w:jc w:val="right"/>
        <w:rPr>
          <w:bCs/>
        </w:rPr>
      </w:pPr>
      <w:r>
        <w:rPr>
          <w:bCs/>
        </w:rPr>
        <w:t>Posted</w:t>
      </w:r>
    </w:p>
    <w:p w14:paraId="769D6009" w14:textId="684834D0" w:rsidR="00B747F8" w:rsidRPr="00464C94" w:rsidRDefault="00B747F8" w:rsidP="00B747F8">
      <w:pPr>
        <w:ind w:left="1440" w:hanging="1440"/>
        <w:jc w:val="right"/>
        <w:rPr>
          <w:bCs/>
        </w:rPr>
      </w:pPr>
      <w:r w:rsidRPr="00464C94">
        <w:rPr>
          <w:bCs/>
        </w:rPr>
        <w:t>August 1</w:t>
      </w:r>
      <w:r w:rsidR="004D7B1A">
        <w:rPr>
          <w:bCs/>
        </w:rPr>
        <w:t>6</w:t>
      </w:r>
      <w:r w:rsidRPr="00464C94">
        <w:rPr>
          <w:bCs/>
        </w:rPr>
        <w:t>, 2021</w:t>
      </w:r>
    </w:p>
    <w:p w14:paraId="7EA5EF2F" w14:textId="0800FFD8" w:rsidR="00B747F8" w:rsidRPr="00464C94" w:rsidRDefault="00B747F8" w:rsidP="00175E30">
      <w:pPr>
        <w:spacing w:before="120"/>
        <w:ind w:left="1440" w:hanging="1440"/>
        <w:rPr>
          <w:bCs/>
        </w:rPr>
      </w:pPr>
      <w:r w:rsidRPr="00464C94">
        <w:rPr>
          <w:b/>
        </w:rPr>
        <w:t xml:space="preserve">TO: </w:t>
      </w:r>
      <w:r w:rsidRPr="00464C94">
        <w:rPr>
          <w:b/>
        </w:rPr>
        <w:tab/>
      </w:r>
      <w:r w:rsidRPr="00464C94">
        <w:rPr>
          <w:bCs/>
        </w:rPr>
        <w:t>NAESB Board Gas Electric Harmonization</w:t>
      </w:r>
    </w:p>
    <w:p w14:paraId="3ED5E818" w14:textId="6FB7CCA2" w:rsidR="00B747F8" w:rsidRPr="00464C94" w:rsidRDefault="00B747F8" w:rsidP="00B747F8">
      <w:pPr>
        <w:spacing w:before="120"/>
        <w:rPr>
          <w:bCs/>
        </w:rPr>
      </w:pPr>
      <w:r w:rsidRPr="00464C94">
        <w:rPr>
          <w:b/>
        </w:rPr>
        <w:t xml:space="preserve">FROM: </w:t>
      </w:r>
      <w:r w:rsidRPr="00464C94">
        <w:rPr>
          <w:b/>
        </w:rPr>
        <w:tab/>
      </w:r>
      <w:r w:rsidRPr="00464C94">
        <w:t>R</w:t>
      </w:r>
      <w:r w:rsidRPr="00464C94">
        <w:rPr>
          <w:bCs/>
        </w:rPr>
        <w:t>ae McQuade, NAESB President &amp; Jonathan Booe, Executive Vice President &amp; CAO</w:t>
      </w:r>
    </w:p>
    <w:p w14:paraId="2F35AAAD" w14:textId="43CDA29B" w:rsidR="00B747F8" w:rsidRPr="00464C94" w:rsidRDefault="00B747F8" w:rsidP="00B747F8">
      <w:pPr>
        <w:pBdr>
          <w:bottom w:val="single" w:sz="12" w:space="1" w:color="auto"/>
        </w:pBdr>
        <w:spacing w:before="120"/>
        <w:ind w:left="1440" w:hanging="1440"/>
        <w:rPr>
          <w:bCs/>
        </w:rPr>
      </w:pPr>
      <w:r w:rsidRPr="00464C94">
        <w:rPr>
          <w:b/>
        </w:rPr>
        <w:t xml:space="preserve">RE: </w:t>
      </w:r>
      <w:r w:rsidRPr="00464C94">
        <w:rPr>
          <w:b/>
        </w:rPr>
        <w:tab/>
      </w:r>
      <w:r w:rsidRPr="00464C94">
        <w:rPr>
          <w:bCs/>
        </w:rPr>
        <w:t xml:space="preserve">NAESB Gas-Electric Coordination Efforts – </w:t>
      </w:r>
      <w:r w:rsidR="00F51E2D">
        <w:rPr>
          <w:b/>
        </w:rPr>
        <w:t>Identified Policy</w:t>
      </w:r>
      <w:r w:rsidR="0011258F">
        <w:rPr>
          <w:b/>
        </w:rPr>
        <w:t xml:space="preserve"> &amp; Issues</w:t>
      </w:r>
      <w:r w:rsidR="00F51E2D">
        <w:rPr>
          <w:b/>
        </w:rPr>
        <w:t xml:space="preserve"> Considerations</w:t>
      </w:r>
      <w:r w:rsidR="00EF421E" w:rsidRPr="00EF421E">
        <w:rPr>
          <w:b/>
        </w:rPr>
        <w:t xml:space="preserve"> </w:t>
      </w:r>
      <w:r w:rsidRPr="00EF421E">
        <w:rPr>
          <w:b/>
        </w:rPr>
        <w:t>Work Paper</w:t>
      </w:r>
    </w:p>
    <w:p w14:paraId="61161F02" w14:textId="17B66494" w:rsidR="00FF0018" w:rsidRPr="00464C94" w:rsidRDefault="00D23A9B" w:rsidP="00B747F8">
      <w:pPr>
        <w:spacing w:before="120"/>
      </w:pPr>
      <w:r>
        <w:t xml:space="preserve">During the July 28, 2021 NAESB Gas-Electric Harmonization Committee meeting, the Co-chairs requested that a work paper be developed that </w:t>
      </w:r>
      <w:r w:rsidR="00383DFD">
        <w:t xml:space="preserve">provides </w:t>
      </w:r>
      <w:r>
        <w:t>the</w:t>
      </w:r>
      <w:r w:rsidR="00383DFD">
        <w:t xml:space="preserve"> policy considerations</w:t>
      </w:r>
      <w:r w:rsidR="000844D8">
        <w:t xml:space="preserve"> and other issues</w:t>
      </w:r>
      <w:r w:rsidR="00383DFD">
        <w:t xml:space="preserve"> that have been identified by NAESB in previous gas and electric market coordination efforts </w:t>
      </w:r>
      <w:r w:rsidR="009C08A1">
        <w:t xml:space="preserve">undertaken by the Committee </w:t>
      </w:r>
      <w:r w:rsidR="00383DFD">
        <w:t xml:space="preserve">and </w:t>
      </w:r>
      <w:r w:rsidR="009C08A1">
        <w:t xml:space="preserve">subsequently </w:t>
      </w:r>
      <w:r w:rsidR="000844D8">
        <w:t>provided to the Commission</w:t>
      </w:r>
      <w:r w:rsidR="00383DFD">
        <w:t xml:space="preserve">.   </w:t>
      </w:r>
      <w:r w:rsidR="00FF0018" w:rsidRPr="00464C94">
        <w:t xml:space="preserve">The tables below provide </w:t>
      </w:r>
      <w:r w:rsidR="00EF421E">
        <w:t xml:space="preserve">the </w:t>
      </w:r>
      <w:r w:rsidR="007C649F">
        <w:t xml:space="preserve">identified </w:t>
      </w:r>
      <w:r w:rsidR="00383DFD">
        <w:t>policy considerations</w:t>
      </w:r>
      <w:r w:rsidR="007C649F">
        <w:t>, the FERC response</w:t>
      </w:r>
      <w:r w:rsidR="009C08A1">
        <w:t>s</w:t>
      </w:r>
      <w:r w:rsidR="007C649F">
        <w:t>, and subsequent NAESB action</w:t>
      </w:r>
      <w:r w:rsidR="009C08A1">
        <w:t>s</w:t>
      </w:r>
      <w:r w:rsidR="007C649F">
        <w:t>.  They are</w:t>
      </w:r>
      <w:r w:rsidR="00383DFD">
        <w:t xml:space="preserve"> organized by the following NAESB efforts</w:t>
      </w:r>
      <w:r w:rsidR="00FF0018" w:rsidRPr="00464C94">
        <w:t>:</w:t>
      </w:r>
    </w:p>
    <w:p w14:paraId="610ED9B4" w14:textId="7AE82097" w:rsidR="00322DCD" w:rsidRPr="00464C94" w:rsidRDefault="00FF0018" w:rsidP="00FF0018">
      <w:pPr>
        <w:pStyle w:val="ListParagraph"/>
        <w:numPr>
          <w:ilvl w:val="0"/>
          <w:numId w:val="24"/>
        </w:numPr>
        <w:spacing w:before="120"/>
      </w:pPr>
      <w:r w:rsidRPr="00464C94">
        <w:t xml:space="preserve">NAESB Gas and Electric Interdependency Report </w:t>
      </w:r>
      <w:r w:rsidR="003F7589">
        <w:t>(2006)</w:t>
      </w:r>
    </w:p>
    <w:p w14:paraId="1026CD5E" w14:textId="0E19ED04" w:rsidR="00FF0018" w:rsidRPr="00464C94" w:rsidRDefault="007C649F" w:rsidP="00FF0018">
      <w:pPr>
        <w:pStyle w:val="ListParagraph"/>
        <w:numPr>
          <w:ilvl w:val="0"/>
          <w:numId w:val="24"/>
        </w:numPr>
        <w:spacing w:before="120"/>
      </w:pPr>
      <w:r>
        <w:t xml:space="preserve">NAESB Report in </w:t>
      </w:r>
      <w:r w:rsidR="00B56F05" w:rsidRPr="00464C94">
        <w:t xml:space="preserve">Response to </w:t>
      </w:r>
      <w:r>
        <w:t xml:space="preserve">the </w:t>
      </w:r>
      <w:r w:rsidR="00FF0018" w:rsidRPr="00464C94">
        <w:t>National Petroleum Council Study (2011)</w:t>
      </w:r>
    </w:p>
    <w:p w14:paraId="734B920C" w14:textId="4BEA86D1" w:rsidR="00FF0018" w:rsidRPr="00464C94" w:rsidRDefault="00D550D1" w:rsidP="00FF0018">
      <w:pPr>
        <w:pStyle w:val="ListParagraph"/>
        <w:numPr>
          <w:ilvl w:val="0"/>
          <w:numId w:val="24"/>
        </w:numPr>
        <w:spacing w:before="120"/>
      </w:pPr>
      <w:r>
        <w:t xml:space="preserve">NAESB </w:t>
      </w:r>
      <w:r w:rsidR="00B56F05" w:rsidRPr="00464C94">
        <w:t>Response to FERC Notice of Proposed Rulemaking, Coordination of the Scheduling Processes of Interstate Natural Gas Pipelines and Public Utilities (2014)</w:t>
      </w:r>
    </w:p>
    <w:p w14:paraId="1C518839" w14:textId="0651DAC0" w:rsidR="00B56F05" w:rsidRDefault="003C1B34" w:rsidP="00FF0018">
      <w:pPr>
        <w:pStyle w:val="ListParagraph"/>
        <w:numPr>
          <w:ilvl w:val="0"/>
          <w:numId w:val="24"/>
        </w:numPr>
        <w:spacing w:before="120"/>
      </w:pPr>
      <w:r>
        <w:t xml:space="preserve">NAESB </w:t>
      </w:r>
      <w:r w:rsidR="00B56F05" w:rsidRPr="00464C94">
        <w:t>Response to FERC Order No. 809 (2017)</w:t>
      </w:r>
    </w:p>
    <w:p w14:paraId="0B4625A2" w14:textId="0D41A35D" w:rsidR="00383DFD" w:rsidRPr="00464C94" w:rsidRDefault="00383DFD" w:rsidP="003C1B34">
      <w:pPr>
        <w:pStyle w:val="ListParagraph"/>
        <w:spacing w:before="120"/>
        <w:ind w:left="768"/>
      </w:pPr>
    </w:p>
    <w:p w14:paraId="7F7C252D" w14:textId="4661B096" w:rsidR="00066516" w:rsidRDefault="00066516" w:rsidP="00EF421E">
      <w:pPr>
        <w:pStyle w:val="BodyText"/>
        <w:spacing w:before="60"/>
        <w:outlineLvl w:val="0"/>
        <w:rPr>
          <w:b/>
          <w:sz w:val="20"/>
        </w:rPr>
      </w:pPr>
    </w:p>
    <w:p w14:paraId="68CF0724" w14:textId="77777777" w:rsidR="00B747F8" w:rsidRDefault="00B747F8">
      <w:pPr>
        <w:pStyle w:val="BodyText"/>
        <w:spacing w:before="60"/>
        <w:jc w:val="center"/>
        <w:outlineLvl w:val="0"/>
        <w:rPr>
          <w:b/>
          <w:sz w:val="20"/>
        </w:rPr>
      </w:pPr>
    </w:p>
    <w:p w14:paraId="489E1F61" w14:textId="7526B3DC" w:rsidR="00B747F8" w:rsidRDefault="00B747F8" w:rsidP="007C649F">
      <w:pPr>
        <w:pStyle w:val="BodyText"/>
        <w:spacing w:before="60"/>
        <w:outlineLvl w:val="0"/>
        <w:rPr>
          <w:b/>
          <w:sz w:val="20"/>
        </w:rPr>
        <w:sectPr w:rsidR="00B747F8" w:rsidSect="00B747F8">
          <w:headerReference w:type="default" r:id="rId8"/>
          <w:footerReference w:type="default" r:id="rId9"/>
          <w:pgSz w:w="12240" w:h="15840"/>
          <w:pgMar w:top="1440" w:right="1440" w:bottom="1440" w:left="1440" w:header="720" w:footer="720" w:gutter="0"/>
          <w:cols w:space="720"/>
          <w:docGrid w:linePitch="360"/>
        </w:sectPr>
      </w:pPr>
    </w:p>
    <w:tbl>
      <w:tblPr>
        <w:tblStyle w:val="TableGrid"/>
        <w:tblW w:w="14448" w:type="dxa"/>
        <w:jc w:val="center"/>
        <w:tblLook w:val="04A0" w:firstRow="1" w:lastRow="0" w:firstColumn="1" w:lastColumn="0" w:noHBand="0" w:noVBand="1"/>
      </w:tblPr>
      <w:tblGrid>
        <w:gridCol w:w="443"/>
        <w:gridCol w:w="378"/>
        <w:gridCol w:w="6194"/>
        <w:gridCol w:w="5547"/>
        <w:gridCol w:w="1886"/>
      </w:tblGrid>
      <w:tr w:rsidR="005A7E44" w:rsidRPr="004E3536" w14:paraId="2ECCAA0C" w14:textId="77777777" w:rsidTr="004D7B1A">
        <w:trPr>
          <w:jc w:val="center"/>
        </w:trPr>
        <w:tc>
          <w:tcPr>
            <w:tcW w:w="443" w:type="dxa"/>
          </w:tcPr>
          <w:p w14:paraId="61CC7951" w14:textId="0A22FE49" w:rsidR="005A7E44" w:rsidRPr="004E3536" w:rsidRDefault="004E3536" w:rsidP="004D7B1A">
            <w:pPr>
              <w:pStyle w:val="BodyText"/>
              <w:widowControl w:val="0"/>
              <w:spacing w:before="80" w:after="40"/>
              <w:jc w:val="center"/>
              <w:outlineLvl w:val="0"/>
              <w:rPr>
                <w:b/>
                <w:sz w:val="20"/>
              </w:rPr>
            </w:pPr>
            <w:r>
              <w:rPr>
                <w:b/>
                <w:sz w:val="20"/>
              </w:rPr>
              <w:lastRenderedPageBreak/>
              <w:t>1.</w:t>
            </w:r>
            <w:r w:rsidR="005A7E44" w:rsidRPr="004E3536">
              <w:rPr>
                <w:b/>
                <w:sz w:val="20"/>
              </w:rPr>
              <w:t>)</w:t>
            </w:r>
          </w:p>
        </w:tc>
        <w:tc>
          <w:tcPr>
            <w:tcW w:w="14005" w:type="dxa"/>
            <w:gridSpan w:val="4"/>
          </w:tcPr>
          <w:p w14:paraId="7C56F39C" w14:textId="15733F12" w:rsidR="005A7E44" w:rsidRPr="004E3536" w:rsidRDefault="004E3536" w:rsidP="004D7B1A">
            <w:pPr>
              <w:pStyle w:val="BodyText"/>
              <w:widowControl w:val="0"/>
              <w:spacing w:before="80" w:after="40"/>
              <w:outlineLvl w:val="0"/>
              <w:rPr>
                <w:b/>
                <w:sz w:val="20"/>
              </w:rPr>
            </w:pPr>
            <w:r w:rsidRPr="004E3536">
              <w:rPr>
                <w:b/>
                <w:bCs/>
                <w:sz w:val="20"/>
              </w:rPr>
              <w:t xml:space="preserve">NAESB Gas and Electric Interdependency Report </w:t>
            </w:r>
            <w:r w:rsidR="003F7589">
              <w:rPr>
                <w:b/>
                <w:bCs/>
                <w:sz w:val="20"/>
              </w:rPr>
              <w:t>(2006)</w:t>
            </w:r>
          </w:p>
        </w:tc>
      </w:tr>
      <w:tr w:rsidR="004E3536" w:rsidRPr="004E3536" w14:paraId="7871141B" w14:textId="77777777" w:rsidTr="004D7B1A">
        <w:trPr>
          <w:jc w:val="center"/>
        </w:trPr>
        <w:tc>
          <w:tcPr>
            <w:tcW w:w="443" w:type="dxa"/>
          </w:tcPr>
          <w:p w14:paraId="0ADBC0C8" w14:textId="77777777" w:rsidR="004E3536" w:rsidRPr="004E3536" w:rsidRDefault="004E3536" w:rsidP="004D7B1A">
            <w:pPr>
              <w:pStyle w:val="BodyText"/>
              <w:widowControl w:val="0"/>
              <w:spacing w:before="80" w:after="40"/>
              <w:jc w:val="center"/>
              <w:outlineLvl w:val="0"/>
              <w:rPr>
                <w:b/>
                <w:sz w:val="20"/>
              </w:rPr>
            </w:pPr>
          </w:p>
        </w:tc>
        <w:tc>
          <w:tcPr>
            <w:tcW w:w="6572" w:type="dxa"/>
            <w:gridSpan w:val="2"/>
          </w:tcPr>
          <w:p w14:paraId="202D3522" w14:textId="3D153C25" w:rsidR="004E3536" w:rsidRPr="004E3536" w:rsidRDefault="004E3536" w:rsidP="004D7B1A">
            <w:pPr>
              <w:pStyle w:val="BodyText"/>
              <w:widowControl w:val="0"/>
              <w:spacing w:before="60"/>
              <w:outlineLvl w:val="0"/>
              <w:rPr>
                <w:b/>
                <w:sz w:val="20"/>
              </w:rPr>
            </w:pPr>
            <w:r>
              <w:rPr>
                <w:b/>
                <w:sz w:val="20"/>
              </w:rPr>
              <w:t xml:space="preserve">Policy Considerations Identified </w:t>
            </w:r>
          </w:p>
        </w:tc>
        <w:tc>
          <w:tcPr>
            <w:tcW w:w="5547" w:type="dxa"/>
          </w:tcPr>
          <w:p w14:paraId="015C2914" w14:textId="5865B8BE" w:rsidR="004E3536" w:rsidRPr="004E3536" w:rsidRDefault="004E3536" w:rsidP="004D7B1A">
            <w:pPr>
              <w:pStyle w:val="BodyText"/>
              <w:widowControl w:val="0"/>
              <w:spacing w:before="60"/>
              <w:jc w:val="center"/>
              <w:outlineLvl w:val="0"/>
              <w:rPr>
                <w:b/>
                <w:sz w:val="20"/>
              </w:rPr>
            </w:pPr>
            <w:r>
              <w:rPr>
                <w:b/>
                <w:sz w:val="20"/>
              </w:rPr>
              <w:t>FERC Response</w:t>
            </w:r>
          </w:p>
        </w:tc>
        <w:tc>
          <w:tcPr>
            <w:tcW w:w="1886" w:type="dxa"/>
          </w:tcPr>
          <w:p w14:paraId="47A0A1EE" w14:textId="12B4148E" w:rsidR="004E3536" w:rsidRPr="004E3536" w:rsidRDefault="004E3536" w:rsidP="004D7B1A">
            <w:pPr>
              <w:pStyle w:val="BodyText"/>
              <w:widowControl w:val="0"/>
              <w:spacing w:before="60"/>
              <w:jc w:val="center"/>
              <w:outlineLvl w:val="0"/>
              <w:rPr>
                <w:b/>
                <w:sz w:val="20"/>
              </w:rPr>
            </w:pPr>
            <w:r>
              <w:rPr>
                <w:b/>
                <w:sz w:val="20"/>
              </w:rPr>
              <w:t>NAESB Action</w:t>
            </w:r>
          </w:p>
        </w:tc>
      </w:tr>
      <w:tr w:rsidR="004E3536" w:rsidRPr="004E3536" w14:paraId="134CAA49" w14:textId="77777777" w:rsidTr="004D7B1A">
        <w:trPr>
          <w:jc w:val="center"/>
        </w:trPr>
        <w:tc>
          <w:tcPr>
            <w:tcW w:w="443" w:type="dxa"/>
          </w:tcPr>
          <w:p w14:paraId="7DFCADAB" w14:textId="77777777" w:rsidR="004E3536" w:rsidRPr="004E3536" w:rsidRDefault="004E3536" w:rsidP="004D7B1A">
            <w:pPr>
              <w:pStyle w:val="BodyText"/>
              <w:widowControl w:val="0"/>
              <w:spacing w:before="80" w:after="40"/>
              <w:jc w:val="center"/>
              <w:outlineLvl w:val="0"/>
              <w:rPr>
                <w:b/>
                <w:sz w:val="20"/>
              </w:rPr>
            </w:pPr>
          </w:p>
        </w:tc>
        <w:tc>
          <w:tcPr>
            <w:tcW w:w="378" w:type="dxa"/>
          </w:tcPr>
          <w:p w14:paraId="619F62D8" w14:textId="19336B9A" w:rsidR="004E3536" w:rsidRPr="004E3536" w:rsidRDefault="004E3536" w:rsidP="004D7B1A">
            <w:pPr>
              <w:pStyle w:val="BodyText"/>
              <w:widowControl w:val="0"/>
              <w:spacing w:before="80" w:after="40"/>
              <w:outlineLvl w:val="0"/>
              <w:rPr>
                <w:b/>
                <w:sz w:val="20"/>
              </w:rPr>
            </w:pPr>
            <w:r>
              <w:rPr>
                <w:b/>
                <w:sz w:val="20"/>
              </w:rPr>
              <w:t>a.</w:t>
            </w:r>
          </w:p>
        </w:tc>
        <w:tc>
          <w:tcPr>
            <w:tcW w:w="6194" w:type="dxa"/>
          </w:tcPr>
          <w:p w14:paraId="2208DEB7" w14:textId="3A63287F" w:rsidR="004E3536" w:rsidRPr="00296119" w:rsidRDefault="00296119" w:rsidP="004D7B1A">
            <w:pPr>
              <w:pStyle w:val="BodyText"/>
              <w:widowControl w:val="0"/>
              <w:spacing w:before="60"/>
              <w:outlineLvl w:val="0"/>
              <w:rPr>
                <w:bCs/>
                <w:sz w:val="20"/>
              </w:rPr>
            </w:pPr>
            <w:r>
              <w:rPr>
                <w:bCs/>
                <w:sz w:val="20"/>
              </w:rPr>
              <w:t>In</w:t>
            </w:r>
            <w:r w:rsidRPr="00296119">
              <w:rPr>
                <w:bCs/>
                <w:sz w:val="20"/>
              </w:rPr>
              <w:t xml:space="preserve"> the development of standards to support Capacity Release pricing on an index</w:t>
            </w:r>
            <w:r>
              <w:rPr>
                <w:bCs/>
                <w:sz w:val="20"/>
              </w:rPr>
              <w:t xml:space="preserve"> </w:t>
            </w:r>
            <w:r w:rsidRPr="00296119">
              <w:rPr>
                <w:bCs/>
                <w:sz w:val="20"/>
              </w:rPr>
              <w:t>for</w:t>
            </w:r>
            <w:r>
              <w:rPr>
                <w:bCs/>
                <w:sz w:val="20"/>
              </w:rPr>
              <w:t xml:space="preserve"> </w:t>
            </w:r>
            <w:r w:rsidRPr="00296119">
              <w:rPr>
                <w:bCs/>
                <w:sz w:val="20"/>
              </w:rPr>
              <w:t>those pipelines that have the FERC authority to enter into negotiated rates and discount capacity on an index</w:t>
            </w:r>
            <w:r>
              <w:rPr>
                <w:bCs/>
                <w:sz w:val="20"/>
              </w:rPr>
              <w:t xml:space="preserve"> </w:t>
            </w:r>
            <w:r w:rsidRPr="00296119">
              <w:rPr>
                <w:bCs/>
                <w:sz w:val="20"/>
              </w:rPr>
              <w:t>basis</w:t>
            </w:r>
            <w:r>
              <w:rPr>
                <w:bCs/>
                <w:sz w:val="20"/>
              </w:rPr>
              <w:t>, r</w:t>
            </w:r>
            <w:r w:rsidRPr="00296119">
              <w:rPr>
                <w:bCs/>
                <w:sz w:val="20"/>
              </w:rPr>
              <w:t xml:space="preserve">emoval of the pricing cap </w:t>
            </w:r>
            <w:r>
              <w:rPr>
                <w:bCs/>
                <w:sz w:val="20"/>
              </w:rPr>
              <w:t>(maximum tariff rate) may</w:t>
            </w:r>
            <w:r w:rsidRPr="00296119">
              <w:rPr>
                <w:bCs/>
                <w:sz w:val="20"/>
              </w:rPr>
              <w:t xml:space="preserve"> make it more attractive for firm gas transportation holders to release the</w:t>
            </w:r>
            <w:r>
              <w:rPr>
                <w:bCs/>
                <w:sz w:val="20"/>
              </w:rPr>
              <w:t xml:space="preserve"> </w:t>
            </w:r>
            <w:r w:rsidRPr="00296119">
              <w:rPr>
                <w:bCs/>
                <w:sz w:val="20"/>
              </w:rPr>
              <w:t>capacity to others</w:t>
            </w:r>
            <w:r>
              <w:rPr>
                <w:bCs/>
                <w:sz w:val="20"/>
              </w:rPr>
              <w:t xml:space="preserve">.  </w:t>
            </w:r>
          </w:p>
        </w:tc>
        <w:tc>
          <w:tcPr>
            <w:tcW w:w="5547" w:type="dxa"/>
          </w:tcPr>
          <w:p w14:paraId="57E69ADE" w14:textId="47E0CFD4" w:rsidR="004E3536" w:rsidRDefault="00DC298B" w:rsidP="004D7B1A">
            <w:pPr>
              <w:pStyle w:val="BodyText"/>
              <w:widowControl w:val="0"/>
              <w:spacing w:before="60"/>
              <w:outlineLvl w:val="0"/>
              <w:rPr>
                <w:bCs/>
                <w:sz w:val="20"/>
              </w:rPr>
            </w:pPr>
            <w:r w:rsidRPr="00DC298B">
              <w:rPr>
                <w:bCs/>
                <w:sz w:val="20"/>
              </w:rPr>
              <w:t>FERC Order No. 698</w:t>
            </w:r>
            <w:r>
              <w:rPr>
                <w:bCs/>
                <w:sz w:val="20"/>
              </w:rPr>
              <w:t xml:space="preserve"> ¶ 55-57</w:t>
            </w:r>
          </w:p>
          <w:p w14:paraId="4954DF48" w14:textId="789E43E9" w:rsidR="00DC298B" w:rsidRPr="00DC298B" w:rsidRDefault="00DC298B" w:rsidP="004D7B1A">
            <w:pPr>
              <w:pStyle w:val="BodyText"/>
              <w:widowControl w:val="0"/>
              <w:spacing w:before="60"/>
              <w:outlineLvl w:val="0"/>
              <w:rPr>
                <w:bCs/>
                <w:sz w:val="20"/>
              </w:rPr>
            </w:pPr>
            <w:r>
              <w:rPr>
                <w:bCs/>
                <w:sz w:val="20"/>
              </w:rPr>
              <w:t>“</w:t>
            </w:r>
            <w:r w:rsidRPr="00DC298B">
              <w:rPr>
                <w:bCs/>
                <w:sz w:val="20"/>
              </w:rPr>
              <w:t xml:space="preserve">The Commission’s regulations permit releasing shippers to use price indices or other formula rates on all pipelines, regardless of whether the pipeline has included a provision allowing the use of indices as part of its discounting provisions, so long as the prices are less than maximum rate in the pipeline’s tariff.  Section 284.8(b) of the Commission’s regulations states that “firm shippers must be permitted to release their capacity, in whole or in part, without restrictions on the terms or conditions for release,” and section 284.8(e) mandates that such a release may not be “over the maximum rate.”  </w:t>
            </w:r>
          </w:p>
        </w:tc>
        <w:tc>
          <w:tcPr>
            <w:tcW w:w="1886" w:type="dxa"/>
          </w:tcPr>
          <w:p w14:paraId="5806ADF6" w14:textId="4A503EC8" w:rsidR="004E3536" w:rsidRPr="00DC298B" w:rsidRDefault="00DC298B" w:rsidP="004D7B1A">
            <w:pPr>
              <w:pStyle w:val="BodyText"/>
              <w:widowControl w:val="0"/>
              <w:spacing w:before="60"/>
              <w:outlineLvl w:val="0"/>
              <w:rPr>
                <w:bCs/>
                <w:sz w:val="20"/>
              </w:rPr>
            </w:pPr>
            <w:r w:rsidRPr="00DC298B">
              <w:rPr>
                <w:bCs/>
                <w:sz w:val="20"/>
              </w:rPr>
              <w:t xml:space="preserve">Standards </w:t>
            </w:r>
            <w:r w:rsidR="00BB7DF5">
              <w:rPr>
                <w:bCs/>
                <w:sz w:val="20"/>
              </w:rPr>
              <w:t>Adopted</w:t>
            </w:r>
            <w:r w:rsidRPr="00DC298B">
              <w:rPr>
                <w:bCs/>
                <w:sz w:val="20"/>
              </w:rPr>
              <w:t xml:space="preserve"> (see work paper)</w:t>
            </w:r>
          </w:p>
        </w:tc>
      </w:tr>
      <w:tr w:rsidR="00DC298B" w:rsidRPr="004E3536" w14:paraId="4222AEF3" w14:textId="77777777" w:rsidTr="004D7B1A">
        <w:trPr>
          <w:jc w:val="center"/>
        </w:trPr>
        <w:tc>
          <w:tcPr>
            <w:tcW w:w="443" w:type="dxa"/>
          </w:tcPr>
          <w:p w14:paraId="49BD1A19" w14:textId="77777777" w:rsidR="00DC298B" w:rsidRPr="004E3536" w:rsidRDefault="00DC298B" w:rsidP="004D7B1A">
            <w:pPr>
              <w:pStyle w:val="BodyText"/>
              <w:widowControl w:val="0"/>
              <w:spacing w:before="80" w:after="40"/>
              <w:jc w:val="center"/>
              <w:outlineLvl w:val="0"/>
              <w:rPr>
                <w:b/>
                <w:sz w:val="20"/>
              </w:rPr>
            </w:pPr>
          </w:p>
        </w:tc>
        <w:tc>
          <w:tcPr>
            <w:tcW w:w="378" w:type="dxa"/>
          </w:tcPr>
          <w:p w14:paraId="769EFDA8" w14:textId="241ED553" w:rsidR="00DC298B" w:rsidRDefault="00DC298B" w:rsidP="004D7B1A">
            <w:pPr>
              <w:pStyle w:val="BodyText"/>
              <w:widowControl w:val="0"/>
              <w:spacing w:before="80" w:after="40"/>
              <w:outlineLvl w:val="0"/>
              <w:rPr>
                <w:b/>
                <w:sz w:val="20"/>
              </w:rPr>
            </w:pPr>
            <w:r>
              <w:rPr>
                <w:b/>
                <w:sz w:val="20"/>
              </w:rPr>
              <w:t>b.</w:t>
            </w:r>
          </w:p>
        </w:tc>
        <w:tc>
          <w:tcPr>
            <w:tcW w:w="6194" w:type="dxa"/>
          </w:tcPr>
          <w:p w14:paraId="4C76084C" w14:textId="56B43A8B" w:rsidR="00DC298B" w:rsidRDefault="00BB7DF5" w:rsidP="004D7B1A">
            <w:pPr>
              <w:pStyle w:val="BodyText"/>
              <w:widowControl w:val="0"/>
              <w:spacing w:before="60"/>
              <w:outlineLvl w:val="0"/>
              <w:rPr>
                <w:bCs/>
                <w:sz w:val="20"/>
              </w:rPr>
            </w:pPr>
            <w:r>
              <w:rPr>
                <w:bCs/>
                <w:sz w:val="20"/>
              </w:rPr>
              <w:t>The addition of</w:t>
            </w:r>
            <w:r w:rsidRPr="00BB7DF5">
              <w:rPr>
                <w:bCs/>
                <w:sz w:val="20"/>
              </w:rPr>
              <w:t xml:space="preserve"> an additional intraday nomination cycle with</w:t>
            </w:r>
            <w:r>
              <w:rPr>
                <w:bCs/>
                <w:sz w:val="20"/>
              </w:rPr>
              <w:t xml:space="preserve"> </w:t>
            </w:r>
            <w:r w:rsidRPr="00BB7DF5">
              <w:rPr>
                <w:bCs/>
                <w:sz w:val="20"/>
              </w:rPr>
              <w:t xml:space="preserve">bumping rights </w:t>
            </w:r>
            <w:r>
              <w:rPr>
                <w:bCs/>
                <w:sz w:val="20"/>
              </w:rPr>
              <w:t>may</w:t>
            </w:r>
            <w:r w:rsidRPr="00BB7DF5">
              <w:rPr>
                <w:bCs/>
                <w:sz w:val="20"/>
              </w:rPr>
              <w:t xml:space="preserve"> provide more flexibility to shippers, including power generators, with</w:t>
            </w:r>
            <w:r>
              <w:rPr>
                <w:bCs/>
                <w:sz w:val="20"/>
              </w:rPr>
              <w:t xml:space="preserve"> </w:t>
            </w:r>
            <w:r w:rsidRPr="00BB7DF5">
              <w:rPr>
                <w:bCs/>
                <w:sz w:val="20"/>
              </w:rPr>
              <w:t>firm transportation rights such that they can nominate for natural gas supporting their</w:t>
            </w:r>
            <w:r>
              <w:rPr>
                <w:bCs/>
                <w:sz w:val="20"/>
              </w:rPr>
              <w:t xml:space="preserve"> </w:t>
            </w:r>
            <w:r w:rsidRPr="00BB7DF5">
              <w:rPr>
                <w:bCs/>
                <w:sz w:val="20"/>
              </w:rPr>
              <w:t>market clearing times.</w:t>
            </w:r>
          </w:p>
        </w:tc>
        <w:tc>
          <w:tcPr>
            <w:tcW w:w="5547" w:type="dxa"/>
          </w:tcPr>
          <w:p w14:paraId="2FB1BA04" w14:textId="0FCF7BFA" w:rsidR="00DC298B" w:rsidRDefault="00BB7DF5" w:rsidP="004D7B1A">
            <w:pPr>
              <w:pStyle w:val="BodyText"/>
              <w:widowControl w:val="0"/>
              <w:spacing w:before="60"/>
              <w:outlineLvl w:val="0"/>
              <w:rPr>
                <w:bCs/>
                <w:sz w:val="20"/>
              </w:rPr>
            </w:pPr>
            <w:r w:rsidRPr="00BB7DF5">
              <w:rPr>
                <w:bCs/>
                <w:sz w:val="20"/>
              </w:rPr>
              <w:t xml:space="preserve">FERC Order No. 698 ¶ </w:t>
            </w:r>
            <w:r w:rsidR="00A73FF8">
              <w:rPr>
                <w:bCs/>
                <w:sz w:val="20"/>
              </w:rPr>
              <w:t>69</w:t>
            </w:r>
          </w:p>
          <w:p w14:paraId="67292599" w14:textId="314F281D" w:rsidR="00BB7DF5" w:rsidRPr="00DC298B" w:rsidRDefault="00BB7DF5" w:rsidP="004D7B1A">
            <w:pPr>
              <w:pStyle w:val="BodyText"/>
              <w:widowControl w:val="0"/>
              <w:spacing w:before="60"/>
              <w:outlineLvl w:val="0"/>
              <w:rPr>
                <w:bCs/>
                <w:sz w:val="20"/>
              </w:rPr>
            </w:pPr>
            <w:r>
              <w:rPr>
                <w:bCs/>
                <w:sz w:val="20"/>
              </w:rPr>
              <w:t>“</w:t>
            </w:r>
            <w:r w:rsidR="00A73FF8" w:rsidRPr="00A73FF8">
              <w:rPr>
                <w:bCs/>
                <w:sz w:val="20"/>
              </w:rPr>
              <w:t>As we stated in the NOPR, the Commission has recognized the interest of interruptible shippers in achieving business certainty by making the last intra-day nomination opportunity one in which firm nominations do not bump interruptible nominations.   However, within the confines of current Commission policy, NAESB should actively consider whether changes to existing intra-day schedules would benefit all shippers, and provide better provide for coordination between gas and electric scheduling.  In addition, the NAESB nomination timeline establishes only the minimum requirement to which pipelines must adhere.  We fully expect that individual pipelines supporting gas-fired generators will be considering the addition of other intra-day nomination opportunities that would be of benefit to their shippers.</w:t>
            </w:r>
            <w:r w:rsidR="00A73FF8">
              <w:rPr>
                <w:bCs/>
                <w:sz w:val="20"/>
              </w:rPr>
              <w:t>”</w:t>
            </w:r>
          </w:p>
        </w:tc>
        <w:tc>
          <w:tcPr>
            <w:tcW w:w="1886" w:type="dxa"/>
          </w:tcPr>
          <w:p w14:paraId="30943E31" w14:textId="48637812" w:rsidR="00DC298B" w:rsidRPr="00DC298B" w:rsidRDefault="00F8599E" w:rsidP="004D7B1A">
            <w:pPr>
              <w:pStyle w:val="BodyText"/>
              <w:widowControl w:val="0"/>
              <w:spacing w:before="60"/>
              <w:outlineLvl w:val="0"/>
              <w:rPr>
                <w:bCs/>
                <w:sz w:val="20"/>
              </w:rPr>
            </w:pPr>
            <w:r>
              <w:rPr>
                <w:bCs/>
                <w:sz w:val="20"/>
              </w:rPr>
              <w:t>Standards not Adopted in Response</w:t>
            </w:r>
          </w:p>
        </w:tc>
      </w:tr>
      <w:tr w:rsidR="00F8599E" w:rsidRPr="004E3536" w14:paraId="5ADA43FE" w14:textId="77777777" w:rsidTr="004D7B1A">
        <w:trPr>
          <w:jc w:val="center"/>
        </w:trPr>
        <w:tc>
          <w:tcPr>
            <w:tcW w:w="443" w:type="dxa"/>
          </w:tcPr>
          <w:p w14:paraId="435324DA" w14:textId="77777777" w:rsidR="00F8599E" w:rsidRPr="004E3536" w:rsidRDefault="00F8599E" w:rsidP="004D7B1A">
            <w:pPr>
              <w:pStyle w:val="BodyText"/>
              <w:widowControl w:val="0"/>
              <w:spacing w:before="80" w:after="40"/>
              <w:jc w:val="center"/>
              <w:outlineLvl w:val="0"/>
              <w:rPr>
                <w:b/>
                <w:sz w:val="20"/>
              </w:rPr>
            </w:pPr>
          </w:p>
        </w:tc>
        <w:tc>
          <w:tcPr>
            <w:tcW w:w="378" w:type="dxa"/>
          </w:tcPr>
          <w:p w14:paraId="67B99FED" w14:textId="026C5857" w:rsidR="00F8599E" w:rsidRDefault="00F8599E" w:rsidP="004D7B1A">
            <w:pPr>
              <w:pStyle w:val="BodyText"/>
              <w:widowControl w:val="0"/>
              <w:spacing w:before="80" w:after="40"/>
              <w:outlineLvl w:val="0"/>
              <w:rPr>
                <w:b/>
                <w:sz w:val="20"/>
              </w:rPr>
            </w:pPr>
            <w:r>
              <w:rPr>
                <w:b/>
                <w:sz w:val="20"/>
              </w:rPr>
              <w:t>c.</w:t>
            </w:r>
          </w:p>
        </w:tc>
        <w:tc>
          <w:tcPr>
            <w:tcW w:w="6194" w:type="dxa"/>
          </w:tcPr>
          <w:p w14:paraId="5739340B" w14:textId="44C2AE50" w:rsidR="00F8599E" w:rsidRDefault="00D97A37" w:rsidP="004D7B1A">
            <w:pPr>
              <w:pStyle w:val="BodyText"/>
              <w:widowControl w:val="0"/>
              <w:spacing w:before="60"/>
              <w:outlineLvl w:val="0"/>
              <w:rPr>
                <w:bCs/>
                <w:sz w:val="20"/>
              </w:rPr>
            </w:pPr>
            <w:r>
              <w:rPr>
                <w:bCs/>
                <w:sz w:val="20"/>
              </w:rPr>
              <w:t>Allowing</w:t>
            </w:r>
            <w:r w:rsidRPr="00D97A37">
              <w:rPr>
                <w:bCs/>
                <w:sz w:val="20"/>
              </w:rPr>
              <w:t xml:space="preserve"> pipelines to shift gas for primary firm transportation within a pipeline path without having to re-offer as secondary firm transportation service</w:t>
            </w:r>
            <w:r>
              <w:rPr>
                <w:bCs/>
                <w:sz w:val="20"/>
              </w:rPr>
              <w:t xml:space="preserve"> would provide </w:t>
            </w:r>
            <w:r w:rsidRPr="00D97A37">
              <w:rPr>
                <w:bCs/>
                <w:sz w:val="20"/>
              </w:rPr>
              <w:t>customers with the flexibility to</w:t>
            </w:r>
            <w:r>
              <w:rPr>
                <w:bCs/>
                <w:sz w:val="20"/>
              </w:rPr>
              <w:t xml:space="preserve"> </w:t>
            </w:r>
            <w:r w:rsidRPr="00D97A37">
              <w:rPr>
                <w:bCs/>
                <w:sz w:val="20"/>
              </w:rPr>
              <w:t>adjust their schedules with changing market conditions</w:t>
            </w:r>
            <w:r>
              <w:rPr>
                <w:bCs/>
                <w:sz w:val="20"/>
              </w:rPr>
              <w:t xml:space="preserve"> without losing their original transportation priority</w:t>
            </w:r>
            <w:r w:rsidR="00A73FF8">
              <w:rPr>
                <w:bCs/>
                <w:sz w:val="20"/>
              </w:rPr>
              <w:t>.</w:t>
            </w:r>
          </w:p>
        </w:tc>
        <w:tc>
          <w:tcPr>
            <w:tcW w:w="5547" w:type="dxa"/>
          </w:tcPr>
          <w:p w14:paraId="7E41D743" w14:textId="021BD1D5" w:rsidR="00A73FF8" w:rsidRDefault="00A73FF8" w:rsidP="004D7B1A">
            <w:pPr>
              <w:pStyle w:val="BodyText"/>
              <w:widowControl w:val="0"/>
              <w:spacing w:before="60"/>
              <w:outlineLvl w:val="0"/>
              <w:rPr>
                <w:bCs/>
                <w:sz w:val="20"/>
              </w:rPr>
            </w:pPr>
            <w:r w:rsidRPr="00BB7DF5">
              <w:rPr>
                <w:bCs/>
                <w:sz w:val="20"/>
              </w:rPr>
              <w:t xml:space="preserve">FERC Order No. 698 ¶ </w:t>
            </w:r>
            <w:r>
              <w:rPr>
                <w:bCs/>
                <w:sz w:val="20"/>
              </w:rPr>
              <w:t>63</w:t>
            </w:r>
          </w:p>
          <w:p w14:paraId="488E67E2" w14:textId="62F2B82C" w:rsidR="00F8599E" w:rsidRPr="00BB7DF5" w:rsidRDefault="00A73FF8" w:rsidP="004D7B1A">
            <w:pPr>
              <w:pStyle w:val="BodyText"/>
              <w:widowControl w:val="0"/>
              <w:spacing w:before="60"/>
              <w:outlineLvl w:val="0"/>
              <w:rPr>
                <w:bCs/>
                <w:sz w:val="20"/>
              </w:rPr>
            </w:pPr>
            <w:r>
              <w:rPr>
                <w:bCs/>
                <w:sz w:val="20"/>
              </w:rPr>
              <w:t>“</w:t>
            </w:r>
            <w:r w:rsidRPr="00A73FF8">
              <w:rPr>
                <w:bCs/>
                <w:sz w:val="20"/>
              </w:rPr>
              <w:t xml:space="preserve">The Commission is not modifying its requirement for within-the-path scheduling as adopted in Order No. 637.  The example posited by NAESB appears consistent with the within-the-path scheduling concept and with pipeline proposals that have been accepted.   It would not be appropriate for the Commission here to try to provide generic clarification to cover all possible proposals by pipelines for according flexibility to shippers.  These proposals </w:t>
            </w:r>
            <w:r w:rsidRPr="00A73FF8">
              <w:rPr>
                <w:bCs/>
                <w:sz w:val="20"/>
              </w:rPr>
              <w:lastRenderedPageBreak/>
              <w:t>will have to be judged on an individual basis.  In addition, NAESB can consider through its consensus process possible standards for according increased receipt and delivery point flexibility.</w:t>
            </w:r>
            <w:r>
              <w:rPr>
                <w:bCs/>
                <w:sz w:val="20"/>
              </w:rPr>
              <w:t>”</w:t>
            </w:r>
          </w:p>
        </w:tc>
        <w:tc>
          <w:tcPr>
            <w:tcW w:w="1886" w:type="dxa"/>
          </w:tcPr>
          <w:p w14:paraId="1A34136F" w14:textId="55837BFC" w:rsidR="00F8599E" w:rsidRDefault="00A73FF8" w:rsidP="004D7B1A">
            <w:pPr>
              <w:pStyle w:val="BodyText"/>
              <w:widowControl w:val="0"/>
              <w:spacing w:before="60"/>
              <w:outlineLvl w:val="0"/>
              <w:rPr>
                <w:bCs/>
                <w:sz w:val="20"/>
              </w:rPr>
            </w:pPr>
            <w:r w:rsidRPr="00DC298B">
              <w:rPr>
                <w:bCs/>
                <w:sz w:val="20"/>
              </w:rPr>
              <w:lastRenderedPageBreak/>
              <w:t xml:space="preserve">Standards </w:t>
            </w:r>
            <w:r>
              <w:rPr>
                <w:bCs/>
                <w:sz w:val="20"/>
              </w:rPr>
              <w:t>Adopted</w:t>
            </w:r>
            <w:r w:rsidRPr="00DC298B">
              <w:rPr>
                <w:bCs/>
                <w:sz w:val="20"/>
              </w:rPr>
              <w:t xml:space="preserve"> (see work paper)</w:t>
            </w:r>
          </w:p>
        </w:tc>
      </w:tr>
      <w:tr w:rsidR="0084357C" w:rsidRPr="00074628" w14:paraId="206AA8AB" w14:textId="77777777" w:rsidTr="004D7B1A">
        <w:trPr>
          <w:jc w:val="center"/>
        </w:trPr>
        <w:tc>
          <w:tcPr>
            <w:tcW w:w="443" w:type="dxa"/>
          </w:tcPr>
          <w:p w14:paraId="30F3C2FE" w14:textId="4DFCB559" w:rsidR="0084357C" w:rsidRPr="004E3536" w:rsidRDefault="0084357C" w:rsidP="004D7B1A">
            <w:pPr>
              <w:pStyle w:val="BodyText"/>
              <w:widowControl w:val="0"/>
              <w:spacing w:before="80" w:after="40"/>
              <w:jc w:val="center"/>
              <w:outlineLvl w:val="0"/>
              <w:rPr>
                <w:b/>
                <w:sz w:val="20"/>
              </w:rPr>
            </w:pPr>
          </w:p>
        </w:tc>
        <w:tc>
          <w:tcPr>
            <w:tcW w:w="378" w:type="dxa"/>
          </w:tcPr>
          <w:p w14:paraId="128C5A3A" w14:textId="30FDFCEC" w:rsidR="0084357C" w:rsidRDefault="0084357C" w:rsidP="004D7B1A">
            <w:pPr>
              <w:pStyle w:val="BodyText"/>
              <w:widowControl w:val="0"/>
              <w:spacing w:before="80" w:after="40"/>
              <w:jc w:val="center"/>
              <w:outlineLvl w:val="0"/>
              <w:rPr>
                <w:b/>
                <w:sz w:val="20"/>
              </w:rPr>
            </w:pPr>
            <w:r>
              <w:rPr>
                <w:b/>
                <w:sz w:val="20"/>
              </w:rPr>
              <w:t>d.</w:t>
            </w:r>
          </w:p>
        </w:tc>
        <w:tc>
          <w:tcPr>
            <w:tcW w:w="6194" w:type="dxa"/>
          </w:tcPr>
          <w:p w14:paraId="2D6E0F48" w14:textId="55474ADC" w:rsidR="0084357C" w:rsidRPr="00074628" w:rsidRDefault="0084357C" w:rsidP="004D7B1A">
            <w:pPr>
              <w:pStyle w:val="BodyText"/>
              <w:widowControl w:val="0"/>
              <w:spacing w:before="60"/>
              <w:outlineLvl w:val="0"/>
              <w:rPr>
                <w:bCs/>
                <w:sz w:val="20"/>
              </w:rPr>
            </w:pPr>
            <w:r w:rsidRPr="00074628">
              <w:rPr>
                <w:bCs/>
                <w:sz w:val="20"/>
              </w:rPr>
              <w:t>Requiring gas-fired generators that offer into the day-ahead market for firm</w:t>
            </w:r>
            <w:r w:rsidR="00053082" w:rsidRPr="00074628">
              <w:rPr>
                <w:bCs/>
                <w:sz w:val="20"/>
              </w:rPr>
              <w:t xml:space="preserve"> power obligations </w:t>
            </w:r>
            <w:r w:rsidRPr="00074628">
              <w:rPr>
                <w:bCs/>
                <w:sz w:val="20"/>
              </w:rPr>
              <w:t xml:space="preserve">to have the corresponding commercial arrangements </w:t>
            </w:r>
            <w:r w:rsidR="00053082" w:rsidRPr="00074628">
              <w:rPr>
                <w:bCs/>
                <w:sz w:val="20"/>
              </w:rPr>
              <w:t xml:space="preserve">for fuel supply </w:t>
            </w:r>
            <w:r w:rsidRPr="00074628">
              <w:rPr>
                <w:bCs/>
                <w:sz w:val="20"/>
              </w:rPr>
              <w:t>to fulfill the needed obligations.</w:t>
            </w:r>
          </w:p>
        </w:tc>
        <w:tc>
          <w:tcPr>
            <w:tcW w:w="5547" w:type="dxa"/>
          </w:tcPr>
          <w:p w14:paraId="5227E06F" w14:textId="4D1E6DC4" w:rsidR="0084357C" w:rsidRPr="00074628" w:rsidRDefault="00053082" w:rsidP="004D7B1A">
            <w:pPr>
              <w:pStyle w:val="BodyText"/>
              <w:widowControl w:val="0"/>
              <w:spacing w:before="60"/>
              <w:outlineLvl w:val="0"/>
              <w:rPr>
                <w:bCs/>
                <w:sz w:val="20"/>
              </w:rPr>
            </w:pPr>
            <w:r w:rsidRPr="00074628">
              <w:rPr>
                <w:bCs/>
                <w:sz w:val="20"/>
              </w:rPr>
              <w:t>FERC NOPR October 25, 2006 ¶ 27</w:t>
            </w:r>
          </w:p>
          <w:p w14:paraId="724CF713" w14:textId="723E807E" w:rsidR="00053082" w:rsidRPr="00074628" w:rsidRDefault="00053082" w:rsidP="004D7B1A">
            <w:pPr>
              <w:pStyle w:val="BodyText"/>
              <w:widowControl w:val="0"/>
              <w:spacing w:before="60"/>
              <w:outlineLvl w:val="0"/>
              <w:rPr>
                <w:bCs/>
                <w:sz w:val="20"/>
              </w:rPr>
            </w:pPr>
            <w:r w:rsidRPr="00074628">
              <w:rPr>
                <w:bCs/>
                <w:sz w:val="20"/>
              </w:rPr>
              <w:t>“The NAESB report raised the issue of whether to develop standards regarding the appropriate commercial relationships that generators must have in bidding into day ahead markets, so that they have the appropriate gas commercial arrangements to fulfill the needed obligations. Some of the objections to such an effort, NAESB notes, are that it would interfere with company’s risk management strategies, and that reliability issues should be addressed by NERC. We agree that business practice standards requiring, for instance, that gas-fired generators have firm gas supply or gas transportation contracts would go beyond the scope of business practices.”</w:t>
            </w:r>
          </w:p>
        </w:tc>
        <w:tc>
          <w:tcPr>
            <w:tcW w:w="1886" w:type="dxa"/>
          </w:tcPr>
          <w:p w14:paraId="0DAF7D68" w14:textId="37AA3E05" w:rsidR="0084357C" w:rsidRPr="00074628" w:rsidRDefault="00053082" w:rsidP="004D7B1A">
            <w:pPr>
              <w:pStyle w:val="BodyText"/>
              <w:widowControl w:val="0"/>
              <w:spacing w:before="60"/>
              <w:outlineLvl w:val="0"/>
              <w:rPr>
                <w:bCs/>
                <w:sz w:val="20"/>
              </w:rPr>
            </w:pPr>
            <w:r w:rsidRPr="00074628">
              <w:rPr>
                <w:bCs/>
                <w:sz w:val="20"/>
              </w:rPr>
              <w:t>Standards not Adopted in Response</w:t>
            </w:r>
          </w:p>
        </w:tc>
      </w:tr>
      <w:tr w:rsidR="005119A7" w:rsidRPr="004E3536" w14:paraId="6D3DCD8C" w14:textId="77777777" w:rsidTr="004D7B1A">
        <w:trPr>
          <w:jc w:val="center"/>
        </w:trPr>
        <w:tc>
          <w:tcPr>
            <w:tcW w:w="443" w:type="dxa"/>
          </w:tcPr>
          <w:p w14:paraId="56C4CE05" w14:textId="77777777" w:rsidR="005119A7" w:rsidRPr="004E3536" w:rsidRDefault="005119A7" w:rsidP="004D7B1A">
            <w:pPr>
              <w:pStyle w:val="BodyText"/>
              <w:widowControl w:val="0"/>
              <w:spacing w:before="80" w:after="40"/>
              <w:jc w:val="center"/>
              <w:outlineLvl w:val="0"/>
              <w:rPr>
                <w:b/>
                <w:sz w:val="20"/>
              </w:rPr>
            </w:pPr>
          </w:p>
        </w:tc>
        <w:tc>
          <w:tcPr>
            <w:tcW w:w="378" w:type="dxa"/>
          </w:tcPr>
          <w:p w14:paraId="57206A1C" w14:textId="56FEE439" w:rsidR="005119A7" w:rsidRDefault="005119A7" w:rsidP="004D7B1A">
            <w:pPr>
              <w:pStyle w:val="BodyText"/>
              <w:widowControl w:val="0"/>
              <w:spacing w:before="80" w:after="40"/>
              <w:outlineLvl w:val="0"/>
              <w:rPr>
                <w:b/>
                <w:sz w:val="20"/>
              </w:rPr>
            </w:pPr>
            <w:r>
              <w:rPr>
                <w:b/>
                <w:sz w:val="20"/>
              </w:rPr>
              <w:t>e.</w:t>
            </w:r>
          </w:p>
        </w:tc>
        <w:tc>
          <w:tcPr>
            <w:tcW w:w="6194" w:type="dxa"/>
          </w:tcPr>
          <w:p w14:paraId="11939B47" w14:textId="79200E53" w:rsidR="005119A7" w:rsidRPr="0084357C" w:rsidRDefault="005119A7" w:rsidP="004D7B1A">
            <w:pPr>
              <w:pStyle w:val="BodyText"/>
              <w:widowControl w:val="0"/>
              <w:spacing w:before="60"/>
              <w:outlineLvl w:val="0"/>
              <w:rPr>
                <w:bCs/>
                <w:sz w:val="20"/>
              </w:rPr>
            </w:pPr>
            <w:r>
              <w:rPr>
                <w:bCs/>
                <w:sz w:val="20"/>
              </w:rPr>
              <w:t>Modifying the requirement for organized electric markets to allow markets to clear in sufficient time to nominate within the existing gas nomination timelines would enhance the ability of power producers to meet their delivery obligations in a cost-effective manner.</w:t>
            </w:r>
          </w:p>
        </w:tc>
        <w:tc>
          <w:tcPr>
            <w:tcW w:w="5547" w:type="dxa"/>
          </w:tcPr>
          <w:p w14:paraId="5A162EED" w14:textId="35680C8E" w:rsidR="000844D8" w:rsidRDefault="000844D8" w:rsidP="004D7B1A">
            <w:pPr>
              <w:pStyle w:val="BodyText"/>
              <w:widowControl w:val="0"/>
              <w:spacing w:before="60"/>
              <w:outlineLvl w:val="0"/>
              <w:rPr>
                <w:bCs/>
                <w:sz w:val="20"/>
              </w:rPr>
            </w:pPr>
            <w:r>
              <w:rPr>
                <w:bCs/>
                <w:sz w:val="20"/>
              </w:rPr>
              <w:t xml:space="preserve">FERC NOPR October 25, 2006 </w:t>
            </w:r>
            <w:r w:rsidRPr="00BB7DF5">
              <w:rPr>
                <w:bCs/>
                <w:sz w:val="20"/>
              </w:rPr>
              <w:t xml:space="preserve">¶ </w:t>
            </w:r>
            <w:r>
              <w:rPr>
                <w:bCs/>
                <w:sz w:val="20"/>
              </w:rPr>
              <w:t>25-26</w:t>
            </w:r>
          </w:p>
          <w:p w14:paraId="36BDC0E6" w14:textId="1D3DC9D5" w:rsidR="000844D8" w:rsidRDefault="000844D8" w:rsidP="004D7B1A">
            <w:pPr>
              <w:pStyle w:val="BodyText"/>
              <w:widowControl w:val="0"/>
              <w:spacing w:before="60"/>
              <w:outlineLvl w:val="0"/>
              <w:rPr>
                <w:bCs/>
                <w:sz w:val="20"/>
              </w:rPr>
            </w:pPr>
            <w:r>
              <w:rPr>
                <w:bCs/>
                <w:sz w:val="20"/>
              </w:rPr>
              <w:t>“</w:t>
            </w:r>
            <w:r w:rsidRPr="000844D8">
              <w:rPr>
                <w:bCs/>
                <w:sz w:val="20"/>
              </w:rPr>
              <w:t>The Commission agrees that these are serious issues, particularly during periods of</w:t>
            </w:r>
            <w:r>
              <w:rPr>
                <w:bCs/>
                <w:sz w:val="20"/>
              </w:rPr>
              <w:t xml:space="preserve"> </w:t>
            </w:r>
            <w:r w:rsidRPr="000844D8">
              <w:rPr>
                <w:bCs/>
                <w:sz w:val="20"/>
              </w:rPr>
              <w:t>coincident peak use in the electric and gas industries. RTOs and ISOs frequently</w:t>
            </w:r>
            <w:r>
              <w:rPr>
                <w:bCs/>
                <w:sz w:val="20"/>
              </w:rPr>
              <w:t xml:space="preserve"> </w:t>
            </w:r>
            <w:r w:rsidRPr="000844D8">
              <w:rPr>
                <w:bCs/>
                <w:sz w:val="20"/>
              </w:rPr>
              <w:t>consider gas-fired generation to be necessary to maintain reliability. Yet, especially</w:t>
            </w:r>
            <w:r>
              <w:rPr>
                <w:bCs/>
                <w:sz w:val="20"/>
              </w:rPr>
              <w:t xml:space="preserve"> </w:t>
            </w:r>
            <w:r w:rsidRPr="000844D8">
              <w:rPr>
                <w:bCs/>
                <w:sz w:val="20"/>
              </w:rPr>
              <w:t>during periods when both electricity and gas are in short supply, gas-fired generators may</w:t>
            </w:r>
            <w:r>
              <w:rPr>
                <w:bCs/>
                <w:sz w:val="20"/>
              </w:rPr>
              <w:t xml:space="preserve"> </w:t>
            </w:r>
            <w:r w:rsidRPr="000844D8">
              <w:rPr>
                <w:bCs/>
                <w:sz w:val="20"/>
              </w:rPr>
              <w:t>have difficulty buying gas and transportation, because the RTOs’ and ISOs’ scheduling</w:t>
            </w:r>
            <w:r>
              <w:rPr>
                <w:bCs/>
                <w:sz w:val="20"/>
              </w:rPr>
              <w:t xml:space="preserve"> </w:t>
            </w:r>
            <w:r w:rsidRPr="000844D8">
              <w:rPr>
                <w:bCs/>
                <w:sz w:val="20"/>
              </w:rPr>
              <w:t>process does not match the gas process. Moreover, if the gas-fired generator does submit</w:t>
            </w:r>
            <w:r>
              <w:rPr>
                <w:bCs/>
                <w:sz w:val="20"/>
              </w:rPr>
              <w:t xml:space="preserve"> </w:t>
            </w:r>
            <w:r w:rsidRPr="000844D8">
              <w:rPr>
                <w:bCs/>
                <w:sz w:val="20"/>
              </w:rPr>
              <w:t>bids into the RTO/ISO market based on current gas prices, those prices may change</w:t>
            </w:r>
            <w:r>
              <w:rPr>
                <w:bCs/>
                <w:sz w:val="20"/>
              </w:rPr>
              <w:t xml:space="preserve"> </w:t>
            </w:r>
            <w:r w:rsidRPr="000844D8">
              <w:rPr>
                <w:bCs/>
                <w:sz w:val="20"/>
              </w:rPr>
              <w:t>significantly during periods with volatile gas prices by the time the RTO or ISO calls</w:t>
            </w:r>
            <w:r>
              <w:rPr>
                <w:bCs/>
                <w:sz w:val="20"/>
              </w:rPr>
              <w:t xml:space="preserve"> </w:t>
            </w:r>
            <w:r w:rsidRPr="000844D8">
              <w:rPr>
                <w:bCs/>
                <w:sz w:val="20"/>
              </w:rPr>
              <w:t>upon the generator to run.</w:t>
            </w:r>
          </w:p>
          <w:p w14:paraId="66B8A3DE" w14:textId="73B66140" w:rsidR="005119A7" w:rsidRDefault="000844D8" w:rsidP="004D7B1A">
            <w:pPr>
              <w:pStyle w:val="BodyText"/>
              <w:widowControl w:val="0"/>
              <w:spacing w:before="60"/>
              <w:outlineLvl w:val="0"/>
              <w:rPr>
                <w:bCs/>
                <w:sz w:val="20"/>
              </w:rPr>
            </w:pPr>
            <w:r w:rsidRPr="000844D8">
              <w:rPr>
                <w:bCs/>
                <w:sz w:val="20"/>
              </w:rPr>
              <w:t>Because of the serious repercussions on the electric market of these problems, the</w:t>
            </w:r>
            <w:r>
              <w:rPr>
                <w:bCs/>
                <w:sz w:val="20"/>
              </w:rPr>
              <w:t xml:space="preserve"> </w:t>
            </w:r>
            <w:r w:rsidRPr="000844D8">
              <w:rPr>
                <w:bCs/>
                <w:sz w:val="20"/>
              </w:rPr>
              <w:t>Commission is concurrently opening section 206 proceedings to examine the RTO and</w:t>
            </w:r>
            <w:r>
              <w:rPr>
                <w:bCs/>
                <w:sz w:val="20"/>
              </w:rPr>
              <w:t xml:space="preserve"> </w:t>
            </w:r>
            <w:r w:rsidRPr="000844D8">
              <w:rPr>
                <w:bCs/>
                <w:sz w:val="20"/>
              </w:rPr>
              <w:t>ISO scheduling processes during emergency conditions. These proceedings are intended</w:t>
            </w:r>
            <w:r>
              <w:rPr>
                <w:bCs/>
                <w:sz w:val="20"/>
              </w:rPr>
              <w:t xml:space="preserve"> </w:t>
            </w:r>
            <w:r w:rsidRPr="000844D8">
              <w:rPr>
                <w:bCs/>
                <w:sz w:val="20"/>
              </w:rPr>
              <w:t>to ensure that the RTOs and ISOs have procedures in place during emergencies to permit</w:t>
            </w:r>
            <w:r>
              <w:rPr>
                <w:bCs/>
                <w:sz w:val="20"/>
              </w:rPr>
              <w:t xml:space="preserve"> </w:t>
            </w:r>
            <w:r w:rsidRPr="000844D8">
              <w:rPr>
                <w:bCs/>
                <w:sz w:val="20"/>
              </w:rPr>
              <w:t>better synchronization of their markets with the gas market and to ensure that generators</w:t>
            </w:r>
            <w:r>
              <w:rPr>
                <w:bCs/>
                <w:sz w:val="20"/>
              </w:rPr>
              <w:t xml:space="preserve"> </w:t>
            </w:r>
            <w:r w:rsidRPr="000844D8">
              <w:rPr>
                <w:bCs/>
                <w:sz w:val="20"/>
              </w:rPr>
              <w:t xml:space="preserve">making </w:t>
            </w:r>
            <w:r w:rsidRPr="000844D8">
              <w:rPr>
                <w:bCs/>
                <w:sz w:val="20"/>
              </w:rPr>
              <w:lastRenderedPageBreak/>
              <w:t>appropriate bids into the RTO and ISO markets are able to recover their</w:t>
            </w:r>
            <w:r>
              <w:rPr>
                <w:bCs/>
                <w:sz w:val="20"/>
              </w:rPr>
              <w:t xml:space="preserve"> </w:t>
            </w:r>
            <w:r w:rsidRPr="000844D8">
              <w:rPr>
                <w:bCs/>
                <w:sz w:val="20"/>
              </w:rPr>
              <w:t>prudently incurred costs.</w:t>
            </w:r>
            <w:r>
              <w:rPr>
                <w:bCs/>
                <w:sz w:val="20"/>
              </w:rPr>
              <w:t>”</w:t>
            </w:r>
          </w:p>
        </w:tc>
        <w:tc>
          <w:tcPr>
            <w:tcW w:w="1886" w:type="dxa"/>
          </w:tcPr>
          <w:p w14:paraId="54737AE0" w14:textId="27A16D7C" w:rsidR="005119A7" w:rsidRDefault="000844D8" w:rsidP="004D7B1A">
            <w:pPr>
              <w:pStyle w:val="BodyText"/>
              <w:widowControl w:val="0"/>
              <w:spacing w:before="60"/>
              <w:outlineLvl w:val="0"/>
              <w:rPr>
                <w:bCs/>
                <w:sz w:val="20"/>
              </w:rPr>
            </w:pPr>
            <w:r>
              <w:rPr>
                <w:bCs/>
                <w:sz w:val="20"/>
              </w:rPr>
              <w:lastRenderedPageBreak/>
              <w:t>Standards not Adopted in Response</w:t>
            </w:r>
          </w:p>
        </w:tc>
      </w:tr>
      <w:tr w:rsidR="00074628" w:rsidRPr="004E3536" w14:paraId="101384EF" w14:textId="77777777" w:rsidTr="004D7B1A">
        <w:trPr>
          <w:jc w:val="center"/>
        </w:trPr>
        <w:tc>
          <w:tcPr>
            <w:tcW w:w="443" w:type="dxa"/>
          </w:tcPr>
          <w:p w14:paraId="0CAF9B6E" w14:textId="2F13C629" w:rsidR="00074628" w:rsidRPr="00074628" w:rsidRDefault="00074628" w:rsidP="004D7B1A">
            <w:pPr>
              <w:pStyle w:val="BodyText"/>
              <w:widowControl w:val="0"/>
              <w:spacing w:before="80" w:after="40"/>
              <w:jc w:val="center"/>
              <w:outlineLvl w:val="0"/>
              <w:rPr>
                <w:b/>
                <w:sz w:val="20"/>
              </w:rPr>
            </w:pPr>
            <w:r w:rsidRPr="00074628">
              <w:rPr>
                <w:b/>
                <w:sz w:val="20"/>
              </w:rPr>
              <w:t>2.)</w:t>
            </w:r>
          </w:p>
        </w:tc>
        <w:tc>
          <w:tcPr>
            <w:tcW w:w="14005" w:type="dxa"/>
            <w:gridSpan w:val="4"/>
          </w:tcPr>
          <w:p w14:paraId="0F822D60" w14:textId="12516983" w:rsidR="00074628" w:rsidRPr="00074628" w:rsidRDefault="003F7589" w:rsidP="004D7B1A">
            <w:pPr>
              <w:pStyle w:val="BodyText"/>
              <w:widowControl w:val="0"/>
              <w:spacing w:before="80" w:after="40"/>
              <w:outlineLvl w:val="0"/>
              <w:rPr>
                <w:b/>
                <w:sz w:val="20"/>
              </w:rPr>
            </w:pPr>
            <w:r>
              <w:rPr>
                <w:b/>
                <w:sz w:val="20"/>
              </w:rPr>
              <w:t>GEH Report in Response to National Petroleum Council (2012)</w:t>
            </w:r>
          </w:p>
        </w:tc>
      </w:tr>
      <w:tr w:rsidR="00EA28EC" w:rsidRPr="004E3536" w14:paraId="4A13EC69" w14:textId="77777777" w:rsidTr="004D7B1A">
        <w:trPr>
          <w:jc w:val="center"/>
        </w:trPr>
        <w:tc>
          <w:tcPr>
            <w:tcW w:w="443" w:type="dxa"/>
          </w:tcPr>
          <w:p w14:paraId="12D0F303" w14:textId="77777777" w:rsidR="00EA28EC" w:rsidRDefault="00EA28EC" w:rsidP="004D7B1A">
            <w:pPr>
              <w:pStyle w:val="BodyText"/>
              <w:widowControl w:val="0"/>
              <w:spacing w:before="80" w:after="40"/>
              <w:jc w:val="center"/>
              <w:outlineLvl w:val="0"/>
              <w:rPr>
                <w:b/>
                <w:sz w:val="20"/>
              </w:rPr>
            </w:pPr>
          </w:p>
        </w:tc>
        <w:tc>
          <w:tcPr>
            <w:tcW w:w="6572" w:type="dxa"/>
            <w:gridSpan w:val="2"/>
          </w:tcPr>
          <w:p w14:paraId="386ACC34" w14:textId="6776790F" w:rsidR="00EA28EC" w:rsidRDefault="00EA28EC" w:rsidP="004D7B1A">
            <w:pPr>
              <w:pStyle w:val="BodyText"/>
              <w:widowControl w:val="0"/>
              <w:spacing w:before="60"/>
              <w:outlineLvl w:val="0"/>
              <w:rPr>
                <w:bCs/>
                <w:sz w:val="20"/>
              </w:rPr>
            </w:pPr>
            <w:r>
              <w:rPr>
                <w:b/>
                <w:sz w:val="20"/>
              </w:rPr>
              <w:t xml:space="preserve">Policy Considerations Identified </w:t>
            </w:r>
          </w:p>
        </w:tc>
        <w:tc>
          <w:tcPr>
            <w:tcW w:w="5547" w:type="dxa"/>
          </w:tcPr>
          <w:p w14:paraId="7428B497" w14:textId="470F14BB" w:rsidR="00EA28EC" w:rsidRDefault="00EA28EC" w:rsidP="004D7B1A">
            <w:pPr>
              <w:pStyle w:val="BodyText"/>
              <w:widowControl w:val="0"/>
              <w:spacing w:before="60"/>
              <w:outlineLvl w:val="0"/>
              <w:rPr>
                <w:bCs/>
                <w:sz w:val="20"/>
              </w:rPr>
            </w:pPr>
            <w:r>
              <w:rPr>
                <w:b/>
                <w:sz w:val="20"/>
              </w:rPr>
              <w:t>FERC Response</w:t>
            </w:r>
          </w:p>
        </w:tc>
        <w:tc>
          <w:tcPr>
            <w:tcW w:w="1886" w:type="dxa"/>
          </w:tcPr>
          <w:p w14:paraId="58A4EC8E" w14:textId="289B336F" w:rsidR="00EA28EC" w:rsidRDefault="00EA28EC" w:rsidP="004D7B1A">
            <w:pPr>
              <w:pStyle w:val="BodyText"/>
              <w:widowControl w:val="0"/>
              <w:spacing w:before="60"/>
              <w:outlineLvl w:val="0"/>
              <w:rPr>
                <w:bCs/>
                <w:sz w:val="20"/>
              </w:rPr>
            </w:pPr>
            <w:r>
              <w:rPr>
                <w:b/>
                <w:sz w:val="20"/>
              </w:rPr>
              <w:t>NAESB Action</w:t>
            </w:r>
          </w:p>
        </w:tc>
      </w:tr>
      <w:tr w:rsidR="00260983" w:rsidRPr="004E3536" w14:paraId="100A4E9E" w14:textId="77777777" w:rsidTr="004D7B1A">
        <w:trPr>
          <w:jc w:val="center"/>
        </w:trPr>
        <w:tc>
          <w:tcPr>
            <w:tcW w:w="443" w:type="dxa"/>
          </w:tcPr>
          <w:p w14:paraId="059C463C" w14:textId="77777777" w:rsidR="00260983" w:rsidRDefault="00260983" w:rsidP="004D7B1A">
            <w:pPr>
              <w:pStyle w:val="BodyText"/>
              <w:widowControl w:val="0"/>
              <w:spacing w:before="80" w:after="40"/>
              <w:jc w:val="center"/>
              <w:outlineLvl w:val="0"/>
              <w:rPr>
                <w:b/>
                <w:sz w:val="20"/>
              </w:rPr>
            </w:pPr>
          </w:p>
        </w:tc>
        <w:tc>
          <w:tcPr>
            <w:tcW w:w="378" w:type="dxa"/>
          </w:tcPr>
          <w:p w14:paraId="573F29FC" w14:textId="08C7FD8E" w:rsidR="00260983" w:rsidRDefault="00260983" w:rsidP="004D7B1A">
            <w:pPr>
              <w:pStyle w:val="BodyText"/>
              <w:widowControl w:val="0"/>
              <w:spacing w:before="80" w:after="40"/>
              <w:outlineLvl w:val="0"/>
              <w:rPr>
                <w:b/>
                <w:sz w:val="20"/>
              </w:rPr>
            </w:pPr>
            <w:r>
              <w:rPr>
                <w:b/>
                <w:sz w:val="20"/>
              </w:rPr>
              <w:t>a.</w:t>
            </w:r>
          </w:p>
        </w:tc>
        <w:tc>
          <w:tcPr>
            <w:tcW w:w="6194" w:type="dxa"/>
          </w:tcPr>
          <w:p w14:paraId="2D3A9F9C" w14:textId="4D6E94FC" w:rsidR="00260983" w:rsidRPr="003F7589" w:rsidRDefault="00260983" w:rsidP="004D7B1A">
            <w:pPr>
              <w:pStyle w:val="BodyText"/>
              <w:widowControl w:val="0"/>
              <w:spacing w:before="60"/>
              <w:outlineLvl w:val="0"/>
              <w:rPr>
                <w:bCs/>
                <w:sz w:val="20"/>
              </w:rPr>
            </w:pPr>
            <w:r w:rsidRPr="003F7589">
              <w:rPr>
                <w:bCs/>
                <w:sz w:val="20"/>
              </w:rPr>
              <w:t>Significant differences in both natural gas and electric markets day-of service and day-ahead scheduling procedures create the gaps in the clearing of gas and electricity markets and may require policy recommendations aimed at synchronizing the clearing times and the energy delivery day for both markets.</w:t>
            </w:r>
          </w:p>
        </w:tc>
        <w:tc>
          <w:tcPr>
            <w:tcW w:w="5547" w:type="dxa"/>
          </w:tcPr>
          <w:p w14:paraId="3D09EF33" w14:textId="130A7AE7" w:rsidR="00260983" w:rsidRDefault="00260983" w:rsidP="004D7B1A">
            <w:pPr>
              <w:pStyle w:val="BodyText"/>
              <w:widowControl w:val="0"/>
              <w:spacing w:before="60"/>
              <w:outlineLvl w:val="0"/>
              <w:rPr>
                <w:bCs/>
                <w:sz w:val="20"/>
              </w:rPr>
            </w:pPr>
            <w:r>
              <w:rPr>
                <w:bCs/>
                <w:sz w:val="20"/>
              </w:rPr>
              <w:t>FERC did not specifically respond to the policy issues identified in the report</w:t>
            </w:r>
          </w:p>
        </w:tc>
        <w:tc>
          <w:tcPr>
            <w:tcW w:w="1886" w:type="dxa"/>
          </w:tcPr>
          <w:p w14:paraId="412A54F7" w14:textId="21BB43C1" w:rsidR="00260983" w:rsidRDefault="00260983" w:rsidP="004D7B1A">
            <w:pPr>
              <w:pStyle w:val="BodyText"/>
              <w:widowControl w:val="0"/>
              <w:spacing w:before="60"/>
              <w:outlineLvl w:val="0"/>
              <w:rPr>
                <w:bCs/>
                <w:sz w:val="20"/>
              </w:rPr>
            </w:pPr>
            <w:r>
              <w:rPr>
                <w:bCs/>
                <w:sz w:val="20"/>
              </w:rPr>
              <w:t xml:space="preserve">The NAESB Board of Directors adopted three provisional </w:t>
            </w:r>
            <w:hyperlink r:id="rId10" w:history="1">
              <w:r w:rsidRPr="00260983">
                <w:rPr>
                  <w:rStyle w:val="Hyperlink"/>
                  <w:bCs/>
                  <w:sz w:val="20"/>
                </w:rPr>
                <w:t>WGQ</w:t>
              </w:r>
            </w:hyperlink>
            <w:r>
              <w:rPr>
                <w:bCs/>
                <w:sz w:val="20"/>
              </w:rPr>
              <w:t xml:space="preserve"> &amp; </w:t>
            </w:r>
            <w:hyperlink r:id="rId11" w:history="1">
              <w:r w:rsidRPr="00260983">
                <w:rPr>
                  <w:rStyle w:val="Hyperlink"/>
                  <w:bCs/>
                  <w:sz w:val="20"/>
                </w:rPr>
                <w:t>WEQ</w:t>
              </w:r>
            </w:hyperlink>
            <w:r>
              <w:rPr>
                <w:bCs/>
                <w:sz w:val="20"/>
              </w:rPr>
              <w:t xml:space="preserve"> annual plan items</w:t>
            </w:r>
          </w:p>
        </w:tc>
      </w:tr>
      <w:tr w:rsidR="00260983" w:rsidRPr="004E3536" w14:paraId="35710303" w14:textId="77777777" w:rsidTr="004D7B1A">
        <w:trPr>
          <w:jc w:val="center"/>
        </w:trPr>
        <w:tc>
          <w:tcPr>
            <w:tcW w:w="443" w:type="dxa"/>
          </w:tcPr>
          <w:p w14:paraId="3B0C562D" w14:textId="77777777" w:rsidR="00260983" w:rsidRDefault="00260983" w:rsidP="004D7B1A">
            <w:pPr>
              <w:pStyle w:val="BodyText"/>
              <w:widowControl w:val="0"/>
              <w:spacing w:before="80" w:after="40"/>
              <w:jc w:val="center"/>
              <w:outlineLvl w:val="0"/>
              <w:rPr>
                <w:b/>
                <w:sz w:val="20"/>
              </w:rPr>
            </w:pPr>
          </w:p>
        </w:tc>
        <w:tc>
          <w:tcPr>
            <w:tcW w:w="378" w:type="dxa"/>
          </w:tcPr>
          <w:p w14:paraId="6352E29F" w14:textId="1041A2FA" w:rsidR="00260983" w:rsidRDefault="00260983" w:rsidP="004D7B1A">
            <w:pPr>
              <w:pStyle w:val="BodyText"/>
              <w:widowControl w:val="0"/>
              <w:spacing w:before="80" w:after="40"/>
              <w:outlineLvl w:val="0"/>
              <w:rPr>
                <w:b/>
                <w:sz w:val="20"/>
              </w:rPr>
            </w:pPr>
            <w:r>
              <w:rPr>
                <w:b/>
                <w:sz w:val="20"/>
              </w:rPr>
              <w:t>b.</w:t>
            </w:r>
          </w:p>
        </w:tc>
        <w:tc>
          <w:tcPr>
            <w:tcW w:w="6194" w:type="dxa"/>
          </w:tcPr>
          <w:p w14:paraId="7DCCEBA3" w14:textId="17DF046C" w:rsidR="00260983" w:rsidRPr="003F7589" w:rsidRDefault="00260983" w:rsidP="004D7B1A">
            <w:pPr>
              <w:pStyle w:val="BodyText"/>
              <w:widowControl w:val="0"/>
              <w:spacing w:before="60"/>
              <w:outlineLvl w:val="0"/>
              <w:rPr>
                <w:bCs/>
                <w:sz w:val="20"/>
              </w:rPr>
            </w:pPr>
            <w:r w:rsidRPr="003F7589">
              <w:rPr>
                <w:bCs/>
                <w:sz w:val="20"/>
              </w:rPr>
              <w:t>Recognizing that market design issues are regional and may be most appropriately addressed by the ISOs and RTOs directly, the economics surrounding the use and cost recovery for firm and interruptible capacity, including who holds and pays for the gas pipeline capacity needed to back up renewables or to serve normal electric load requirements is a core issue for both the day of and the day-ahead markets.</w:t>
            </w:r>
          </w:p>
        </w:tc>
        <w:tc>
          <w:tcPr>
            <w:tcW w:w="5547" w:type="dxa"/>
          </w:tcPr>
          <w:p w14:paraId="3978D26A" w14:textId="78B917E0" w:rsidR="00260983" w:rsidRDefault="00260983" w:rsidP="004D7B1A">
            <w:pPr>
              <w:pStyle w:val="BodyText"/>
              <w:widowControl w:val="0"/>
              <w:spacing w:before="60"/>
              <w:outlineLvl w:val="0"/>
              <w:rPr>
                <w:bCs/>
                <w:sz w:val="20"/>
              </w:rPr>
            </w:pPr>
            <w:r>
              <w:rPr>
                <w:bCs/>
                <w:sz w:val="20"/>
              </w:rPr>
              <w:t>FERC did not specifically respond to the policy issues identified in the report</w:t>
            </w:r>
          </w:p>
        </w:tc>
        <w:tc>
          <w:tcPr>
            <w:tcW w:w="1886" w:type="dxa"/>
          </w:tcPr>
          <w:p w14:paraId="6B2CEC45" w14:textId="0062E2F0" w:rsidR="00260983" w:rsidRDefault="00260983" w:rsidP="004D7B1A">
            <w:pPr>
              <w:pStyle w:val="BodyText"/>
              <w:widowControl w:val="0"/>
              <w:spacing w:before="60"/>
              <w:outlineLvl w:val="0"/>
              <w:rPr>
                <w:bCs/>
                <w:sz w:val="20"/>
              </w:rPr>
            </w:pPr>
            <w:r>
              <w:rPr>
                <w:bCs/>
                <w:sz w:val="20"/>
              </w:rPr>
              <w:t xml:space="preserve">The NAESB Board of Directors adopted three provisional </w:t>
            </w:r>
            <w:hyperlink r:id="rId12" w:history="1">
              <w:r w:rsidRPr="00260983">
                <w:rPr>
                  <w:rStyle w:val="Hyperlink"/>
                  <w:bCs/>
                  <w:sz w:val="20"/>
                </w:rPr>
                <w:t>WGQ</w:t>
              </w:r>
            </w:hyperlink>
            <w:r>
              <w:rPr>
                <w:bCs/>
                <w:sz w:val="20"/>
              </w:rPr>
              <w:t xml:space="preserve"> &amp; </w:t>
            </w:r>
            <w:hyperlink r:id="rId13" w:history="1">
              <w:r w:rsidRPr="00260983">
                <w:rPr>
                  <w:rStyle w:val="Hyperlink"/>
                  <w:bCs/>
                  <w:sz w:val="20"/>
                </w:rPr>
                <w:t>WEQ</w:t>
              </w:r>
            </w:hyperlink>
            <w:r>
              <w:rPr>
                <w:bCs/>
                <w:sz w:val="20"/>
              </w:rPr>
              <w:t xml:space="preserve"> annual plan items </w:t>
            </w:r>
          </w:p>
        </w:tc>
      </w:tr>
      <w:tr w:rsidR="00260983" w:rsidRPr="004E3536" w14:paraId="54A35DD0" w14:textId="77777777" w:rsidTr="004D7B1A">
        <w:trPr>
          <w:jc w:val="center"/>
        </w:trPr>
        <w:tc>
          <w:tcPr>
            <w:tcW w:w="443" w:type="dxa"/>
          </w:tcPr>
          <w:p w14:paraId="4EC042A7" w14:textId="77777777" w:rsidR="00260983" w:rsidRDefault="00260983" w:rsidP="004D7B1A">
            <w:pPr>
              <w:pStyle w:val="BodyText"/>
              <w:widowControl w:val="0"/>
              <w:spacing w:before="80" w:after="40"/>
              <w:jc w:val="center"/>
              <w:outlineLvl w:val="0"/>
              <w:rPr>
                <w:b/>
                <w:sz w:val="20"/>
              </w:rPr>
            </w:pPr>
          </w:p>
        </w:tc>
        <w:tc>
          <w:tcPr>
            <w:tcW w:w="378" w:type="dxa"/>
          </w:tcPr>
          <w:p w14:paraId="40C9D15E" w14:textId="04B56907" w:rsidR="00260983" w:rsidRDefault="00260983" w:rsidP="004D7B1A">
            <w:pPr>
              <w:pStyle w:val="BodyText"/>
              <w:widowControl w:val="0"/>
              <w:spacing w:before="80" w:after="40"/>
              <w:outlineLvl w:val="0"/>
              <w:rPr>
                <w:b/>
                <w:sz w:val="20"/>
              </w:rPr>
            </w:pPr>
            <w:r>
              <w:rPr>
                <w:b/>
                <w:sz w:val="20"/>
              </w:rPr>
              <w:t>c.</w:t>
            </w:r>
          </w:p>
        </w:tc>
        <w:tc>
          <w:tcPr>
            <w:tcW w:w="6194" w:type="dxa"/>
          </w:tcPr>
          <w:p w14:paraId="1971CEAE" w14:textId="4CB55B16" w:rsidR="00260983" w:rsidRPr="003F7589" w:rsidRDefault="00260983" w:rsidP="004D7B1A">
            <w:pPr>
              <w:pStyle w:val="BodyText"/>
              <w:widowControl w:val="0"/>
              <w:spacing w:before="60"/>
              <w:outlineLvl w:val="0"/>
              <w:rPr>
                <w:bCs/>
                <w:sz w:val="20"/>
              </w:rPr>
            </w:pPr>
            <w:r w:rsidRPr="003F7589">
              <w:rPr>
                <w:bCs/>
                <w:sz w:val="20"/>
              </w:rPr>
              <w:t xml:space="preserve">State curtailment policies impact both natural gas and electric markets, and it should be recommended to policy makers that a review of those policies may be helpful to ensure that policies do not inadvertently lead to interruption of service, depending on the priorities outlined in the state curtailment policies. More structured communications and availability of information for decision making in stress conditions could also require an examination that would lead to possible policy changes and standards changes to support the movement of natural gas to electric generation.  </w:t>
            </w:r>
          </w:p>
        </w:tc>
        <w:tc>
          <w:tcPr>
            <w:tcW w:w="5547" w:type="dxa"/>
          </w:tcPr>
          <w:p w14:paraId="3E12A049" w14:textId="2CD6A607" w:rsidR="00260983" w:rsidRDefault="00260983" w:rsidP="004D7B1A">
            <w:pPr>
              <w:pStyle w:val="BodyText"/>
              <w:widowControl w:val="0"/>
              <w:spacing w:before="60"/>
              <w:outlineLvl w:val="0"/>
              <w:rPr>
                <w:bCs/>
                <w:sz w:val="20"/>
              </w:rPr>
            </w:pPr>
            <w:r>
              <w:rPr>
                <w:bCs/>
                <w:sz w:val="20"/>
              </w:rPr>
              <w:t>FERC did not specifically respond to the policy issues identified in the report</w:t>
            </w:r>
          </w:p>
        </w:tc>
        <w:tc>
          <w:tcPr>
            <w:tcW w:w="1886" w:type="dxa"/>
          </w:tcPr>
          <w:p w14:paraId="6B9BD766" w14:textId="2145A2AB" w:rsidR="00260983" w:rsidRDefault="00260983" w:rsidP="004D7B1A">
            <w:pPr>
              <w:pStyle w:val="BodyText"/>
              <w:widowControl w:val="0"/>
              <w:spacing w:before="60"/>
              <w:outlineLvl w:val="0"/>
              <w:rPr>
                <w:bCs/>
                <w:sz w:val="20"/>
              </w:rPr>
            </w:pPr>
            <w:r>
              <w:rPr>
                <w:bCs/>
                <w:sz w:val="20"/>
              </w:rPr>
              <w:t xml:space="preserve">The NAESB Board of Directors adopted three provisional </w:t>
            </w:r>
            <w:hyperlink r:id="rId14" w:history="1">
              <w:r w:rsidRPr="00260983">
                <w:rPr>
                  <w:rStyle w:val="Hyperlink"/>
                  <w:bCs/>
                  <w:sz w:val="20"/>
                </w:rPr>
                <w:t>WGQ</w:t>
              </w:r>
            </w:hyperlink>
            <w:r>
              <w:rPr>
                <w:bCs/>
                <w:sz w:val="20"/>
              </w:rPr>
              <w:t xml:space="preserve"> &amp; </w:t>
            </w:r>
            <w:hyperlink r:id="rId15" w:history="1">
              <w:r w:rsidRPr="00260983">
                <w:rPr>
                  <w:rStyle w:val="Hyperlink"/>
                  <w:bCs/>
                  <w:sz w:val="20"/>
                </w:rPr>
                <w:t>WEQ</w:t>
              </w:r>
            </w:hyperlink>
            <w:r>
              <w:rPr>
                <w:bCs/>
                <w:sz w:val="20"/>
              </w:rPr>
              <w:t xml:space="preserve"> annual plan items </w:t>
            </w:r>
          </w:p>
        </w:tc>
      </w:tr>
      <w:tr w:rsidR="00260983" w:rsidRPr="004E3536" w14:paraId="2428D9C5" w14:textId="77777777" w:rsidTr="004D7B1A">
        <w:trPr>
          <w:jc w:val="center"/>
        </w:trPr>
        <w:tc>
          <w:tcPr>
            <w:tcW w:w="443" w:type="dxa"/>
          </w:tcPr>
          <w:p w14:paraId="51F1E691" w14:textId="77777777" w:rsidR="00260983" w:rsidRDefault="00260983" w:rsidP="004D7B1A">
            <w:pPr>
              <w:pStyle w:val="BodyText"/>
              <w:widowControl w:val="0"/>
              <w:spacing w:before="80" w:after="40"/>
              <w:jc w:val="center"/>
              <w:outlineLvl w:val="0"/>
              <w:rPr>
                <w:b/>
                <w:sz w:val="20"/>
              </w:rPr>
            </w:pPr>
          </w:p>
        </w:tc>
        <w:tc>
          <w:tcPr>
            <w:tcW w:w="378" w:type="dxa"/>
          </w:tcPr>
          <w:p w14:paraId="4827280F" w14:textId="7033517D" w:rsidR="00260983" w:rsidRDefault="00260983" w:rsidP="004D7B1A">
            <w:pPr>
              <w:pStyle w:val="BodyText"/>
              <w:widowControl w:val="0"/>
              <w:spacing w:before="80" w:after="40"/>
              <w:outlineLvl w:val="0"/>
              <w:rPr>
                <w:b/>
                <w:sz w:val="20"/>
              </w:rPr>
            </w:pPr>
            <w:r>
              <w:rPr>
                <w:b/>
                <w:sz w:val="20"/>
              </w:rPr>
              <w:t>d.</w:t>
            </w:r>
          </w:p>
        </w:tc>
        <w:tc>
          <w:tcPr>
            <w:tcW w:w="6194" w:type="dxa"/>
          </w:tcPr>
          <w:p w14:paraId="2138AA0F" w14:textId="30FE75E7" w:rsidR="00260983" w:rsidRPr="003F7589" w:rsidRDefault="00260983" w:rsidP="004D7B1A">
            <w:pPr>
              <w:pStyle w:val="BodyText"/>
              <w:widowControl w:val="0"/>
              <w:spacing w:before="60"/>
              <w:outlineLvl w:val="0"/>
              <w:rPr>
                <w:bCs/>
                <w:sz w:val="20"/>
              </w:rPr>
            </w:pPr>
            <w:r w:rsidRPr="003F7589">
              <w:rPr>
                <w:bCs/>
                <w:sz w:val="20"/>
              </w:rPr>
              <w:t xml:space="preserve">The increasing interdependency of the natural gas and electric markets will require more timely information to enhance market operability.  Mechanisms (standards, rules, tools and products) should be in place to provide the confidentiality required to </w:t>
            </w:r>
            <w:r>
              <w:rPr>
                <w:bCs/>
                <w:sz w:val="20"/>
              </w:rPr>
              <w:t>e</w:t>
            </w:r>
            <w:r w:rsidRPr="003F7589">
              <w:rPr>
                <w:bCs/>
                <w:sz w:val="20"/>
              </w:rPr>
              <w:t>nsure competitive markets and to prevent unintended anti</w:t>
            </w:r>
            <w:r>
              <w:rPr>
                <w:bCs/>
                <w:sz w:val="20"/>
              </w:rPr>
              <w:t>-</w:t>
            </w:r>
            <w:r w:rsidRPr="003F7589">
              <w:rPr>
                <w:bCs/>
                <w:sz w:val="20"/>
              </w:rPr>
              <w:t>competitive behavior.  Adequate security measures will be needed to ensure the protection and integrity of the information made available, including restricting receipt of some information.</w:t>
            </w:r>
          </w:p>
        </w:tc>
        <w:tc>
          <w:tcPr>
            <w:tcW w:w="5547" w:type="dxa"/>
          </w:tcPr>
          <w:p w14:paraId="15E0B66D" w14:textId="7122C27D" w:rsidR="00260983" w:rsidRDefault="00260983" w:rsidP="004D7B1A">
            <w:pPr>
              <w:pStyle w:val="BodyText"/>
              <w:widowControl w:val="0"/>
              <w:spacing w:before="60"/>
              <w:outlineLvl w:val="0"/>
              <w:rPr>
                <w:bCs/>
                <w:sz w:val="20"/>
              </w:rPr>
            </w:pPr>
            <w:r>
              <w:rPr>
                <w:bCs/>
                <w:sz w:val="20"/>
              </w:rPr>
              <w:t>FERC did not specifically respond to the policy issues identified in the report</w:t>
            </w:r>
          </w:p>
        </w:tc>
        <w:tc>
          <w:tcPr>
            <w:tcW w:w="1886" w:type="dxa"/>
          </w:tcPr>
          <w:p w14:paraId="68C3372E" w14:textId="2FE65805" w:rsidR="00260983" w:rsidRDefault="00260983" w:rsidP="004D7B1A">
            <w:pPr>
              <w:pStyle w:val="BodyText"/>
              <w:widowControl w:val="0"/>
              <w:spacing w:before="60"/>
              <w:outlineLvl w:val="0"/>
              <w:rPr>
                <w:bCs/>
                <w:sz w:val="20"/>
              </w:rPr>
            </w:pPr>
            <w:r>
              <w:rPr>
                <w:bCs/>
                <w:sz w:val="20"/>
              </w:rPr>
              <w:t xml:space="preserve">The NAESB Board of Directors adopted three provisional </w:t>
            </w:r>
            <w:hyperlink r:id="rId16" w:history="1">
              <w:r w:rsidRPr="00260983">
                <w:rPr>
                  <w:rStyle w:val="Hyperlink"/>
                  <w:bCs/>
                  <w:sz w:val="20"/>
                </w:rPr>
                <w:t>WGQ</w:t>
              </w:r>
            </w:hyperlink>
            <w:r>
              <w:rPr>
                <w:bCs/>
                <w:sz w:val="20"/>
              </w:rPr>
              <w:t xml:space="preserve"> &amp; </w:t>
            </w:r>
            <w:hyperlink r:id="rId17" w:history="1">
              <w:r w:rsidRPr="00260983">
                <w:rPr>
                  <w:rStyle w:val="Hyperlink"/>
                  <w:bCs/>
                  <w:sz w:val="20"/>
                </w:rPr>
                <w:t>WEQ</w:t>
              </w:r>
            </w:hyperlink>
            <w:r>
              <w:rPr>
                <w:bCs/>
                <w:sz w:val="20"/>
              </w:rPr>
              <w:t xml:space="preserve"> annual plan items </w:t>
            </w:r>
          </w:p>
        </w:tc>
      </w:tr>
      <w:tr w:rsidR="00260983" w:rsidRPr="004E3536" w14:paraId="03271D4F" w14:textId="77777777" w:rsidTr="004D7B1A">
        <w:trPr>
          <w:jc w:val="center"/>
        </w:trPr>
        <w:tc>
          <w:tcPr>
            <w:tcW w:w="443" w:type="dxa"/>
          </w:tcPr>
          <w:p w14:paraId="0D382D7D" w14:textId="4211D107" w:rsidR="00260983" w:rsidRDefault="00260983" w:rsidP="004D7B1A">
            <w:pPr>
              <w:pStyle w:val="BodyText"/>
              <w:widowControl w:val="0"/>
              <w:spacing w:before="80" w:after="40"/>
              <w:jc w:val="center"/>
              <w:outlineLvl w:val="0"/>
              <w:rPr>
                <w:b/>
                <w:sz w:val="20"/>
              </w:rPr>
            </w:pPr>
            <w:r>
              <w:rPr>
                <w:b/>
                <w:sz w:val="20"/>
              </w:rPr>
              <w:t>3.</w:t>
            </w:r>
          </w:p>
        </w:tc>
        <w:tc>
          <w:tcPr>
            <w:tcW w:w="14005" w:type="dxa"/>
            <w:gridSpan w:val="4"/>
          </w:tcPr>
          <w:p w14:paraId="7137C255" w14:textId="1695BD0C" w:rsidR="00260983" w:rsidRPr="00D550D1" w:rsidRDefault="00260983" w:rsidP="004D7B1A">
            <w:pPr>
              <w:pStyle w:val="BodyText"/>
              <w:widowControl w:val="0"/>
              <w:spacing w:before="80" w:after="40"/>
              <w:outlineLvl w:val="0"/>
              <w:rPr>
                <w:b/>
                <w:sz w:val="20"/>
              </w:rPr>
            </w:pPr>
            <w:r w:rsidRPr="00D550D1">
              <w:rPr>
                <w:b/>
                <w:sz w:val="20"/>
              </w:rPr>
              <w:t>Response</w:t>
            </w:r>
            <w:r>
              <w:rPr>
                <w:b/>
                <w:sz w:val="20"/>
              </w:rPr>
              <w:t>s</w:t>
            </w:r>
            <w:r w:rsidRPr="00D550D1">
              <w:rPr>
                <w:b/>
                <w:sz w:val="20"/>
              </w:rPr>
              <w:t xml:space="preserve"> to FERC Notice of Proposed Rulemaking, Coordination of the Scheduling Processes of Interstate Natural Gas Pipelines and Public Utilities (2014)</w:t>
            </w:r>
          </w:p>
        </w:tc>
      </w:tr>
      <w:tr w:rsidR="00260983" w:rsidRPr="004E3536" w14:paraId="68E70D31" w14:textId="77777777" w:rsidTr="004D7B1A">
        <w:trPr>
          <w:jc w:val="center"/>
        </w:trPr>
        <w:tc>
          <w:tcPr>
            <w:tcW w:w="443" w:type="dxa"/>
          </w:tcPr>
          <w:p w14:paraId="2D65DF34" w14:textId="77777777" w:rsidR="00260983" w:rsidRDefault="00260983" w:rsidP="004D7B1A">
            <w:pPr>
              <w:pStyle w:val="BodyText"/>
              <w:widowControl w:val="0"/>
              <w:spacing w:before="80" w:after="40"/>
              <w:jc w:val="center"/>
              <w:outlineLvl w:val="0"/>
              <w:rPr>
                <w:b/>
                <w:sz w:val="20"/>
              </w:rPr>
            </w:pPr>
          </w:p>
        </w:tc>
        <w:tc>
          <w:tcPr>
            <w:tcW w:w="6572" w:type="dxa"/>
            <w:gridSpan w:val="2"/>
          </w:tcPr>
          <w:p w14:paraId="3C4F31BD" w14:textId="27AF592B" w:rsidR="00260983" w:rsidRPr="003F7589" w:rsidRDefault="00260983" w:rsidP="004D7B1A">
            <w:pPr>
              <w:pStyle w:val="BodyText"/>
              <w:widowControl w:val="0"/>
              <w:spacing w:before="60"/>
              <w:outlineLvl w:val="0"/>
              <w:rPr>
                <w:bCs/>
                <w:sz w:val="20"/>
              </w:rPr>
            </w:pPr>
            <w:r>
              <w:rPr>
                <w:b/>
                <w:sz w:val="20"/>
              </w:rPr>
              <w:t xml:space="preserve">Policy Considerations Identified </w:t>
            </w:r>
          </w:p>
        </w:tc>
        <w:tc>
          <w:tcPr>
            <w:tcW w:w="5547" w:type="dxa"/>
          </w:tcPr>
          <w:p w14:paraId="4533E87E" w14:textId="0CFC8D6F" w:rsidR="00260983" w:rsidRDefault="00260983" w:rsidP="004D7B1A">
            <w:pPr>
              <w:pStyle w:val="BodyText"/>
              <w:widowControl w:val="0"/>
              <w:spacing w:before="60"/>
              <w:outlineLvl w:val="0"/>
              <w:rPr>
                <w:bCs/>
                <w:sz w:val="20"/>
              </w:rPr>
            </w:pPr>
            <w:r>
              <w:rPr>
                <w:b/>
                <w:sz w:val="20"/>
              </w:rPr>
              <w:t>FERC Response</w:t>
            </w:r>
          </w:p>
        </w:tc>
        <w:tc>
          <w:tcPr>
            <w:tcW w:w="1886" w:type="dxa"/>
          </w:tcPr>
          <w:p w14:paraId="736AF287" w14:textId="460DD680" w:rsidR="00260983" w:rsidRPr="00D550D1" w:rsidRDefault="00260983" w:rsidP="004D7B1A">
            <w:pPr>
              <w:pStyle w:val="BodyText"/>
              <w:widowControl w:val="0"/>
              <w:spacing w:before="60"/>
              <w:outlineLvl w:val="0"/>
              <w:rPr>
                <w:b/>
                <w:sz w:val="20"/>
              </w:rPr>
            </w:pPr>
            <w:r w:rsidRPr="00D550D1">
              <w:rPr>
                <w:b/>
                <w:sz w:val="20"/>
              </w:rPr>
              <w:t>NAESB Action</w:t>
            </w:r>
          </w:p>
        </w:tc>
      </w:tr>
      <w:tr w:rsidR="00260983" w:rsidRPr="004E3536" w14:paraId="6CBFB33E" w14:textId="77777777" w:rsidTr="004D7B1A">
        <w:trPr>
          <w:jc w:val="center"/>
        </w:trPr>
        <w:tc>
          <w:tcPr>
            <w:tcW w:w="443" w:type="dxa"/>
          </w:tcPr>
          <w:p w14:paraId="0A5C9545" w14:textId="77777777" w:rsidR="00260983" w:rsidRDefault="00260983" w:rsidP="004D7B1A">
            <w:pPr>
              <w:pStyle w:val="BodyText"/>
              <w:widowControl w:val="0"/>
              <w:spacing w:before="80" w:after="40"/>
              <w:jc w:val="center"/>
              <w:outlineLvl w:val="0"/>
              <w:rPr>
                <w:b/>
                <w:sz w:val="20"/>
              </w:rPr>
            </w:pPr>
          </w:p>
        </w:tc>
        <w:tc>
          <w:tcPr>
            <w:tcW w:w="378" w:type="dxa"/>
          </w:tcPr>
          <w:p w14:paraId="1CD71FC8" w14:textId="1851EE95" w:rsidR="00260983" w:rsidRDefault="00260983" w:rsidP="004D7B1A">
            <w:pPr>
              <w:pStyle w:val="BodyText"/>
              <w:widowControl w:val="0"/>
              <w:spacing w:before="80" w:after="40"/>
              <w:outlineLvl w:val="0"/>
              <w:rPr>
                <w:b/>
                <w:sz w:val="20"/>
              </w:rPr>
            </w:pPr>
            <w:r>
              <w:rPr>
                <w:b/>
                <w:sz w:val="20"/>
              </w:rPr>
              <w:t>a.</w:t>
            </w:r>
          </w:p>
        </w:tc>
        <w:tc>
          <w:tcPr>
            <w:tcW w:w="6194" w:type="dxa"/>
          </w:tcPr>
          <w:p w14:paraId="03EAF97A" w14:textId="1B1AA2DB" w:rsidR="00260983" w:rsidRPr="003F7589" w:rsidRDefault="00260983" w:rsidP="004D7B1A">
            <w:pPr>
              <w:pStyle w:val="BodyText"/>
              <w:widowControl w:val="0"/>
              <w:spacing w:before="60"/>
              <w:outlineLvl w:val="0"/>
              <w:rPr>
                <w:bCs/>
                <w:sz w:val="20"/>
              </w:rPr>
            </w:pPr>
            <w:r>
              <w:rPr>
                <w:bCs/>
                <w:sz w:val="20"/>
              </w:rPr>
              <w:t xml:space="preserve">In response to the NOPR proposal to “move the start of the Gas Day from </w:t>
            </w:r>
            <w:r>
              <w:rPr>
                <w:bCs/>
                <w:sz w:val="20"/>
              </w:rPr>
              <w:lastRenderedPageBreak/>
              <w:t xml:space="preserve">9:00 am CCT to 4:00 am CCT,” the NAESB Gas Electric Harmonization Forum could not find consensus on an alternative to the proposed start of the Gas Day, but supported making appropriate changes to the standards that reflect the Commission’s final order. </w:t>
            </w:r>
          </w:p>
        </w:tc>
        <w:tc>
          <w:tcPr>
            <w:tcW w:w="5547" w:type="dxa"/>
          </w:tcPr>
          <w:p w14:paraId="1F9FD013" w14:textId="1A832E32" w:rsidR="00260983" w:rsidRDefault="00393A34" w:rsidP="004D7B1A">
            <w:pPr>
              <w:pStyle w:val="BodyText"/>
              <w:widowControl w:val="0"/>
              <w:spacing w:before="60"/>
              <w:outlineLvl w:val="0"/>
              <w:rPr>
                <w:bCs/>
                <w:sz w:val="20"/>
              </w:rPr>
            </w:pPr>
            <w:r w:rsidRPr="00393A34">
              <w:rPr>
                <w:bCs/>
                <w:sz w:val="20"/>
              </w:rPr>
              <w:lastRenderedPageBreak/>
              <w:t xml:space="preserve">FERC </w:t>
            </w:r>
            <w:r>
              <w:rPr>
                <w:bCs/>
                <w:sz w:val="20"/>
              </w:rPr>
              <w:t>Order No. 809 April 16</w:t>
            </w:r>
            <w:r w:rsidRPr="00393A34">
              <w:rPr>
                <w:bCs/>
                <w:sz w:val="20"/>
              </w:rPr>
              <w:t>, 20</w:t>
            </w:r>
            <w:r>
              <w:rPr>
                <w:bCs/>
                <w:sz w:val="20"/>
              </w:rPr>
              <w:t xml:space="preserve">15 </w:t>
            </w:r>
            <w:r w:rsidRPr="00393A34">
              <w:rPr>
                <w:bCs/>
                <w:sz w:val="20"/>
              </w:rPr>
              <w:t xml:space="preserve">¶ </w:t>
            </w:r>
            <w:r>
              <w:rPr>
                <w:bCs/>
                <w:sz w:val="20"/>
              </w:rPr>
              <w:t>69</w:t>
            </w:r>
          </w:p>
          <w:p w14:paraId="68716B2D" w14:textId="069090C4" w:rsidR="00393A34" w:rsidRDefault="00393A34" w:rsidP="004D7B1A">
            <w:pPr>
              <w:pStyle w:val="BodyText"/>
              <w:widowControl w:val="0"/>
              <w:spacing w:before="60"/>
              <w:outlineLvl w:val="0"/>
              <w:rPr>
                <w:bCs/>
                <w:sz w:val="20"/>
              </w:rPr>
            </w:pPr>
            <w:r>
              <w:rPr>
                <w:bCs/>
                <w:sz w:val="20"/>
              </w:rPr>
              <w:lastRenderedPageBreak/>
              <w:t>“</w:t>
            </w:r>
            <w:r w:rsidRPr="00393A34">
              <w:rPr>
                <w:bCs/>
                <w:sz w:val="20"/>
              </w:rPr>
              <w:t>While the Commission declines to take action in this proceeding to change the</w:t>
            </w:r>
            <w:r>
              <w:rPr>
                <w:bCs/>
                <w:sz w:val="20"/>
              </w:rPr>
              <w:t xml:space="preserve"> </w:t>
            </w:r>
            <w:r w:rsidRPr="00393A34">
              <w:rPr>
                <w:bCs/>
                <w:sz w:val="20"/>
              </w:rPr>
              <w:t>start of the Gas Day on a nation-wide basis, we note that since the issuance of the NOPR</w:t>
            </w:r>
            <w:r>
              <w:rPr>
                <w:bCs/>
                <w:sz w:val="20"/>
              </w:rPr>
              <w:t xml:space="preserve"> </w:t>
            </w:r>
            <w:r w:rsidRPr="00393A34">
              <w:rPr>
                <w:bCs/>
                <w:sz w:val="20"/>
              </w:rPr>
              <w:t>in March 2014 both ISO-NE and PJM (the two regions that appear to be of the most</w:t>
            </w:r>
            <w:r>
              <w:rPr>
                <w:bCs/>
                <w:sz w:val="20"/>
              </w:rPr>
              <w:t xml:space="preserve"> </w:t>
            </w:r>
            <w:r w:rsidRPr="00393A34">
              <w:rPr>
                <w:bCs/>
                <w:sz w:val="20"/>
              </w:rPr>
              <w:t>concern) have recently undertaken operational and market actions to address the</w:t>
            </w:r>
            <w:r>
              <w:rPr>
                <w:bCs/>
                <w:sz w:val="20"/>
              </w:rPr>
              <w:t xml:space="preserve"> </w:t>
            </w:r>
            <w:r w:rsidRPr="00393A34">
              <w:rPr>
                <w:bCs/>
                <w:sz w:val="20"/>
              </w:rPr>
              <w:t>availability and performance of generators, included gas-fired generators, in their</w:t>
            </w:r>
            <w:r>
              <w:rPr>
                <w:bCs/>
                <w:sz w:val="20"/>
              </w:rPr>
              <w:t xml:space="preserve"> </w:t>
            </w:r>
            <w:r w:rsidRPr="00393A34">
              <w:rPr>
                <w:bCs/>
                <w:sz w:val="20"/>
              </w:rPr>
              <w:t>footprints.</w:t>
            </w:r>
            <w:r>
              <w:rPr>
                <w:bCs/>
                <w:sz w:val="20"/>
              </w:rPr>
              <w:t xml:space="preserve"> </w:t>
            </w:r>
            <w:r w:rsidRPr="00393A34">
              <w:rPr>
                <w:bCs/>
                <w:sz w:val="20"/>
              </w:rPr>
              <w:t>Beyond these measures, ISO-NE argues that the New England region needs</w:t>
            </w:r>
            <w:r>
              <w:rPr>
                <w:bCs/>
                <w:sz w:val="20"/>
              </w:rPr>
              <w:t xml:space="preserve"> </w:t>
            </w:r>
            <w:r w:rsidRPr="00393A34">
              <w:rPr>
                <w:bCs/>
                <w:sz w:val="20"/>
              </w:rPr>
              <w:t xml:space="preserve">its generating resources and other entities to make investments in firm fuel supplies </w:t>
            </w:r>
            <w:r>
              <w:rPr>
                <w:bCs/>
                <w:sz w:val="20"/>
              </w:rPr>
              <w:t>and t</w:t>
            </w:r>
            <w:r w:rsidRPr="00393A34">
              <w:rPr>
                <w:bCs/>
                <w:sz w:val="20"/>
              </w:rPr>
              <w:t>ransportation, maintenance of on-site fuel inventory, and dual fuel capability.126 ISONE states that it is implementing the Pay-for-Performance proposal accepted by the</w:t>
            </w:r>
            <w:r>
              <w:rPr>
                <w:bCs/>
                <w:sz w:val="20"/>
              </w:rPr>
              <w:t xml:space="preserve"> </w:t>
            </w:r>
            <w:r w:rsidRPr="00393A34">
              <w:rPr>
                <w:bCs/>
                <w:sz w:val="20"/>
              </w:rPr>
              <w:t>Commission to provide incentives for these investments.</w:t>
            </w:r>
            <w:r>
              <w:rPr>
                <w:bCs/>
                <w:sz w:val="20"/>
              </w:rPr>
              <w:t xml:space="preserve"> </w:t>
            </w:r>
            <w:r w:rsidRPr="00393A34">
              <w:rPr>
                <w:bCs/>
                <w:sz w:val="20"/>
              </w:rPr>
              <w:t>Similarly, PJM is focusing</w:t>
            </w:r>
            <w:r>
              <w:rPr>
                <w:bCs/>
                <w:sz w:val="20"/>
              </w:rPr>
              <w:t xml:space="preserve"> </w:t>
            </w:r>
            <w:r w:rsidRPr="00393A34">
              <w:rPr>
                <w:bCs/>
                <w:sz w:val="20"/>
              </w:rPr>
              <w:t>on long-term procedural improvements in a recent Commission filing proposing a series</w:t>
            </w:r>
            <w:r>
              <w:rPr>
                <w:bCs/>
                <w:sz w:val="20"/>
              </w:rPr>
              <w:t xml:space="preserve"> </w:t>
            </w:r>
            <w:r w:rsidRPr="00393A34">
              <w:rPr>
                <w:bCs/>
                <w:sz w:val="20"/>
              </w:rPr>
              <w:t>of tariff reforms to ensure that resources committed as capacity to meet PJM’s reliability</w:t>
            </w:r>
            <w:r>
              <w:rPr>
                <w:bCs/>
                <w:sz w:val="20"/>
              </w:rPr>
              <w:t xml:space="preserve"> </w:t>
            </w:r>
            <w:r w:rsidRPr="00393A34">
              <w:rPr>
                <w:bCs/>
                <w:sz w:val="20"/>
              </w:rPr>
              <w:t>needs are obligated to deliver energy and reserves when called upon.</w:t>
            </w:r>
            <w:r>
              <w:rPr>
                <w:bCs/>
                <w:sz w:val="20"/>
              </w:rPr>
              <w:t xml:space="preserve"> </w:t>
            </w:r>
            <w:r w:rsidRPr="00393A34">
              <w:rPr>
                <w:bCs/>
                <w:sz w:val="20"/>
              </w:rPr>
              <w:t>These and other</w:t>
            </w:r>
            <w:r>
              <w:rPr>
                <w:bCs/>
                <w:sz w:val="20"/>
              </w:rPr>
              <w:t xml:space="preserve"> </w:t>
            </w:r>
            <w:r w:rsidRPr="00393A34">
              <w:rPr>
                <w:bCs/>
                <w:sz w:val="20"/>
              </w:rPr>
              <w:t>regional efforts to address generator performance may result in natural gas-fired</w:t>
            </w:r>
            <w:r>
              <w:rPr>
                <w:bCs/>
                <w:sz w:val="20"/>
              </w:rPr>
              <w:t xml:space="preserve"> </w:t>
            </w:r>
            <w:r w:rsidRPr="00393A34">
              <w:rPr>
                <w:bCs/>
                <w:sz w:val="20"/>
              </w:rPr>
              <w:t>generators and other market participants in these regions taking actions to alleviate some</w:t>
            </w:r>
            <w:r>
              <w:rPr>
                <w:bCs/>
                <w:sz w:val="20"/>
              </w:rPr>
              <w:t xml:space="preserve"> </w:t>
            </w:r>
            <w:r w:rsidRPr="00393A34">
              <w:rPr>
                <w:bCs/>
                <w:sz w:val="20"/>
              </w:rPr>
              <w:t>of the electric industry fuel supply concerns underlying the Gas Day proposal in the</w:t>
            </w:r>
            <w:r>
              <w:rPr>
                <w:bCs/>
                <w:sz w:val="20"/>
              </w:rPr>
              <w:t xml:space="preserve"> </w:t>
            </w:r>
            <w:r w:rsidRPr="00393A34">
              <w:rPr>
                <w:bCs/>
                <w:sz w:val="20"/>
              </w:rPr>
              <w:t>NOPR.</w:t>
            </w:r>
            <w:r>
              <w:rPr>
                <w:bCs/>
                <w:sz w:val="20"/>
              </w:rPr>
              <w:t xml:space="preserve"> </w:t>
            </w:r>
            <w:r w:rsidRPr="00393A34">
              <w:rPr>
                <w:bCs/>
                <w:sz w:val="20"/>
              </w:rPr>
              <w:t>In addition, the Commission is taking a range of actions in this Final Rule, as</w:t>
            </w:r>
            <w:r>
              <w:rPr>
                <w:bCs/>
                <w:sz w:val="20"/>
              </w:rPr>
              <w:t xml:space="preserve"> </w:t>
            </w:r>
            <w:r w:rsidRPr="00393A34">
              <w:rPr>
                <w:bCs/>
                <w:sz w:val="20"/>
              </w:rPr>
              <w:t>discussed below, to better coordinate the scheduling of the natural gas and wholesale</w:t>
            </w:r>
            <w:r>
              <w:rPr>
                <w:bCs/>
                <w:sz w:val="20"/>
              </w:rPr>
              <w:t xml:space="preserve"> </w:t>
            </w:r>
            <w:r w:rsidRPr="00393A34">
              <w:rPr>
                <w:bCs/>
                <w:sz w:val="20"/>
              </w:rPr>
              <w:t>electricity markets as well as to provide additional scheduling flexibility to all shippers</w:t>
            </w:r>
            <w:r>
              <w:rPr>
                <w:bCs/>
                <w:sz w:val="20"/>
              </w:rPr>
              <w:t xml:space="preserve"> </w:t>
            </w:r>
            <w:r w:rsidRPr="00393A34">
              <w:rPr>
                <w:bCs/>
                <w:sz w:val="20"/>
              </w:rPr>
              <w:t>on interstate natural gas pipelines.</w:t>
            </w:r>
            <w:r>
              <w:rPr>
                <w:bCs/>
                <w:sz w:val="20"/>
              </w:rPr>
              <w:t>”</w:t>
            </w:r>
          </w:p>
        </w:tc>
        <w:tc>
          <w:tcPr>
            <w:tcW w:w="1886" w:type="dxa"/>
          </w:tcPr>
          <w:p w14:paraId="62297D7B" w14:textId="6C2696B7" w:rsidR="00260983" w:rsidRDefault="00393A34" w:rsidP="004D7B1A">
            <w:pPr>
              <w:pStyle w:val="BodyText"/>
              <w:widowControl w:val="0"/>
              <w:spacing w:before="60"/>
              <w:outlineLvl w:val="0"/>
              <w:rPr>
                <w:bCs/>
                <w:sz w:val="20"/>
              </w:rPr>
            </w:pPr>
            <w:r w:rsidRPr="00DC298B">
              <w:rPr>
                <w:bCs/>
                <w:sz w:val="20"/>
              </w:rPr>
              <w:lastRenderedPageBreak/>
              <w:t xml:space="preserve">Standards </w:t>
            </w:r>
            <w:r>
              <w:rPr>
                <w:bCs/>
                <w:sz w:val="20"/>
              </w:rPr>
              <w:t>Adopted</w:t>
            </w:r>
            <w:r w:rsidRPr="00DC298B">
              <w:rPr>
                <w:bCs/>
                <w:sz w:val="20"/>
              </w:rPr>
              <w:t xml:space="preserve"> </w:t>
            </w:r>
            <w:r w:rsidRPr="00DC298B">
              <w:rPr>
                <w:bCs/>
                <w:sz w:val="20"/>
              </w:rPr>
              <w:lastRenderedPageBreak/>
              <w:t>(see work paper)</w:t>
            </w:r>
          </w:p>
        </w:tc>
      </w:tr>
      <w:tr w:rsidR="00260983" w:rsidRPr="004E3536" w14:paraId="12A6B2B6" w14:textId="77777777" w:rsidTr="004D7B1A">
        <w:trPr>
          <w:jc w:val="center"/>
        </w:trPr>
        <w:tc>
          <w:tcPr>
            <w:tcW w:w="443" w:type="dxa"/>
          </w:tcPr>
          <w:p w14:paraId="2A392C5E" w14:textId="77777777" w:rsidR="00260983" w:rsidRDefault="00260983" w:rsidP="004D7B1A">
            <w:pPr>
              <w:pStyle w:val="BodyText"/>
              <w:widowControl w:val="0"/>
              <w:spacing w:before="80" w:after="40"/>
              <w:jc w:val="center"/>
              <w:outlineLvl w:val="0"/>
              <w:rPr>
                <w:b/>
                <w:sz w:val="20"/>
              </w:rPr>
            </w:pPr>
          </w:p>
        </w:tc>
        <w:tc>
          <w:tcPr>
            <w:tcW w:w="378" w:type="dxa"/>
          </w:tcPr>
          <w:p w14:paraId="6E67DD4D" w14:textId="6B86346A" w:rsidR="00260983" w:rsidRDefault="00260983" w:rsidP="004D7B1A">
            <w:pPr>
              <w:pStyle w:val="BodyText"/>
              <w:widowControl w:val="0"/>
              <w:spacing w:before="80" w:after="40"/>
              <w:outlineLvl w:val="0"/>
              <w:rPr>
                <w:b/>
                <w:sz w:val="20"/>
              </w:rPr>
            </w:pPr>
            <w:r>
              <w:rPr>
                <w:b/>
                <w:sz w:val="20"/>
              </w:rPr>
              <w:t>b.</w:t>
            </w:r>
          </w:p>
        </w:tc>
        <w:tc>
          <w:tcPr>
            <w:tcW w:w="6194" w:type="dxa"/>
          </w:tcPr>
          <w:p w14:paraId="21A1B3EF" w14:textId="33105FA5" w:rsidR="00260983" w:rsidRDefault="00260983" w:rsidP="004D7B1A">
            <w:pPr>
              <w:pStyle w:val="BodyText"/>
              <w:widowControl w:val="0"/>
              <w:spacing w:before="60"/>
              <w:outlineLvl w:val="0"/>
              <w:rPr>
                <w:bCs/>
                <w:sz w:val="20"/>
              </w:rPr>
            </w:pPr>
            <w:r>
              <w:rPr>
                <w:bCs/>
                <w:sz w:val="20"/>
              </w:rPr>
              <w:t>In response to the NOPR proposal to “move the start of the first day-ahead gas nomination opportunity for pipeline scheduling (Timely Nomination Cycle) from the current 11:30 am CCT to 1:00 pm CCT,” the NAESB Gas Electric Harmonization Foru</w:t>
            </w:r>
            <w:r w:rsidR="009C08A1">
              <w:rPr>
                <w:bCs/>
                <w:sz w:val="20"/>
              </w:rPr>
              <w:t>m came to consensus in support of the proposal offered in the NOPR</w:t>
            </w:r>
          </w:p>
        </w:tc>
        <w:tc>
          <w:tcPr>
            <w:tcW w:w="5547" w:type="dxa"/>
          </w:tcPr>
          <w:p w14:paraId="663B02D8" w14:textId="3B58126D" w:rsidR="006E33B7" w:rsidRDefault="006E33B7" w:rsidP="004D7B1A">
            <w:pPr>
              <w:pStyle w:val="BodyText"/>
              <w:widowControl w:val="0"/>
              <w:spacing w:before="60"/>
              <w:outlineLvl w:val="0"/>
              <w:rPr>
                <w:bCs/>
                <w:sz w:val="20"/>
              </w:rPr>
            </w:pPr>
            <w:r w:rsidRPr="00393A34">
              <w:rPr>
                <w:bCs/>
                <w:sz w:val="20"/>
              </w:rPr>
              <w:t xml:space="preserve">FERC </w:t>
            </w:r>
            <w:r>
              <w:rPr>
                <w:bCs/>
                <w:sz w:val="20"/>
              </w:rPr>
              <w:t>Order No. 809 April 16</w:t>
            </w:r>
            <w:r w:rsidRPr="00393A34">
              <w:rPr>
                <w:bCs/>
                <w:sz w:val="20"/>
              </w:rPr>
              <w:t>, 20</w:t>
            </w:r>
            <w:r>
              <w:rPr>
                <w:bCs/>
                <w:sz w:val="20"/>
              </w:rPr>
              <w:t xml:space="preserve">15 </w:t>
            </w:r>
            <w:r w:rsidRPr="00393A34">
              <w:rPr>
                <w:bCs/>
                <w:sz w:val="20"/>
              </w:rPr>
              <w:t xml:space="preserve">¶ </w:t>
            </w:r>
            <w:r>
              <w:rPr>
                <w:bCs/>
                <w:sz w:val="20"/>
              </w:rPr>
              <w:t>87</w:t>
            </w:r>
          </w:p>
          <w:p w14:paraId="53808D19" w14:textId="0FB126A2" w:rsidR="00393A34" w:rsidRDefault="006E33B7" w:rsidP="004D7B1A">
            <w:pPr>
              <w:pStyle w:val="BodyText"/>
              <w:widowControl w:val="0"/>
              <w:spacing w:before="60"/>
              <w:outlineLvl w:val="0"/>
              <w:rPr>
                <w:bCs/>
                <w:sz w:val="20"/>
              </w:rPr>
            </w:pPr>
            <w:r>
              <w:rPr>
                <w:bCs/>
                <w:sz w:val="20"/>
              </w:rPr>
              <w:t>“</w:t>
            </w:r>
            <w:r w:rsidRPr="006E33B7">
              <w:rPr>
                <w:bCs/>
                <w:sz w:val="20"/>
              </w:rPr>
              <w:t>The Commission is amending its regulations at Part 284 to incorporate by</w:t>
            </w:r>
            <w:r>
              <w:rPr>
                <w:bCs/>
                <w:sz w:val="20"/>
              </w:rPr>
              <w:t xml:space="preserve"> </w:t>
            </w:r>
            <w:r w:rsidRPr="006E33B7">
              <w:rPr>
                <w:bCs/>
                <w:sz w:val="20"/>
              </w:rPr>
              <w:t>reference NAESB’s revised standards, which provide that the nomination deadline for the</w:t>
            </w:r>
            <w:r>
              <w:rPr>
                <w:bCs/>
                <w:sz w:val="20"/>
              </w:rPr>
              <w:t xml:space="preserve"> </w:t>
            </w:r>
            <w:r w:rsidRPr="006E33B7">
              <w:rPr>
                <w:bCs/>
                <w:sz w:val="20"/>
              </w:rPr>
              <w:t>Timely Nomination Cycle shall be 1:00 p.m. CCT, with notice to shippers of scheduled</w:t>
            </w:r>
            <w:r>
              <w:rPr>
                <w:bCs/>
                <w:sz w:val="20"/>
              </w:rPr>
              <w:t xml:space="preserve"> </w:t>
            </w:r>
            <w:r w:rsidRPr="006E33B7">
              <w:rPr>
                <w:bCs/>
                <w:sz w:val="20"/>
              </w:rPr>
              <w:t>quantities at 5:00 p.m. CCT, and the nomination deadline for the Evening Nomination</w:t>
            </w:r>
            <w:r>
              <w:rPr>
                <w:bCs/>
                <w:sz w:val="20"/>
              </w:rPr>
              <w:t xml:space="preserve"> </w:t>
            </w:r>
            <w:r w:rsidRPr="006E33B7">
              <w:rPr>
                <w:bCs/>
                <w:sz w:val="20"/>
              </w:rPr>
              <w:t>Cycle shall remain at 6:00 p.m. CCT, with notice to shippers of scheduled quantities at</w:t>
            </w:r>
            <w:r>
              <w:rPr>
                <w:bCs/>
                <w:sz w:val="20"/>
              </w:rPr>
              <w:t xml:space="preserve"> </w:t>
            </w:r>
            <w:r w:rsidRPr="006E33B7">
              <w:rPr>
                <w:bCs/>
                <w:sz w:val="20"/>
              </w:rPr>
              <w:t>9:00 p.m. CCT. These changes, along with being generally consistent with the NOPR’s</w:t>
            </w:r>
            <w:r>
              <w:rPr>
                <w:bCs/>
                <w:sz w:val="20"/>
              </w:rPr>
              <w:t xml:space="preserve"> </w:t>
            </w:r>
            <w:r w:rsidRPr="006E33B7">
              <w:rPr>
                <w:bCs/>
                <w:sz w:val="20"/>
              </w:rPr>
              <w:t>proposed 1:00 p.m. CCT start time for the Timely Nomination Cycle, are supported by</w:t>
            </w:r>
            <w:r>
              <w:rPr>
                <w:bCs/>
                <w:sz w:val="20"/>
              </w:rPr>
              <w:t xml:space="preserve"> </w:t>
            </w:r>
            <w:r w:rsidRPr="006E33B7">
              <w:rPr>
                <w:bCs/>
                <w:sz w:val="20"/>
              </w:rPr>
              <w:t xml:space="preserve">the vast majority of </w:t>
            </w:r>
            <w:r w:rsidRPr="006E33B7">
              <w:rPr>
                <w:bCs/>
                <w:sz w:val="20"/>
              </w:rPr>
              <w:lastRenderedPageBreak/>
              <w:t>the commenters, from both the gas and electric industries, including</w:t>
            </w:r>
            <w:r>
              <w:rPr>
                <w:bCs/>
                <w:sz w:val="20"/>
              </w:rPr>
              <w:t xml:space="preserve"> </w:t>
            </w:r>
            <w:r w:rsidRPr="006E33B7">
              <w:rPr>
                <w:bCs/>
                <w:sz w:val="20"/>
              </w:rPr>
              <w:t>commenters that do not generally support NAESB’s revised intraday nomination</w:t>
            </w:r>
            <w:r>
              <w:rPr>
                <w:bCs/>
                <w:sz w:val="20"/>
              </w:rPr>
              <w:t xml:space="preserve"> </w:t>
            </w:r>
            <w:r w:rsidRPr="006E33B7">
              <w:rPr>
                <w:bCs/>
                <w:sz w:val="20"/>
              </w:rPr>
              <w:t>timeline. NAESB’s revised 1:00 p.m. CCT start time for the Timely Nomination Cycle,</w:t>
            </w:r>
            <w:r>
              <w:rPr>
                <w:bCs/>
                <w:sz w:val="20"/>
              </w:rPr>
              <w:t xml:space="preserve"> </w:t>
            </w:r>
            <w:r w:rsidRPr="006E33B7">
              <w:rPr>
                <w:bCs/>
                <w:sz w:val="20"/>
              </w:rPr>
              <w:t>like the NOPR’s proposed 1:00 p.m. CCT start time, will provide generators more time to</w:t>
            </w:r>
            <w:r>
              <w:rPr>
                <w:bCs/>
                <w:sz w:val="20"/>
              </w:rPr>
              <w:t xml:space="preserve"> </w:t>
            </w:r>
            <w:r w:rsidRPr="006E33B7">
              <w:rPr>
                <w:bCs/>
                <w:sz w:val="20"/>
              </w:rPr>
              <w:t>acquire natural gas supply and pipeline transportation after learning their electric dispatch</w:t>
            </w:r>
            <w:r>
              <w:rPr>
                <w:bCs/>
                <w:sz w:val="20"/>
              </w:rPr>
              <w:t xml:space="preserve"> </w:t>
            </w:r>
            <w:r w:rsidRPr="006E33B7">
              <w:rPr>
                <w:bCs/>
                <w:sz w:val="20"/>
              </w:rPr>
              <w:t>obligations, provided changes are made to the ISO and RTO scheduling processes.</w:t>
            </w:r>
            <w:r>
              <w:rPr>
                <w:bCs/>
                <w:sz w:val="20"/>
              </w:rPr>
              <w:t xml:space="preserve"> </w:t>
            </w:r>
            <w:r w:rsidRPr="006E33B7">
              <w:rPr>
                <w:bCs/>
                <w:sz w:val="20"/>
              </w:rPr>
              <w:t>NAESB’s proposal to provide notice of scheduled quantities at 5:00 p.m. also enables gas</w:t>
            </w:r>
            <w:r>
              <w:rPr>
                <w:bCs/>
                <w:sz w:val="20"/>
              </w:rPr>
              <w:t xml:space="preserve"> </w:t>
            </w:r>
            <w:r w:rsidRPr="006E33B7">
              <w:rPr>
                <w:bCs/>
                <w:sz w:val="20"/>
              </w:rPr>
              <w:t>industry participants to complete the Timely Nomination Cycle by the end of the business</w:t>
            </w:r>
            <w:r>
              <w:rPr>
                <w:bCs/>
                <w:sz w:val="20"/>
              </w:rPr>
              <w:t xml:space="preserve"> </w:t>
            </w:r>
            <w:r w:rsidRPr="006E33B7">
              <w:rPr>
                <w:bCs/>
                <w:sz w:val="20"/>
              </w:rPr>
              <w:t>day, while still providing sufficient time for the nomination, confirmation and scheduling</w:t>
            </w:r>
            <w:r>
              <w:rPr>
                <w:bCs/>
                <w:sz w:val="20"/>
              </w:rPr>
              <w:t xml:space="preserve"> </w:t>
            </w:r>
            <w:r w:rsidRPr="006E33B7">
              <w:rPr>
                <w:bCs/>
                <w:sz w:val="20"/>
              </w:rPr>
              <w:t>process.</w:t>
            </w:r>
            <w:r>
              <w:rPr>
                <w:bCs/>
                <w:sz w:val="20"/>
              </w:rPr>
              <w:t>”</w:t>
            </w:r>
          </w:p>
        </w:tc>
        <w:tc>
          <w:tcPr>
            <w:tcW w:w="1886" w:type="dxa"/>
          </w:tcPr>
          <w:p w14:paraId="05B1D78B" w14:textId="1ED1A136" w:rsidR="00260983" w:rsidRDefault="006E33B7" w:rsidP="004D7B1A">
            <w:pPr>
              <w:pStyle w:val="BodyText"/>
              <w:widowControl w:val="0"/>
              <w:spacing w:before="60"/>
              <w:outlineLvl w:val="0"/>
              <w:rPr>
                <w:bCs/>
                <w:sz w:val="20"/>
              </w:rPr>
            </w:pPr>
            <w:r w:rsidRPr="00DC298B">
              <w:rPr>
                <w:bCs/>
                <w:sz w:val="20"/>
              </w:rPr>
              <w:lastRenderedPageBreak/>
              <w:t xml:space="preserve">Standards </w:t>
            </w:r>
            <w:r>
              <w:rPr>
                <w:bCs/>
                <w:sz w:val="20"/>
              </w:rPr>
              <w:t>Adopted</w:t>
            </w:r>
            <w:r w:rsidRPr="00DC298B">
              <w:rPr>
                <w:bCs/>
                <w:sz w:val="20"/>
              </w:rPr>
              <w:t xml:space="preserve"> (see work paper)</w:t>
            </w:r>
          </w:p>
        </w:tc>
      </w:tr>
      <w:tr w:rsidR="006E33B7" w:rsidRPr="004E3536" w14:paraId="7A01723F" w14:textId="77777777" w:rsidTr="004D7B1A">
        <w:trPr>
          <w:jc w:val="center"/>
        </w:trPr>
        <w:tc>
          <w:tcPr>
            <w:tcW w:w="443" w:type="dxa"/>
          </w:tcPr>
          <w:p w14:paraId="421E0221" w14:textId="77777777" w:rsidR="006E33B7" w:rsidRDefault="006E33B7" w:rsidP="004D7B1A">
            <w:pPr>
              <w:pStyle w:val="BodyText"/>
              <w:widowControl w:val="0"/>
              <w:spacing w:before="80" w:after="40"/>
              <w:jc w:val="center"/>
              <w:outlineLvl w:val="0"/>
              <w:rPr>
                <w:b/>
                <w:sz w:val="20"/>
              </w:rPr>
            </w:pPr>
          </w:p>
        </w:tc>
        <w:tc>
          <w:tcPr>
            <w:tcW w:w="378" w:type="dxa"/>
          </w:tcPr>
          <w:p w14:paraId="14447233" w14:textId="2FB4856A" w:rsidR="006E33B7" w:rsidRDefault="006E33B7" w:rsidP="004D7B1A">
            <w:pPr>
              <w:pStyle w:val="BodyText"/>
              <w:widowControl w:val="0"/>
              <w:spacing w:before="80" w:after="40"/>
              <w:outlineLvl w:val="0"/>
              <w:rPr>
                <w:b/>
                <w:sz w:val="20"/>
              </w:rPr>
            </w:pPr>
            <w:r>
              <w:rPr>
                <w:b/>
                <w:sz w:val="20"/>
              </w:rPr>
              <w:t>c.</w:t>
            </w:r>
          </w:p>
        </w:tc>
        <w:tc>
          <w:tcPr>
            <w:tcW w:w="6194" w:type="dxa"/>
          </w:tcPr>
          <w:p w14:paraId="20DDC993" w14:textId="049F42F2" w:rsidR="006E33B7" w:rsidRDefault="006E33B7" w:rsidP="004D7B1A">
            <w:pPr>
              <w:pStyle w:val="BodyText"/>
              <w:widowControl w:val="0"/>
              <w:spacing w:before="60"/>
              <w:outlineLvl w:val="0"/>
              <w:rPr>
                <w:bCs/>
                <w:sz w:val="20"/>
              </w:rPr>
            </w:pPr>
            <w:r>
              <w:rPr>
                <w:bCs/>
                <w:sz w:val="20"/>
              </w:rPr>
              <w:t xml:space="preserve">In response to the NOPR proposal to “modify the current intraday nomination timeline to provide four intraday nomination cycles, instead of the existing two, to provide greater flexibility to all pipeline shippers,” the NAESB Gas Electric Harmonization Forum recommended three intraday nomination opportunities with deadlines for Intraday 1, Intraday 2 and Intraday 3 occurring at 10:00 am CCT (bump), 2:30 pm CCT (bump) and 7:00 pm CCT (no bump), respectively.  </w:t>
            </w:r>
          </w:p>
        </w:tc>
        <w:tc>
          <w:tcPr>
            <w:tcW w:w="5547" w:type="dxa"/>
          </w:tcPr>
          <w:p w14:paraId="04E20CB7" w14:textId="30829EC5" w:rsidR="006E33B7" w:rsidRDefault="006E33B7" w:rsidP="004D7B1A">
            <w:pPr>
              <w:pStyle w:val="BodyText"/>
              <w:widowControl w:val="0"/>
              <w:spacing w:before="60"/>
              <w:outlineLvl w:val="0"/>
              <w:rPr>
                <w:bCs/>
                <w:sz w:val="20"/>
              </w:rPr>
            </w:pPr>
            <w:r w:rsidRPr="00393A34">
              <w:rPr>
                <w:bCs/>
                <w:sz w:val="20"/>
              </w:rPr>
              <w:t xml:space="preserve">FERC </w:t>
            </w:r>
            <w:r>
              <w:rPr>
                <w:bCs/>
                <w:sz w:val="20"/>
              </w:rPr>
              <w:t>Order No. 809 April 16</w:t>
            </w:r>
            <w:r w:rsidRPr="00393A34">
              <w:rPr>
                <w:bCs/>
                <w:sz w:val="20"/>
              </w:rPr>
              <w:t>, 20</w:t>
            </w:r>
            <w:r>
              <w:rPr>
                <w:bCs/>
                <w:sz w:val="20"/>
              </w:rPr>
              <w:t xml:space="preserve">15 </w:t>
            </w:r>
            <w:r w:rsidRPr="00393A34">
              <w:rPr>
                <w:bCs/>
                <w:sz w:val="20"/>
              </w:rPr>
              <w:t xml:space="preserve">¶ </w:t>
            </w:r>
            <w:r>
              <w:rPr>
                <w:bCs/>
                <w:sz w:val="20"/>
              </w:rPr>
              <w:t>104</w:t>
            </w:r>
          </w:p>
          <w:p w14:paraId="778AC4F8" w14:textId="151247B9" w:rsidR="006E33B7" w:rsidRDefault="006E33B7" w:rsidP="004D7B1A">
            <w:pPr>
              <w:pStyle w:val="BodyText"/>
              <w:widowControl w:val="0"/>
              <w:spacing w:before="60"/>
              <w:outlineLvl w:val="0"/>
              <w:rPr>
                <w:bCs/>
                <w:sz w:val="20"/>
              </w:rPr>
            </w:pPr>
            <w:r>
              <w:rPr>
                <w:bCs/>
                <w:sz w:val="20"/>
              </w:rPr>
              <w:t>“</w:t>
            </w:r>
            <w:r w:rsidRPr="006E33B7">
              <w:rPr>
                <w:bCs/>
                <w:sz w:val="20"/>
              </w:rPr>
              <w:t>The Commission is amending its regulations at Part 284 to incorporate by</w:t>
            </w:r>
            <w:r>
              <w:rPr>
                <w:bCs/>
                <w:sz w:val="20"/>
              </w:rPr>
              <w:t xml:space="preserve"> </w:t>
            </w:r>
            <w:r w:rsidRPr="006E33B7">
              <w:rPr>
                <w:bCs/>
                <w:sz w:val="20"/>
              </w:rPr>
              <w:t>reference NAESB’s revised standards, which provide three intraday nomination cycles.</w:t>
            </w:r>
            <w:r>
              <w:rPr>
                <w:bCs/>
                <w:sz w:val="20"/>
              </w:rPr>
              <w:t xml:space="preserve"> </w:t>
            </w:r>
            <w:r w:rsidRPr="006E33B7">
              <w:rPr>
                <w:bCs/>
                <w:sz w:val="20"/>
              </w:rPr>
              <w:t>Adoption of these standards will provide natural gas-fired generators, as well as other</w:t>
            </w:r>
            <w:r>
              <w:rPr>
                <w:bCs/>
                <w:sz w:val="20"/>
              </w:rPr>
              <w:t xml:space="preserve"> </w:t>
            </w:r>
            <w:r w:rsidRPr="006E33B7">
              <w:rPr>
                <w:bCs/>
                <w:sz w:val="20"/>
              </w:rPr>
              <w:t>pipeline shippers, with increased scheduling flexibility. While the Intraday 1 Nomination</w:t>
            </w:r>
            <w:r>
              <w:rPr>
                <w:bCs/>
                <w:sz w:val="20"/>
              </w:rPr>
              <w:t xml:space="preserve"> </w:t>
            </w:r>
            <w:r w:rsidRPr="006E33B7">
              <w:rPr>
                <w:bCs/>
                <w:sz w:val="20"/>
              </w:rPr>
              <w:t>Cycle will continue to start at 10:00 a.m. CCT, pipelines will issue scheduled quantities</w:t>
            </w:r>
            <w:r>
              <w:rPr>
                <w:bCs/>
                <w:sz w:val="20"/>
              </w:rPr>
              <w:t xml:space="preserve"> </w:t>
            </w:r>
            <w:r w:rsidRPr="006E33B7">
              <w:rPr>
                <w:bCs/>
                <w:sz w:val="20"/>
              </w:rPr>
              <w:t>at 1:00 p.m. CCT, one hour earlier than under the currently effective standards, and gas</w:t>
            </w:r>
            <w:r>
              <w:rPr>
                <w:bCs/>
                <w:sz w:val="20"/>
              </w:rPr>
              <w:t xml:space="preserve"> </w:t>
            </w:r>
            <w:r w:rsidRPr="006E33B7">
              <w:rPr>
                <w:bCs/>
                <w:sz w:val="20"/>
              </w:rPr>
              <w:t>flow will begin at 2:00 p.m. CCT, three hours earlier than under the currently effective</w:t>
            </w:r>
            <w:r>
              <w:rPr>
                <w:bCs/>
                <w:sz w:val="20"/>
              </w:rPr>
              <w:t xml:space="preserve"> </w:t>
            </w:r>
            <w:r w:rsidRPr="006E33B7">
              <w:rPr>
                <w:bCs/>
                <w:sz w:val="20"/>
              </w:rPr>
              <w:t xml:space="preserve">standards. The new </w:t>
            </w:r>
            <w:proofErr w:type="spellStart"/>
            <w:r w:rsidRPr="006E33B7">
              <w:rPr>
                <w:bCs/>
                <w:sz w:val="20"/>
              </w:rPr>
              <w:t>bumpable</w:t>
            </w:r>
            <w:proofErr w:type="spellEnd"/>
            <w:r w:rsidRPr="006E33B7">
              <w:rPr>
                <w:bCs/>
                <w:sz w:val="20"/>
              </w:rPr>
              <w:t xml:space="preserve"> Intraday 2 Nomination Cycle will start at 2:30 p.m. CCT,</w:t>
            </w:r>
            <w:r>
              <w:rPr>
                <w:bCs/>
                <w:sz w:val="20"/>
              </w:rPr>
              <w:t xml:space="preserve"> </w:t>
            </w:r>
            <w:r w:rsidRPr="006E33B7">
              <w:rPr>
                <w:bCs/>
                <w:sz w:val="20"/>
              </w:rPr>
              <w:t xml:space="preserve">four and a half hours after the single </w:t>
            </w:r>
            <w:proofErr w:type="spellStart"/>
            <w:r w:rsidRPr="006E33B7">
              <w:rPr>
                <w:bCs/>
                <w:sz w:val="20"/>
              </w:rPr>
              <w:t>bumpable</w:t>
            </w:r>
            <w:proofErr w:type="spellEnd"/>
            <w:r w:rsidRPr="006E33B7">
              <w:rPr>
                <w:bCs/>
                <w:sz w:val="20"/>
              </w:rPr>
              <w:t xml:space="preserve"> intraday nomination opportunity provided</w:t>
            </w:r>
            <w:r>
              <w:rPr>
                <w:bCs/>
                <w:sz w:val="20"/>
              </w:rPr>
              <w:t xml:space="preserve"> </w:t>
            </w:r>
            <w:r w:rsidRPr="006E33B7">
              <w:rPr>
                <w:bCs/>
                <w:sz w:val="20"/>
              </w:rPr>
              <w:t>by the existing Intraday 1 Nomination Cycle, with pipelines issuing scheduled quantities</w:t>
            </w:r>
            <w:r>
              <w:rPr>
                <w:bCs/>
                <w:sz w:val="20"/>
              </w:rPr>
              <w:t xml:space="preserve"> a</w:t>
            </w:r>
            <w:r w:rsidRPr="006E33B7">
              <w:rPr>
                <w:bCs/>
                <w:sz w:val="20"/>
              </w:rPr>
              <w:t>t 5:30 p.m. CCT, and gas flow beginning at 6:00 p.m. CCT. By adding an additional</w:t>
            </w:r>
            <w:r>
              <w:rPr>
                <w:bCs/>
                <w:sz w:val="20"/>
              </w:rPr>
              <w:t xml:space="preserve"> </w:t>
            </w:r>
            <w:proofErr w:type="spellStart"/>
            <w:r w:rsidRPr="006E33B7">
              <w:rPr>
                <w:bCs/>
                <w:sz w:val="20"/>
              </w:rPr>
              <w:t>bumpable</w:t>
            </w:r>
            <w:proofErr w:type="spellEnd"/>
            <w:r w:rsidRPr="006E33B7">
              <w:rPr>
                <w:bCs/>
                <w:sz w:val="20"/>
              </w:rPr>
              <w:t xml:space="preserve"> nomination cycle later in the day, firm shippers will have greater opportunity</w:t>
            </w:r>
            <w:r>
              <w:rPr>
                <w:bCs/>
                <w:sz w:val="20"/>
              </w:rPr>
              <w:t xml:space="preserve"> </w:t>
            </w:r>
            <w:r w:rsidRPr="006E33B7">
              <w:rPr>
                <w:bCs/>
                <w:sz w:val="20"/>
              </w:rPr>
              <w:t>to utilize the intraday schedules to reflect load and weather changes consistent with the</w:t>
            </w:r>
            <w:r>
              <w:rPr>
                <w:bCs/>
                <w:sz w:val="20"/>
              </w:rPr>
              <w:t xml:space="preserve"> </w:t>
            </w:r>
            <w:r w:rsidRPr="006E33B7">
              <w:rPr>
                <w:bCs/>
                <w:sz w:val="20"/>
              </w:rPr>
              <w:t xml:space="preserve">higher priority of their service. The later time for the </w:t>
            </w:r>
            <w:proofErr w:type="spellStart"/>
            <w:r w:rsidRPr="006E33B7">
              <w:rPr>
                <w:bCs/>
                <w:sz w:val="20"/>
              </w:rPr>
              <w:t>bumpable</w:t>
            </w:r>
            <w:proofErr w:type="spellEnd"/>
            <w:r w:rsidRPr="006E33B7">
              <w:rPr>
                <w:bCs/>
                <w:sz w:val="20"/>
              </w:rPr>
              <w:t xml:space="preserve"> nomination will help</w:t>
            </w:r>
            <w:r>
              <w:rPr>
                <w:bCs/>
                <w:sz w:val="20"/>
              </w:rPr>
              <w:t xml:space="preserve"> </w:t>
            </w:r>
            <w:r w:rsidRPr="006E33B7">
              <w:rPr>
                <w:bCs/>
                <w:sz w:val="20"/>
              </w:rPr>
              <w:t>shippers in the west, in particular, by allowing them to reflect later changes in weather</w:t>
            </w:r>
            <w:r>
              <w:rPr>
                <w:bCs/>
                <w:sz w:val="20"/>
              </w:rPr>
              <w:t xml:space="preserve"> </w:t>
            </w:r>
            <w:r w:rsidRPr="006E33B7">
              <w:rPr>
                <w:bCs/>
                <w:sz w:val="20"/>
              </w:rPr>
              <w:t>forecasts into their nominations. The new no-bump Intraday 3 Nomination Cycle will</w:t>
            </w:r>
            <w:r>
              <w:rPr>
                <w:bCs/>
                <w:sz w:val="20"/>
              </w:rPr>
              <w:t xml:space="preserve"> </w:t>
            </w:r>
            <w:r w:rsidRPr="006E33B7">
              <w:rPr>
                <w:bCs/>
                <w:sz w:val="20"/>
              </w:rPr>
              <w:t xml:space="preserve">start at 7:00 p.m. CCT, two hours later than the current </w:t>
            </w:r>
            <w:r w:rsidRPr="006E33B7">
              <w:rPr>
                <w:bCs/>
                <w:sz w:val="20"/>
              </w:rPr>
              <w:lastRenderedPageBreak/>
              <w:t>no-bump Intraday 2 Nomination</w:t>
            </w:r>
            <w:r>
              <w:rPr>
                <w:bCs/>
                <w:sz w:val="20"/>
              </w:rPr>
              <w:t xml:space="preserve"> </w:t>
            </w:r>
            <w:r w:rsidRPr="006E33B7">
              <w:rPr>
                <w:bCs/>
                <w:sz w:val="20"/>
              </w:rPr>
              <w:t>Cycle, with gas flow beginning at 10:00 p.m. CCT, one hour later than under the current</w:t>
            </w:r>
            <w:r>
              <w:rPr>
                <w:bCs/>
                <w:sz w:val="20"/>
              </w:rPr>
              <w:t xml:space="preserve"> </w:t>
            </w:r>
            <w:r w:rsidRPr="006E33B7">
              <w:rPr>
                <w:bCs/>
                <w:sz w:val="20"/>
              </w:rPr>
              <w:t>no-bump Intraday 2 Nomination Cycle. The later no-bump nomination cycle will give</w:t>
            </w:r>
            <w:r>
              <w:rPr>
                <w:bCs/>
                <w:sz w:val="20"/>
              </w:rPr>
              <w:t xml:space="preserve"> </w:t>
            </w:r>
            <w:r w:rsidRPr="006E33B7">
              <w:rPr>
                <w:bCs/>
                <w:sz w:val="20"/>
              </w:rPr>
              <w:t>firm shippers a further opportunity to adjust their nominations consistent with their needs,</w:t>
            </w:r>
            <w:r>
              <w:rPr>
                <w:bCs/>
                <w:sz w:val="20"/>
              </w:rPr>
              <w:t xml:space="preserve"> </w:t>
            </w:r>
            <w:r w:rsidRPr="006E33B7">
              <w:rPr>
                <w:bCs/>
                <w:sz w:val="20"/>
              </w:rPr>
              <w:t>while also providing certainty to interruptible transactions, so shippers and pipelines can</w:t>
            </w:r>
            <w:r>
              <w:rPr>
                <w:bCs/>
                <w:sz w:val="20"/>
              </w:rPr>
              <w:t xml:space="preserve"> </w:t>
            </w:r>
            <w:r w:rsidRPr="006E33B7">
              <w:rPr>
                <w:bCs/>
                <w:sz w:val="20"/>
              </w:rPr>
              <w:t>plan for flows during the Gas Day.</w:t>
            </w:r>
            <w:r>
              <w:rPr>
                <w:bCs/>
                <w:sz w:val="20"/>
              </w:rPr>
              <w:t>”</w:t>
            </w:r>
          </w:p>
        </w:tc>
        <w:tc>
          <w:tcPr>
            <w:tcW w:w="1886" w:type="dxa"/>
          </w:tcPr>
          <w:p w14:paraId="21B3639E" w14:textId="32323F5E" w:rsidR="006E33B7" w:rsidRDefault="006E33B7" w:rsidP="004D7B1A">
            <w:pPr>
              <w:pStyle w:val="BodyText"/>
              <w:widowControl w:val="0"/>
              <w:spacing w:before="60"/>
              <w:outlineLvl w:val="0"/>
              <w:rPr>
                <w:bCs/>
                <w:sz w:val="20"/>
              </w:rPr>
            </w:pPr>
            <w:r w:rsidRPr="00DC298B">
              <w:rPr>
                <w:bCs/>
                <w:sz w:val="20"/>
              </w:rPr>
              <w:lastRenderedPageBreak/>
              <w:t xml:space="preserve">Standards </w:t>
            </w:r>
            <w:r>
              <w:rPr>
                <w:bCs/>
                <w:sz w:val="20"/>
              </w:rPr>
              <w:t>Adopted</w:t>
            </w:r>
            <w:r w:rsidRPr="00DC298B">
              <w:rPr>
                <w:bCs/>
                <w:sz w:val="20"/>
              </w:rPr>
              <w:t xml:space="preserve"> (see work paper)</w:t>
            </w:r>
          </w:p>
        </w:tc>
      </w:tr>
      <w:tr w:rsidR="003C1B34" w:rsidRPr="004E3536" w14:paraId="0D9EA372" w14:textId="77777777" w:rsidTr="004D7B1A">
        <w:trPr>
          <w:jc w:val="center"/>
        </w:trPr>
        <w:tc>
          <w:tcPr>
            <w:tcW w:w="443" w:type="dxa"/>
          </w:tcPr>
          <w:p w14:paraId="576C7DC3" w14:textId="44555B0A" w:rsidR="003C1B34" w:rsidRDefault="003C1B34" w:rsidP="004D7B1A">
            <w:pPr>
              <w:pStyle w:val="BodyText"/>
              <w:widowControl w:val="0"/>
              <w:spacing w:before="80" w:after="40"/>
              <w:jc w:val="center"/>
              <w:outlineLvl w:val="0"/>
              <w:rPr>
                <w:b/>
                <w:sz w:val="20"/>
              </w:rPr>
            </w:pPr>
            <w:r>
              <w:rPr>
                <w:b/>
                <w:sz w:val="20"/>
              </w:rPr>
              <w:t>4.</w:t>
            </w:r>
          </w:p>
        </w:tc>
        <w:tc>
          <w:tcPr>
            <w:tcW w:w="14005" w:type="dxa"/>
            <w:gridSpan w:val="4"/>
          </w:tcPr>
          <w:p w14:paraId="1AC18882" w14:textId="4AF11A43" w:rsidR="003C1B34" w:rsidRPr="003C1B34" w:rsidRDefault="003C1B34" w:rsidP="004D7B1A">
            <w:pPr>
              <w:pStyle w:val="BodyText"/>
              <w:widowControl w:val="0"/>
              <w:spacing w:before="80" w:after="40"/>
              <w:outlineLvl w:val="0"/>
              <w:rPr>
                <w:b/>
                <w:sz w:val="20"/>
              </w:rPr>
            </w:pPr>
            <w:r w:rsidRPr="003C1B34">
              <w:rPr>
                <w:b/>
                <w:sz w:val="20"/>
              </w:rPr>
              <w:t xml:space="preserve"> NAESB Response to FERC Order No. 809 (2017)</w:t>
            </w:r>
          </w:p>
        </w:tc>
      </w:tr>
      <w:tr w:rsidR="003C1B34" w:rsidRPr="004E3536" w14:paraId="02C622EB" w14:textId="77777777" w:rsidTr="004D7B1A">
        <w:trPr>
          <w:jc w:val="center"/>
        </w:trPr>
        <w:tc>
          <w:tcPr>
            <w:tcW w:w="443" w:type="dxa"/>
          </w:tcPr>
          <w:p w14:paraId="584ED529" w14:textId="77777777" w:rsidR="003C1B34" w:rsidRDefault="003C1B34" w:rsidP="004D7B1A">
            <w:pPr>
              <w:pStyle w:val="BodyText"/>
              <w:widowControl w:val="0"/>
              <w:spacing w:before="80" w:after="40"/>
              <w:jc w:val="center"/>
              <w:outlineLvl w:val="0"/>
              <w:rPr>
                <w:b/>
                <w:sz w:val="20"/>
              </w:rPr>
            </w:pPr>
          </w:p>
        </w:tc>
        <w:tc>
          <w:tcPr>
            <w:tcW w:w="6572" w:type="dxa"/>
            <w:gridSpan w:val="2"/>
          </w:tcPr>
          <w:p w14:paraId="35C72E08" w14:textId="065A633C" w:rsidR="003C1B34" w:rsidRDefault="003C1B34" w:rsidP="004D7B1A">
            <w:pPr>
              <w:pStyle w:val="BodyText"/>
              <w:widowControl w:val="0"/>
              <w:spacing w:before="60"/>
              <w:outlineLvl w:val="0"/>
              <w:rPr>
                <w:bCs/>
                <w:sz w:val="20"/>
              </w:rPr>
            </w:pPr>
            <w:r>
              <w:rPr>
                <w:b/>
                <w:sz w:val="20"/>
              </w:rPr>
              <w:t xml:space="preserve">Policy Considerations Identified </w:t>
            </w:r>
          </w:p>
        </w:tc>
        <w:tc>
          <w:tcPr>
            <w:tcW w:w="5547" w:type="dxa"/>
          </w:tcPr>
          <w:p w14:paraId="353DBC87" w14:textId="549DA6B3" w:rsidR="003C1B34" w:rsidRPr="00393A34" w:rsidRDefault="003C1B34" w:rsidP="004D7B1A">
            <w:pPr>
              <w:pStyle w:val="BodyText"/>
              <w:widowControl w:val="0"/>
              <w:spacing w:before="60"/>
              <w:outlineLvl w:val="0"/>
              <w:rPr>
                <w:bCs/>
                <w:sz w:val="20"/>
              </w:rPr>
            </w:pPr>
            <w:r>
              <w:rPr>
                <w:b/>
                <w:sz w:val="20"/>
              </w:rPr>
              <w:t>FERC Response</w:t>
            </w:r>
          </w:p>
        </w:tc>
        <w:tc>
          <w:tcPr>
            <w:tcW w:w="1886" w:type="dxa"/>
          </w:tcPr>
          <w:p w14:paraId="1C7655CC" w14:textId="3F10F9D1" w:rsidR="003C1B34" w:rsidRPr="00DC298B" w:rsidRDefault="003C1B34" w:rsidP="004D7B1A">
            <w:pPr>
              <w:pStyle w:val="BodyText"/>
              <w:widowControl w:val="0"/>
              <w:spacing w:before="60"/>
              <w:outlineLvl w:val="0"/>
              <w:rPr>
                <w:bCs/>
                <w:sz w:val="20"/>
              </w:rPr>
            </w:pPr>
            <w:r w:rsidRPr="00D550D1">
              <w:rPr>
                <w:b/>
                <w:sz w:val="20"/>
              </w:rPr>
              <w:t>NAESB Action</w:t>
            </w:r>
          </w:p>
        </w:tc>
      </w:tr>
      <w:tr w:rsidR="00305CF4" w:rsidRPr="004E3536" w14:paraId="39440F41" w14:textId="77777777" w:rsidTr="004D7B1A">
        <w:trPr>
          <w:jc w:val="center"/>
        </w:trPr>
        <w:tc>
          <w:tcPr>
            <w:tcW w:w="443" w:type="dxa"/>
          </w:tcPr>
          <w:p w14:paraId="703C21D7" w14:textId="77777777" w:rsidR="00305CF4" w:rsidRDefault="00305CF4" w:rsidP="004D7B1A">
            <w:pPr>
              <w:pStyle w:val="BodyText"/>
              <w:widowControl w:val="0"/>
              <w:spacing w:before="80" w:after="40"/>
              <w:jc w:val="center"/>
              <w:outlineLvl w:val="0"/>
              <w:rPr>
                <w:b/>
                <w:sz w:val="20"/>
              </w:rPr>
            </w:pPr>
          </w:p>
        </w:tc>
        <w:tc>
          <w:tcPr>
            <w:tcW w:w="378" w:type="dxa"/>
          </w:tcPr>
          <w:p w14:paraId="4DEB15C3" w14:textId="5D27A0B5" w:rsidR="00305CF4" w:rsidRDefault="00305CF4" w:rsidP="004D7B1A">
            <w:pPr>
              <w:pStyle w:val="BodyText"/>
              <w:widowControl w:val="0"/>
              <w:spacing w:before="80" w:after="40"/>
              <w:outlineLvl w:val="0"/>
              <w:rPr>
                <w:b/>
                <w:sz w:val="20"/>
              </w:rPr>
            </w:pPr>
            <w:r>
              <w:rPr>
                <w:b/>
                <w:sz w:val="20"/>
              </w:rPr>
              <w:t>a.</w:t>
            </w:r>
          </w:p>
        </w:tc>
        <w:tc>
          <w:tcPr>
            <w:tcW w:w="6194" w:type="dxa"/>
          </w:tcPr>
          <w:p w14:paraId="4F93ECB9" w14:textId="0A494D40" w:rsidR="00305CF4" w:rsidRDefault="00305CF4" w:rsidP="004D7B1A">
            <w:pPr>
              <w:pStyle w:val="BodyText"/>
              <w:widowControl w:val="0"/>
              <w:spacing w:before="60"/>
              <w:outlineLvl w:val="0"/>
              <w:rPr>
                <w:bCs/>
                <w:sz w:val="20"/>
              </w:rPr>
            </w:pPr>
            <w:r>
              <w:rPr>
                <w:bCs/>
                <w:sz w:val="20"/>
              </w:rPr>
              <w:t xml:space="preserve">In response to FERC Order No. 809 request that </w:t>
            </w:r>
            <w:r w:rsidRPr="005302F0">
              <w:rPr>
                <w:bCs/>
                <w:sz w:val="20"/>
              </w:rPr>
              <w:t>“</w:t>
            </w:r>
            <w:r>
              <w:rPr>
                <w:bCs/>
                <w:sz w:val="20"/>
              </w:rPr>
              <w:t>…</w:t>
            </w:r>
            <w:r w:rsidRPr="005302F0">
              <w:rPr>
                <w:bCs/>
                <w:sz w:val="20"/>
              </w:rPr>
              <w:t>the gas and electric industries, through NAESB, explore the potential for computerized scheduling when shippers and confirming parties all submit electronic nominations and confirmations, including a streamlined confirmation process if necessary</w:t>
            </w:r>
            <w:r>
              <w:rPr>
                <w:bCs/>
                <w:sz w:val="20"/>
              </w:rPr>
              <w:t>,</w:t>
            </w:r>
            <w:r w:rsidRPr="005302F0">
              <w:rPr>
                <w:bCs/>
                <w:sz w:val="20"/>
              </w:rPr>
              <w:t>”</w:t>
            </w:r>
            <w:r>
              <w:rPr>
                <w:bCs/>
                <w:sz w:val="20"/>
              </w:rPr>
              <w:t xml:space="preserve"> the Gas Electric Harmonization Forum identified 58 considerations and issues that should be considered before recommending specific action. These 58 items and tangentially related standards requests that were submitted contemporaneously resulted in the development of 8 2016 WGQ Annual Plan Items included below.</w:t>
            </w:r>
          </w:p>
          <w:p w14:paraId="3F53372A" w14:textId="767816BA" w:rsidR="00305CF4" w:rsidRDefault="00305CF4" w:rsidP="004D7B1A">
            <w:pPr>
              <w:pStyle w:val="BodyText"/>
              <w:widowControl w:val="0"/>
              <w:numPr>
                <w:ilvl w:val="0"/>
                <w:numId w:val="26"/>
              </w:numPr>
              <w:spacing w:before="60"/>
              <w:outlineLvl w:val="0"/>
              <w:rPr>
                <w:bCs/>
                <w:sz w:val="20"/>
              </w:rPr>
            </w:pPr>
            <w:r w:rsidRPr="00591EDB">
              <w:rPr>
                <w:bCs/>
                <w:sz w:val="20"/>
              </w:rPr>
              <w:t>2016 WGQ Annual Plan Item 3(b)(</w:t>
            </w:r>
            <w:proofErr w:type="spellStart"/>
            <w:r w:rsidRPr="00591EDB">
              <w:rPr>
                <w:bCs/>
                <w:sz w:val="20"/>
              </w:rPr>
              <w:t>i</w:t>
            </w:r>
            <w:proofErr w:type="spellEnd"/>
            <w:r w:rsidRPr="00591EDB">
              <w:rPr>
                <w:bCs/>
                <w:sz w:val="20"/>
              </w:rPr>
              <w:t>)/2016 WEQ Annual Plan Item 7.b.i: GEH Forum Issu</w:t>
            </w:r>
            <w:r>
              <w:rPr>
                <w:bCs/>
                <w:sz w:val="20"/>
              </w:rPr>
              <w:t xml:space="preserve">e </w:t>
            </w:r>
            <w:r w:rsidRPr="00591EDB">
              <w:rPr>
                <w:bCs/>
                <w:sz w:val="20"/>
              </w:rPr>
              <w:t>22 – It would be desirable to have a set of terminology agreed upon by participants to</w:t>
            </w:r>
            <w:r>
              <w:rPr>
                <w:bCs/>
                <w:sz w:val="20"/>
              </w:rPr>
              <w:t xml:space="preserve"> </w:t>
            </w:r>
            <w:r w:rsidRPr="00591EDB">
              <w:rPr>
                <w:bCs/>
                <w:sz w:val="20"/>
              </w:rPr>
              <w:t>characterize shapes, profiles, ratable, non-ratable, and so forth to facilitate discussion</w:t>
            </w:r>
          </w:p>
          <w:p w14:paraId="3101AD20" w14:textId="77777777" w:rsidR="00305CF4" w:rsidRDefault="00305CF4" w:rsidP="004D7B1A">
            <w:pPr>
              <w:pStyle w:val="BodyText"/>
              <w:widowControl w:val="0"/>
              <w:numPr>
                <w:ilvl w:val="0"/>
                <w:numId w:val="26"/>
              </w:numPr>
              <w:spacing w:before="60"/>
              <w:outlineLvl w:val="0"/>
              <w:rPr>
                <w:bCs/>
                <w:sz w:val="20"/>
              </w:rPr>
            </w:pPr>
            <w:r w:rsidRPr="00591EDB">
              <w:rPr>
                <w:bCs/>
                <w:sz w:val="20"/>
              </w:rPr>
              <w:t>2016 WGQ Annual Plan Item 3(b)(ii)/2016 WEQ Annual Plan Item 7.b.ii: GEH Forum Issue</w:t>
            </w:r>
            <w:r>
              <w:rPr>
                <w:bCs/>
                <w:sz w:val="20"/>
              </w:rPr>
              <w:t xml:space="preserve"> </w:t>
            </w:r>
            <w:r w:rsidRPr="00591EDB">
              <w:rPr>
                <w:bCs/>
                <w:sz w:val="20"/>
              </w:rPr>
              <w:t>25 – Communication protocols with LDCs, gas generator operators and natural gas marketing</w:t>
            </w:r>
            <w:r>
              <w:rPr>
                <w:bCs/>
                <w:sz w:val="20"/>
              </w:rPr>
              <w:t xml:space="preserve"> </w:t>
            </w:r>
            <w:r w:rsidRPr="00591EDB">
              <w:rPr>
                <w:bCs/>
                <w:sz w:val="20"/>
              </w:rPr>
              <w:t>companies</w:t>
            </w:r>
          </w:p>
          <w:p w14:paraId="3BD23C9B" w14:textId="77777777" w:rsidR="00305CF4" w:rsidRDefault="00305CF4" w:rsidP="004D7B1A">
            <w:pPr>
              <w:pStyle w:val="BodyText"/>
              <w:widowControl w:val="0"/>
              <w:numPr>
                <w:ilvl w:val="0"/>
                <w:numId w:val="26"/>
              </w:numPr>
              <w:spacing w:before="60"/>
              <w:outlineLvl w:val="0"/>
              <w:rPr>
                <w:bCs/>
                <w:sz w:val="20"/>
              </w:rPr>
            </w:pPr>
            <w:r w:rsidRPr="00591EDB">
              <w:rPr>
                <w:bCs/>
                <w:sz w:val="20"/>
              </w:rPr>
              <w:t>2016 WGQ Annual Plan Item 3(b)(iii)/2016 WEQ Annual Plan Item 7.b.iii: GEH Forum</w:t>
            </w:r>
            <w:r>
              <w:rPr>
                <w:bCs/>
                <w:sz w:val="20"/>
              </w:rPr>
              <w:t xml:space="preserve"> </w:t>
            </w:r>
            <w:r w:rsidRPr="00591EDB">
              <w:rPr>
                <w:bCs/>
                <w:sz w:val="20"/>
              </w:rPr>
              <w:t>Issue 26 – Improve efficiency of critical information sharing (related to issues 22 and 25),</w:t>
            </w:r>
          </w:p>
          <w:p w14:paraId="60DF367F" w14:textId="77777777" w:rsidR="00305CF4" w:rsidRDefault="00305CF4" w:rsidP="004D7B1A">
            <w:pPr>
              <w:pStyle w:val="BodyText"/>
              <w:widowControl w:val="0"/>
              <w:numPr>
                <w:ilvl w:val="0"/>
                <w:numId w:val="26"/>
              </w:numPr>
              <w:spacing w:before="60"/>
              <w:outlineLvl w:val="0"/>
              <w:rPr>
                <w:bCs/>
                <w:sz w:val="20"/>
              </w:rPr>
            </w:pPr>
            <w:r w:rsidRPr="00591EDB">
              <w:rPr>
                <w:bCs/>
                <w:sz w:val="20"/>
              </w:rPr>
              <w:t>2016 WGQ Annual Plan Item 3(b)(iv)/2016 WEQ Annual Plan Item 7.b.iv: GEH Forum Issue</w:t>
            </w:r>
            <w:r>
              <w:rPr>
                <w:bCs/>
                <w:sz w:val="20"/>
              </w:rPr>
              <w:t xml:space="preserve"> </w:t>
            </w:r>
            <w:r w:rsidRPr="00591EDB">
              <w:rPr>
                <w:bCs/>
                <w:sz w:val="20"/>
              </w:rPr>
              <w:t>33 – Use of multiple confirmation methods in addition to traditional confirmations for</w:t>
            </w:r>
            <w:r>
              <w:rPr>
                <w:bCs/>
                <w:sz w:val="20"/>
              </w:rPr>
              <w:t xml:space="preserve"> </w:t>
            </w:r>
            <w:r w:rsidRPr="00591EDB">
              <w:rPr>
                <w:bCs/>
                <w:sz w:val="20"/>
              </w:rPr>
              <w:t>intraday nominations. There is currently a good definition of Confirmation by Exception</w:t>
            </w:r>
            <w:r>
              <w:rPr>
                <w:bCs/>
                <w:sz w:val="20"/>
              </w:rPr>
              <w:t xml:space="preserve"> </w:t>
            </w:r>
            <w:r w:rsidRPr="00591EDB">
              <w:rPr>
                <w:bCs/>
                <w:sz w:val="20"/>
              </w:rPr>
              <w:t xml:space="preserve">(CBE) in NAESB standards. CBE </w:t>
            </w:r>
            <w:r w:rsidRPr="00591EDB">
              <w:rPr>
                <w:bCs/>
                <w:sz w:val="20"/>
              </w:rPr>
              <w:lastRenderedPageBreak/>
              <w:t>however, may not be available everywhere but there may</w:t>
            </w:r>
            <w:r>
              <w:rPr>
                <w:bCs/>
                <w:sz w:val="20"/>
              </w:rPr>
              <w:t xml:space="preserve"> </w:t>
            </w:r>
            <w:r w:rsidRPr="00591EDB">
              <w:rPr>
                <w:bCs/>
                <w:sz w:val="20"/>
              </w:rPr>
              <w:t>also be additional confirmation methods that could benefit from standardization, and</w:t>
            </w:r>
          </w:p>
          <w:p w14:paraId="3057688F" w14:textId="77777777" w:rsidR="00305CF4" w:rsidRDefault="00305CF4" w:rsidP="004D7B1A">
            <w:pPr>
              <w:pStyle w:val="BodyText"/>
              <w:widowControl w:val="0"/>
              <w:numPr>
                <w:ilvl w:val="0"/>
                <w:numId w:val="26"/>
              </w:numPr>
              <w:spacing w:before="60"/>
              <w:outlineLvl w:val="0"/>
              <w:rPr>
                <w:bCs/>
                <w:sz w:val="20"/>
              </w:rPr>
            </w:pPr>
            <w:r w:rsidRPr="00591EDB">
              <w:rPr>
                <w:bCs/>
                <w:sz w:val="20"/>
              </w:rPr>
              <w:t>2016 WGQ Annual Plan Item 3(b)(v)/2016 WEQ Annual Plan Item 7.b.v: GEH Forum Issue</w:t>
            </w:r>
            <w:r>
              <w:rPr>
                <w:bCs/>
                <w:sz w:val="20"/>
              </w:rPr>
              <w:t xml:space="preserve"> </w:t>
            </w:r>
            <w:r w:rsidRPr="00591EDB">
              <w:rPr>
                <w:bCs/>
                <w:sz w:val="20"/>
              </w:rPr>
              <w:t>36 – Level of confirmations: there is a wide range of data elements that are exchanged, from a</w:t>
            </w:r>
            <w:r>
              <w:rPr>
                <w:bCs/>
                <w:sz w:val="20"/>
              </w:rPr>
              <w:t xml:space="preserve"> </w:t>
            </w:r>
            <w:r w:rsidRPr="00591EDB">
              <w:rPr>
                <w:bCs/>
                <w:sz w:val="20"/>
              </w:rPr>
              <w:t>minimum amount to a very large set of data. In the “Art of Scheduling,” pipelines confirm at</w:t>
            </w:r>
            <w:r>
              <w:rPr>
                <w:bCs/>
                <w:sz w:val="20"/>
              </w:rPr>
              <w:t xml:space="preserve"> </w:t>
            </w:r>
            <w:r w:rsidRPr="00591EDB">
              <w:rPr>
                <w:bCs/>
                <w:sz w:val="20"/>
              </w:rPr>
              <w:t>different levels, with potential for disparities. Greater standardization could produce</w:t>
            </w:r>
            <w:r>
              <w:rPr>
                <w:bCs/>
                <w:sz w:val="20"/>
              </w:rPr>
              <w:t xml:space="preserve"> </w:t>
            </w:r>
            <w:r w:rsidRPr="00591EDB">
              <w:rPr>
                <w:bCs/>
                <w:sz w:val="20"/>
              </w:rPr>
              <w:t>confirming efficiencies. (For example, confirm at the shipper-to-shipper</w:t>
            </w:r>
            <w:r>
              <w:rPr>
                <w:bCs/>
                <w:sz w:val="20"/>
              </w:rPr>
              <w:t xml:space="preserve"> </w:t>
            </w:r>
            <w:r w:rsidRPr="00591EDB">
              <w:rPr>
                <w:bCs/>
                <w:sz w:val="20"/>
              </w:rPr>
              <w:t>level. Or, if there</w:t>
            </w:r>
            <w:r>
              <w:rPr>
                <w:bCs/>
                <w:sz w:val="20"/>
              </w:rPr>
              <w:t xml:space="preserve"> </w:t>
            </w:r>
            <w:r w:rsidRPr="00591EDB">
              <w:rPr>
                <w:bCs/>
                <w:sz w:val="20"/>
              </w:rPr>
              <w:t>are confirmations at a lower level of detail, it would be driven by model type). See issue 17 in</w:t>
            </w:r>
            <w:r>
              <w:rPr>
                <w:bCs/>
                <w:sz w:val="20"/>
              </w:rPr>
              <w:t xml:space="preserve"> </w:t>
            </w:r>
            <w:r w:rsidRPr="00591EDB">
              <w:rPr>
                <w:bCs/>
                <w:sz w:val="20"/>
              </w:rPr>
              <w:t>the first presentation.</w:t>
            </w:r>
          </w:p>
          <w:p w14:paraId="7E2C79DF" w14:textId="77777777" w:rsidR="00305CF4" w:rsidRDefault="00305CF4" w:rsidP="004D7B1A">
            <w:pPr>
              <w:pStyle w:val="BodyText"/>
              <w:widowControl w:val="0"/>
              <w:numPr>
                <w:ilvl w:val="0"/>
                <w:numId w:val="26"/>
              </w:numPr>
              <w:spacing w:before="60"/>
              <w:outlineLvl w:val="0"/>
              <w:rPr>
                <w:bCs/>
                <w:sz w:val="20"/>
              </w:rPr>
            </w:pPr>
            <w:r w:rsidRPr="00591EDB">
              <w:rPr>
                <w:bCs/>
                <w:sz w:val="20"/>
              </w:rPr>
              <w:t>2016 WGQ Annual Plan Item 3(c)(</w:t>
            </w:r>
            <w:proofErr w:type="spellStart"/>
            <w:r w:rsidRPr="00591EDB">
              <w:rPr>
                <w:bCs/>
                <w:sz w:val="20"/>
              </w:rPr>
              <w:t>i</w:t>
            </w:r>
            <w:proofErr w:type="spellEnd"/>
            <w:r w:rsidRPr="00591EDB">
              <w:rPr>
                <w:bCs/>
                <w:sz w:val="20"/>
              </w:rPr>
              <w:t>)/R16003: (Submitted by Skipping Stone and</w:t>
            </w:r>
            <w:r>
              <w:rPr>
                <w:bCs/>
                <w:sz w:val="20"/>
              </w:rPr>
              <w:t xml:space="preserve"> </w:t>
            </w:r>
            <w:r w:rsidRPr="00591EDB">
              <w:rPr>
                <w:bCs/>
                <w:sz w:val="20"/>
              </w:rPr>
              <w:t>Environmental Defense Fund, Inc. on March 28, 2016) Develop business practices as needed</w:t>
            </w:r>
            <w:r>
              <w:rPr>
                <w:bCs/>
                <w:sz w:val="20"/>
              </w:rPr>
              <w:t xml:space="preserve"> </w:t>
            </w:r>
            <w:r w:rsidRPr="00591EDB">
              <w:rPr>
                <w:bCs/>
                <w:sz w:val="20"/>
              </w:rPr>
              <w:t>to support R16003 and attachment: Special Efforts Scheduling Services for Natural Gas</w:t>
            </w:r>
            <w:r>
              <w:rPr>
                <w:bCs/>
                <w:sz w:val="20"/>
              </w:rPr>
              <w:t xml:space="preserve"> </w:t>
            </w:r>
            <w:r w:rsidRPr="00591EDB">
              <w:rPr>
                <w:bCs/>
                <w:sz w:val="20"/>
              </w:rPr>
              <w:t>Pipeline Transportation - The proposed standard addresses certain business practices relating</w:t>
            </w:r>
            <w:r>
              <w:rPr>
                <w:bCs/>
                <w:sz w:val="20"/>
              </w:rPr>
              <w:t xml:space="preserve"> </w:t>
            </w:r>
            <w:r w:rsidRPr="00591EDB">
              <w:rPr>
                <w:bCs/>
                <w:sz w:val="20"/>
              </w:rPr>
              <w:t>to Best Efforts scheduling for natural gas pipeline transportation that is: a) scheduled outside</w:t>
            </w:r>
            <w:r>
              <w:rPr>
                <w:bCs/>
                <w:sz w:val="20"/>
              </w:rPr>
              <w:t xml:space="preserve"> </w:t>
            </w:r>
            <w:r w:rsidRPr="00591EDB">
              <w:rPr>
                <w:bCs/>
                <w:sz w:val="20"/>
              </w:rPr>
              <w:t>of the standard grid-wide nomination cycles, b) permits flow changes outside of standard</w:t>
            </w:r>
            <w:r>
              <w:rPr>
                <w:bCs/>
                <w:sz w:val="20"/>
              </w:rPr>
              <w:t xml:space="preserve"> </w:t>
            </w:r>
            <w:r w:rsidRPr="00591EDB">
              <w:rPr>
                <w:bCs/>
                <w:sz w:val="20"/>
              </w:rPr>
              <w:t>schedule flow periods; and/or c) involves Shaped Flow Transactions (as defined in the</w:t>
            </w:r>
            <w:r>
              <w:rPr>
                <w:bCs/>
                <w:sz w:val="20"/>
              </w:rPr>
              <w:t xml:space="preserve"> </w:t>
            </w:r>
            <w:r w:rsidRPr="00591EDB">
              <w:rPr>
                <w:bCs/>
                <w:sz w:val="20"/>
              </w:rPr>
              <w:t>proposed standard)</w:t>
            </w:r>
          </w:p>
          <w:p w14:paraId="41D117F2" w14:textId="77777777" w:rsidR="00305CF4" w:rsidRDefault="00305CF4" w:rsidP="004D7B1A">
            <w:pPr>
              <w:pStyle w:val="BodyText"/>
              <w:widowControl w:val="0"/>
              <w:numPr>
                <w:ilvl w:val="0"/>
                <w:numId w:val="26"/>
              </w:numPr>
              <w:spacing w:before="60"/>
              <w:outlineLvl w:val="0"/>
              <w:rPr>
                <w:bCs/>
                <w:sz w:val="20"/>
              </w:rPr>
            </w:pPr>
            <w:r w:rsidRPr="00591EDB">
              <w:rPr>
                <w:bCs/>
                <w:sz w:val="20"/>
              </w:rPr>
              <w:t>2016 WGQ Annual Plan Item 3(c)(ii)/R16004: (Submitted by FIS Global on May 3, 2016)</w:t>
            </w:r>
            <w:r>
              <w:rPr>
                <w:bCs/>
                <w:sz w:val="20"/>
              </w:rPr>
              <w:t xml:space="preserve"> </w:t>
            </w:r>
            <w:r w:rsidRPr="00591EDB">
              <w:rPr>
                <w:bCs/>
                <w:sz w:val="20"/>
              </w:rPr>
              <w:t>Develop business practices as needed to support R16004: “Update the NAESB 1.4.1</w:t>
            </w:r>
            <w:r>
              <w:rPr>
                <w:bCs/>
                <w:sz w:val="20"/>
              </w:rPr>
              <w:t xml:space="preserve"> </w:t>
            </w:r>
            <w:r w:rsidRPr="00591EDB">
              <w:rPr>
                <w:bCs/>
                <w:sz w:val="20"/>
              </w:rPr>
              <w:t>Nomination dataset to remove all non-necessary data elements and to evaluate the use of all</w:t>
            </w:r>
            <w:r>
              <w:rPr>
                <w:bCs/>
                <w:sz w:val="20"/>
              </w:rPr>
              <w:t xml:space="preserve"> </w:t>
            </w:r>
            <w:r w:rsidRPr="00591EDB">
              <w:rPr>
                <w:bCs/>
                <w:sz w:val="20"/>
              </w:rPr>
              <w:t>Mutually Agreed and Business Conditional data elements for their continued relevance,”</w:t>
            </w:r>
          </w:p>
          <w:p w14:paraId="39254227" w14:textId="1ABE4C01" w:rsidR="00305CF4" w:rsidRPr="00591EDB" w:rsidRDefault="00305CF4" w:rsidP="004D7B1A">
            <w:pPr>
              <w:pStyle w:val="BodyText"/>
              <w:widowControl w:val="0"/>
              <w:numPr>
                <w:ilvl w:val="0"/>
                <w:numId w:val="26"/>
              </w:numPr>
              <w:spacing w:before="60"/>
              <w:outlineLvl w:val="0"/>
              <w:rPr>
                <w:bCs/>
                <w:sz w:val="20"/>
              </w:rPr>
            </w:pPr>
            <w:r w:rsidRPr="00591EDB">
              <w:rPr>
                <w:bCs/>
                <w:sz w:val="20"/>
              </w:rPr>
              <w:t>2016 WGQ Annual Plan Item 3(c)(iii)/R16007: (Submitted by FIS Global on May 11, 2016)</w:t>
            </w:r>
            <w:r>
              <w:rPr>
                <w:bCs/>
                <w:sz w:val="20"/>
              </w:rPr>
              <w:t xml:space="preserve"> </w:t>
            </w:r>
            <w:r w:rsidRPr="00591EDB">
              <w:rPr>
                <w:bCs/>
                <w:sz w:val="20"/>
              </w:rPr>
              <w:t>Develop business practices as needed to support R16007: “Update the NAESB Nomination</w:t>
            </w:r>
            <w:r>
              <w:rPr>
                <w:bCs/>
                <w:sz w:val="20"/>
              </w:rPr>
              <w:t xml:space="preserve"> </w:t>
            </w:r>
            <w:r w:rsidRPr="00591EDB">
              <w:rPr>
                <w:bCs/>
                <w:sz w:val="20"/>
              </w:rPr>
              <w:t>dataset and related datasets to support the ability for a service requester to subm</w:t>
            </w:r>
            <w:r>
              <w:rPr>
                <w:bCs/>
                <w:sz w:val="20"/>
              </w:rPr>
              <w:t>it a single nomination with hourly quantities when such service is supported by the TSP</w:t>
            </w:r>
          </w:p>
          <w:p w14:paraId="4EAEBFF7" w14:textId="33E96321" w:rsidR="00305CF4" w:rsidRDefault="00305CF4" w:rsidP="004D7B1A">
            <w:pPr>
              <w:pStyle w:val="BodyText"/>
              <w:widowControl w:val="0"/>
              <w:spacing w:before="60"/>
              <w:outlineLvl w:val="0"/>
              <w:rPr>
                <w:bCs/>
                <w:sz w:val="20"/>
              </w:rPr>
            </w:pPr>
            <w:r>
              <w:rPr>
                <w:bCs/>
                <w:sz w:val="20"/>
              </w:rPr>
              <w:lastRenderedPageBreak/>
              <w:t xml:space="preserve">All related recommendations either recommended “no action” or did not receive the requisite support for adoption.  </w:t>
            </w:r>
          </w:p>
        </w:tc>
        <w:tc>
          <w:tcPr>
            <w:tcW w:w="5547" w:type="dxa"/>
          </w:tcPr>
          <w:p w14:paraId="5D5D8026" w14:textId="77777777" w:rsidR="00305CF4" w:rsidRDefault="00305CF4" w:rsidP="004D7B1A">
            <w:pPr>
              <w:pStyle w:val="BodyText"/>
              <w:widowControl w:val="0"/>
              <w:spacing w:before="60"/>
              <w:outlineLvl w:val="0"/>
              <w:rPr>
                <w:bCs/>
                <w:sz w:val="20"/>
              </w:rPr>
            </w:pPr>
            <w:r>
              <w:rPr>
                <w:bCs/>
                <w:sz w:val="20"/>
              </w:rPr>
              <w:lastRenderedPageBreak/>
              <w:t>Correspondence from Chairman Bay to NAESB – October 18, 2016</w:t>
            </w:r>
          </w:p>
          <w:p w14:paraId="0A4ACD55" w14:textId="77777777" w:rsidR="00305CF4" w:rsidRDefault="00305CF4" w:rsidP="004D7B1A">
            <w:pPr>
              <w:pStyle w:val="BodyText"/>
              <w:widowControl w:val="0"/>
              <w:spacing w:before="60"/>
              <w:outlineLvl w:val="0"/>
              <w:rPr>
                <w:bCs/>
                <w:sz w:val="20"/>
              </w:rPr>
            </w:pPr>
            <w:r>
              <w:rPr>
                <w:bCs/>
                <w:sz w:val="20"/>
              </w:rPr>
              <w:t>“</w:t>
            </w:r>
            <w:r w:rsidRPr="00305CF4">
              <w:rPr>
                <w:bCs/>
                <w:sz w:val="20"/>
              </w:rPr>
              <w:t>Since February 2012, the Commission has focused on issues related to natural gas-electric</w:t>
            </w:r>
            <w:r>
              <w:rPr>
                <w:bCs/>
                <w:sz w:val="20"/>
              </w:rPr>
              <w:t xml:space="preserve"> </w:t>
            </w:r>
            <w:r w:rsidRPr="00305CF4">
              <w:rPr>
                <w:bCs/>
                <w:sz w:val="20"/>
              </w:rPr>
              <w:t>interdependencies in order to identify areas for improved coordination. The Commission has engaged</w:t>
            </w:r>
            <w:r>
              <w:rPr>
                <w:bCs/>
                <w:sz w:val="20"/>
              </w:rPr>
              <w:t xml:space="preserve"> </w:t>
            </w:r>
            <w:r w:rsidRPr="00305CF4">
              <w:rPr>
                <w:bCs/>
                <w:sz w:val="20"/>
              </w:rPr>
              <w:t>with both industries as part of its effort to address these challenges. In March of 2014 the Commission</w:t>
            </w:r>
            <w:r>
              <w:rPr>
                <w:bCs/>
                <w:sz w:val="20"/>
              </w:rPr>
              <w:t xml:space="preserve"> </w:t>
            </w:r>
            <w:r w:rsidRPr="00305CF4">
              <w:rPr>
                <w:bCs/>
                <w:sz w:val="20"/>
              </w:rPr>
              <w:t>issued a Proposed Rule to improve the divergent interstate natural gas pipeline and wholesale electric</w:t>
            </w:r>
            <w:r>
              <w:rPr>
                <w:bCs/>
                <w:sz w:val="20"/>
              </w:rPr>
              <w:t xml:space="preserve"> </w:t>
            </w:r>
            <w:r w:rsidRPr="00305CF4">
              <w:rPr>
                <w:bCs/>
                <w:sz w:val="20"/>
              </w:rPr>
              <w:t>utility scheduling practices and to address concerns regarding the flexible and efficient use of pipeline</w:t>
            </w:r>
            <w:r>
              <w:rPr>
                <w:bCs/>
                <w:sz w:val="20"/>
              </w:rPr>
              <w:t xml:space="preserve"> </w:t>
            </w:r>
            <w:r w:rsidRPr="00305CF4">
              <w:rPr>
                <w:bCs/>
                <w:sz w:val="20"/>
              </w:rPr>
              <w:t>capacity by natural gas-fired generators and other shippers. The Commission, in Order No. 809, revised</w:t>
            </w:r>
            <w:r>
              <w:rPr>
                <w:bCs/>
                <w:sz w:val="20"/>
              </w:rPr>
              <w:t xml:space="preserve"> </w:t>
            </w:r>
            <w:r w:rsidRPr="00305CF4">
              <w:rPr>
                <w:bCs/>
                <w:sz w:val="20"/>
              </w:rPr>
              <w:t>its regulations to incorporate by reference modified North American Energy Standards Board (NAESB)</w:t>
            </w:r>
            <w:r>
              <w:rPr>
                <w:bCs/>
                <w:sz w:val="20"/>
              </w:rPr>
              <w:t xml:space="preserve"> </w:t>
            </w:r>
            <w:r w:rsidRPr="00305CF4">
              <w:rPr>
                <w:bCs/>
                <w:sz w:val="20"/>
              </w:rPr>
              <w:t>Wholesale Gas Quadrant Business Practice Standards, which revised the standard nomination timeline</w:t>
            </w:r>
            <w:r>
              <w:rPr>
                <w:bCs/>
                <w:sz w:val="20"/>
              </w:rPr>
              <w:t xml:space="preserve"> </w:t>
            </w:r>
            <w:r w:rsidRPr="00305CF4">
              <w:rPr>
                <w:bCs/>
                <w:sz w:val="20"/>
              </w:rPr>
              <w:t>for interstate natural gas pipelines. However, the Commission requested that the "gas and electric</w:t>
            </w:r>
            <w:r>
              <w:rPr>
                <w:bCs/>
                <w:sz w:val="20"/>
              </w:rPr>
              <w:t xml:space="preserve"> </w:t>
            </w:r>
            <w:r w:rsidRPr="00305CF4">
              <w:rPr>
                <w:bCs/>
                <w:sz w:val="20"/>
              </w:rPr>
              <w:t>industries, through NAESB, explore the potential for faster, computerized scheduling when shippers and</w:t>
            </w:r>
            <w:r>
              <w:rPr>
                <w:bCs/>
                <w:sz w:val="20"/>
              </w:rPr>
              <w:t xml:space="preserve"> </w:t>
            </w:r>
            <w:r w:rsidRPr="00305CF4">
              <w:rPr>
                <w:bCs/>
                <w:sz w:val="20"/>
              </w:rPr>
              <w:t>confirming parties all submit electronic nominations and confirmations, including a streamlined</w:t>
            </w:r>
            <w:r>
              <w:rPr>
                <w:bCs/>
                <w:sz w:val="20"/>
              </w:rPr>
              <w:t xml:space="preserve"> </w:t>
            </w:r>
            <w:r w:rsidRPr="00305CF4">
              <w:rPr>
                <w:bCs/>
                <w:sz w:val="20"/>
              </w:rPr>
              <w:t>confirmation process if necessary."</w:t>
            </w:r>
            <w:r>
              <w:rPr>
                <w:bCs/>
                <w:sz w:val="20"/>
              </w:rPr>
              <w:t xml:space="preserve"> </w:t>
            </w:r>
          </w:p>
          <w:p w14:paraId="6A250CF7" w14:textId="2A6F48DB" w:rsidR="00305CF4" w:rsidRDefault="00305CF4" w:rsidP="004D7B1A">
            <w:pPr>
              <w:pStyle w:val="BodyText"/>
              <w:widowControl w:val="0"/>
              <w:spacing w:before="60"/>
              <w:outlineLvl w:val="0"/>
              <w:rPr>
                <w:bCs/>
                <w:sz w:val="20"/>
              </w:rPr>
            </w:pPr>
            <w:r w:rsidRPr="00305CF4">
              <w:rPr>
                <w:bCs/>
                <w:sz w:val="20"/>
              </w:rPr>
              <w:t>I appreciate the time and effort that NAESB and stakeholders from a broad range of interest</w:t>
            </w:r>
            <w:r>
              <w:rPr>
                <w:bCs/>
                <w:sz w:val="20"/>
              </w:rPr>
              <w:t xml:space="preserve"> </w:t>
            </w:r>
            <w:r w:rsidRPr="00305CF4">
              <w:rPr>
                <w:bCs/>
                <w:sz w:val="20"/>
              </w:rPr>
              <w:t>groups have invested to date in the endeavor to address the Commission's request. Also, I am pleased</w:t>
            </w:r>
            <w:r>
              <w:rPr>
                <w:bCs/>
                <w:sz w:val="20"/>
              </w:rPr>
              <w:t xml:space="preserve"> </w:t>
            </w:r>
            <w:r w:rsidRPr="00305CF4">
              <w:rPr>
                <w:bCs/>
                <w:sz w:val="20"/>
              </w:rPr>
              <w:t>to see that NAESB is beginning to work on developing an approach that would, to some degree,</w:t>
            </w:r>
            <w:r>
              <w:rPr>
                <w:bCs/>
                <w:sz w:val="20"/>
              </w:rPr>
              <w:t xml:space="preserve"> </w:t>
            </w:r>
            <w:r w:rsidRPr="00305CF4">
              <w:rPr>
                <w:bCs/>
                <w:sz w:val="20"/>
              </w:rPr>
              <w:t xml:space="preserve">streamline the confirmation process. However, I am disappointed that the gas and electric </w:t>
            </w:r>
            <w:r w:rsidRPr="00305CF4">
              <w:rPr>
                <w:bCs/>
                <w:sz w:val="20"/>
              </w:rPr>
              <w:lastRenderedPageBreak/>
              <w:t>industries</w:t>
            </w:r>
            <w:r>
              <w:rPr>
                <w:bCs/>
                <w:sz w:val="20"/>
              </w:rPr>
              <w:t xml:space="preserve"> </w:t>
            </w:r>
            <w:r w:rsidRPr="00305CF4">
              <w:rPr>
                <w:bCs/>
                <w:sz w:val="20"/>
              </w:rPr>
              <w:t>were not able to develop consensus standards that would allow for faster and more frequent scheduling</w:t>
            </w:r>
            <w:r>
              <w:rPr>
                <w:bCs/>
                <w:sz w:val="20"/>
              </w:rPr>
              <w:t xml:space="preserve"> </w:t>
            </w:r>
            <w:r w:rsidRPr="00305CF4">
              <w:rPr>
                <w:bCs/>
                <w:sz w:val="20"/>
              </w:rPr>
              <w:t>opportunities.</w:t>
            </w:r>
            <w:r>
              <w:rPr>
                <w:bCs/>
                <w:sz w:val="20"/>
              </w:rPr>
              <w:t xml:space="preserve"> </w:t>
            </w:r>
          </w:p>
          <w:p w14:paraId="22FD3626" w14:textId="63B321D0" w:rsidR="00305CF4" w:rsidRDefault="00305CF4" w:rsidP="004D7B1A">
            <w:pPr>
              <w:pStyle w:val="BodyText"/>
              <w:widowControl w:val="0"/>
              <w:spacing w:before="60"/>
              <w:outlineLvl w:val="0"/>
              <w:rPr>
                <w:bCs/>
                <w:sz w:val="20"/>
              </w:rPr>
            </w:pPr>
            <w:r w:rsidRPr="00305CF4">
              <w:rPr>
                <w:bCs/>
                <w:sz w:val="20"/>
              </w:rPr>
              <w:t>I believe the development of standards to support electronic nominations and confirmations</w:t>
            </w:r>
            <w:r>
              <w:rPr>
                <w:bCs/>
                <w:sz w:val="20"/>
              </w:rPr>
              <w:t xml:space="preserve"> </w:t>
            </w:r>
            <w:r w:rsidRPr="00305CF4">
              <w:rPr>
                <w:bCs/>
                <w:sz w:val="20"/>
              </w:rPr>
              <w:t>across interstate natural gas pipelines could achieve greater efficiency, provide additional scheduling</w:t>
            </w:r>
            <w:r>
              <w:rPr>
                <w:bCs/>
                <w:sz w:val="20"/>
              </w:rPr>
              <w:t xml:space="preserve"> </w:t>
            </w:r>
            <w:r w:rsidRPr="00305CF4">
              <w:rPr>
                <w:bCs/>
                <w:sz w:val="20"/>
              </w:rPr>
              <w:t>flexibility for all-natural gas pipeline shippers and ultimately allow for additional intraday nomination</w:t>
            </w:r>
            <w:r>
              <w:rPr>
                <w:bCs/>
                <w:sz w:val="20"/>
              </w:rPr>
              <w:t xml:space="preserve"> </w:t>
            </w:r>
            <w:r w:rsidRPr="00305CF4">
              <w:rPr>
                <w:bCs/>
                <w:sz w:val="20"/>
              </w:rPr>
              <w:t>opportunities. The existing operational limitations, including the manual processes utilized by many</w:t>
            </w:r>
            <w:r>
              <w:rPr>
                <w:bCs/>
                <w:sz w:val="20"/>
              </w:rPr>
              <w:t xml:space="preserve"> </w:t>
            </w:r>
            <w:r w:rsidRPr="00305CF4">
              <w:rPr>
                <w:bCs/>
                <w:sz w:val="20"/>
              </w:rPr>
              <w:t>pipelines for processing nominations, may affect the ability of the gas industry to add additional</w:t>
            </w:r>
            <w:r>
              <w:rPr>
                <w:bCs/>
                <w:sz w:val="20"/>
              </w:rPr>
              <w:t xml:space="preserve"> </w:t>
            </w:r>
            <w:r w:rsidRPr="00305CF4">
              <w:rPr>
                <w:bCs/>
                <w:sz w:val="20"/>
              </w:rPr>
              <w:t>standard nomination cycles applicable to all shippers. I am concerned that given the time required to</w:t>
            </w:r>
            <w:r>
              <w:rPr>
                <w:bCs/>
                <w:sz w:val="20"/>
              </w:rPr>
              <w:t xml:space="preserve"> </w:t>
            </w:r>
            <w:r w:rsidRPr="00305CF4">
              <w:rPr>
                <w:bCs/>
                <w:sz w:val="20"/>
              </w:rPr>
              <w:t>implement new standards, the industry may not be positioned to avoid potential operational constraints</w:t>
            </w:r>
            <w:r>
              <w:rPr>
                <w:bCs/>
                <w:sz w:val="20"/>
              </w:rPr>
              <w:t xml:space="preserve"> </w:t>
            </w:r>
            <w:r w:rsidRPr="00305CF4">
              <w:rPr>
                <w:bCs/>
                <w:sz w:val="20"/>
              </w:rPr>
              <w:t>in the future. I believe that it is reasonable for interstate natural gas pipelines to set minimum</w:t>
            </w:r>
            <w:r>
              <w:rPr>
                <w:bCs/>
                <w:sz w:val="20"/>
              </w:rPr>
              <w:t xml:space="preserve"> </w:t>
            </w:r>
            <w:r w:rsidRPr="00305CF4">
              <w:rPr>
                <w:bCs/>
                <w:sz w:val="20"/>
              </w:rPr>
              <w:t>requirements to support computerized nomination, scheduling, and confirmation processes.</w:t>
            </w:r>
            <w:r>
              <w:rPr>
                <w:bCs/>
                <w:sz w:val="20"/>
              </w:rPr>
              <w:t xml:space="preserve"> </w:t>
            </w:r>
          </w:p>
          <w:p w14:paraId="78B7AC2A" w14:textId="71C44AC6" w:rsidR="00305CF4" w:rsidRDefault="00305CF4" w:rsidP="004D7B1A">
            <w:pPr>
              <w:pStyle w:val="BodyText"/>
              <w:widowControl w:val="0"/>
              <w:spacing w:before="60"/>
              <w:outlineLvl w:val="0"/>
              <w:rPr>
                <w:bCs/>
                <w:sz w:val="20"/>
              </w:rPr>
            </w:pPr>
            <w:r w:rsidRPr="00305CF4">
              <w:rPr>
                <w:bCs/>
                <w:sz w:val="20"/>
              </w:rPr>
              <w:t>In the past, when the need for such standardization was apparent, NAESB and its stakeholders</w:t>
            </w:r>
            <w:r>
              <w:rPr>
                <w:bCs/>
                <w:sz w:val="20"/>
              </w:rPr>
              <w:t xml:space="preserve"> </w:t>
            </w:r>
            <w:r w:rsidRPr="00305CF4">
              <w:rPr>
                <w:bCs/>
                <w:sz w:val="20"/>
              </w:rPr>
              <w:t>were able to develop a core set of business practice standards in a short amount of time. I believe the</w:t>
            </w:r>
            <w:r>
              <w:rPr>
                <w:bCs/>
                <w:sz w:val="20"/>
              </w:rPr>
              <w:t xml:space="preserve"> </w:t>
            </w:r>
            <w:r w:rsidRPr="00305CF4">
              <w:rPr>
                <w:bCs/>
                <w:sz w:val="20"/>
              </w:rPr>
              <w:t>same effort is needed now. I believe it may be more efficient for the industry to develop these standards</w:t>
            </w:r>
            <w:r>
              <w:rPr>
                <w:bCs/>
                <w:sz w:val="20"/>
              </w:rPr>
              <w:t xml:space="preserve"> </w:t>
            </w:r>
            <w:r w:rsidRPr="00305CF4">
              <w:rPr>
                <w:bCs/>
                <w:sz w:val="20"/>
              </w:rPr>
              <w:t>through the consensus procedures of NAESB than for the Commission to set up its own procedures to</w:t>
            </w:r>
            <w:r>
              <w:rPr>
                <w:bCs/>
                <w:sz w:val="20"/>
              </w:rPr>
              <w:t xml:space="preserve"> </w:t>
            </w:r>
            <w:r w:rsidRPr="00305CF4">
              <w:rPr>
                <w:bCs/>
                <w:sz w:val="20"/>
              </w:rPr>
              <w:t>try to accomplish this goal. I want to reiterate my thanks to NAESB and to the gas and electric industry</w:t>
            </w:r>
            <w:r>
              <w:rPr>
                <w:bCs/>
                <w:sz w:val="20"/>
              </w:rPr>
              <w:t xml:space="preserve"> </w:t>
            </w:r>
            <w:r w:rsidRPr="00305CF4">
              <w:rPr>
                <w:bCs/>
                <w:sz w:val="20"/>
              </w:rPr>
              <w:t>segments for the time and effort required to engage in standards development. I encourage NAESB to</w:t>
            </w:r>
            <w:r>
              <w:rPr>
                <w:bCs/>
                <w:sz w:val="20"/>
              </w:rPr>
              <w:t xml:space="preserve"> </w:t>
            </w:r>
            <w:r w:rsidRPr="00305CF4">
              <w:rPr>
                <w:bCs/>
                <w:sz w:val="20"/>
              </w:rPr>
              <w:t>complete by March 31, 2017 the development of standards or modification to existing standards as</w:t>
            </w:r>
            <w:r>
              <w:rPr>
                <w:bCs/>
                <w:sz w:val="20"/>
              </w:rPr>
              <w:t xml:space="preserve"> </w:t>
            </w:r>
            <w:r w:rsidRPr="00305CF4">
              <w:rPr>
                <w:bCs/>
                <w:sz w:val="20"/>
              </w:rPr>
              <w:t>needed to support the request of the Commission and to provide opportunities for faster and more</w:t>
            </w:r>
            <w:r>
              <w:rPr>
                <w:bCs/>
                <w:sz w:val="20"/>
              </w:rPr>
              <w:t xml:space="preserve"> </w:t>
            </w:r>
            <w:r w:rsidRPr="00305CF4">
              <w:rPr>
                <w:bCs/>
                <w:sz w:val="20"/>
              </w:rPr>
              <w:t>frequent scheduling.</w:t>
            </w:r>
            <w:r>
              <w:rPr>
                <w:bCs/>
                <w:sz w:val="20"/>
              </w:rPr>
              <w:t>”</w:t>
            </w:r>
          </w:p>
          <w:p w14:paraId="12757915" w14:textId="77777777" w:rsidR="00305CF4" w:rsidRDefault="00305CF4" w:rsidP="004D7B1A">
            <w:pPr>
              <w:pStyle w:val="BodyText"/>
              <w:widowControl w:val="0"/>
              <w:spacing w:before="60"/>
              <w:outlineLvl w:val="0"/>
              <w:rPr>
                <w:bCs/>
                <w:sz w:val="20"/>
              </w:rPr>
            </w:pPr>
          </w:p>
          <w:p w14:paraId="3954CA29" w14:textId="355D2A0D" w:rsidR="00305CF4" w:rsidRDefault="00305CF4" w:rsidP="004D7B1A">
            <w:pPr>
              <w:pStyle w:val="BodyText"/>
              <w:widowControl w:val="0"/>
              <w:spacing w:before="60"/>
              <w:outlineLvl w:val="0"/>
              <w:rPr>
                <w:bCs/>
                <w:sz w:val="20"/>
              </w:rPr>
            </w:pPr>
            <w:r>
              <w:rPr>
                <w:bCs/>
                <w:sz w:val="20"/>
              </w:rPr>
              <w:t>Correspondence from Commissioner LaFleur to NAESB – April 12, 2017</w:t>
            </w:r>
          </w:p>
          <w:p w14:paraId="7E3A7317" w14:textId="774FC301" w:rsidR="00305CF4" w:rsidRPr="00305CF4" w:rsidRDefault="00305CF4" w:rsidP="004D7B1A">
            <w:pPr>
              <w:pStyle w:val="BodyText"/>
              <w:widowControl w:val="0"/>
              <w:spacing w:before="60"/>
              <w:outlineLvl w:val="0"/>
              <w:rPr>
                <w:bCs/>
                <w:sz w:val="20"/>
              </w:rPr>
            </w:pPr>
            <w:r w:rsidRPr="00305CF4">
              <w:rPr>
                <w:bCs/>
                <w:sz w:val="20"/>
              </w:rPr>
              <w:t>Thank you for your March 30, 2017 report to the Commission concerning the North American</w:t>
            </w:r>
            <w:r>
              <w:rPr>
                <w:bCs/>
                <w:sz w:val="20"/>
              </w:rPr>
              <w:t xml:space="preserve"> </w:t>
            </w:r>
            <w:r w:rsidRPr="00305CF4">
              <w:rPr>
                <w:bCs/>
                <w:sz w:val="20"/>
              </w:rPr>
              <w:t xml:space="preserve">Energy Standards Board's </w:t>
            </w:r>
            <w:r w:rsidRPr="00305CF4">
              <w:rPr>
                <w:bCs/>
                <w:sz w:val="20"/>
              </w:rPr>
              <w:lastRenderedPageBreak/>
              <w:t>(NAESB's) efforts to respond to the Commission's request in Order No. 809</w:t>
            </w:r>
            <w:r>
              <w:rPr>
                <w:bCs/>
                <w:sz w:val="20"/>
              </w:rPr>
              <w:t xml:space="preserve"> </w:t>
            </w:r>
            <w:r w:rsidRPr="00305CF4">
              <w:rPr>
                <w:bCs/>
                <w:sz w:val="20"/>
              </w:rPr>
              <w:t>that the "gas and electric industries, through NAESB, explore the potential for faster, computerized</w:t>
            </w:r>
            <w:r>
              <w:rPr>
                <w:bCs/>
                <w:sz w:val="20"/>
              </w:rPr>
              <w:t xml:space="preserve"> </w:t>
            </w:r>
            <w:r w:rsidRPr="00305CF4">
              <w:rPr>
                <w:bCs/>
                <w:sz w:val="20"/>
              </w:rPr>
              <w:t>scheduling when shippers and confirming parties all submit electronic nominations and confirmations,</w:t>
            </w:r>
            <w:r>
              <w:rPr>
                <w:bCs/>
                <w:sz w:val="20"/>
              </w:rPr>
              <w:t xml:space="preserve"> </w:t>
            </w:r>
            <w:r w:rsidRPr="00305CF4">
              <w:rPr>
                <w:bCs/>
                <w:sz w:val="20"/>
              </w:rPr>
              <w:t>including a streamlined confirmation process if necessary." 1 I understand from your report that the</w:t>
            </w:r>
            <w:r>
              <w:rPr>
                <w:bCs/>
                <w:sz w:val="20"/>
              </w:rPr>
              <w:t xml:space="preserve"> </w:t>
            </w:r>
            <w:r w:rsidRPr="00305CF4">
              <w:rPr>
                <w:bCs/>
                <w:sz w:val="20"/>
              </w:rPr>
              <w:t>recommendations for additional standards and/or modification of existing standards to address the</w:t>
            </w:r>
            <w:r>
              <w:rPr>
                <w:bCs/>
                <w:sz w:val="20"/>
              </w:rPr>
              <w:t xml:space="preserve"> </w:t>
            </w:r>
            <w:r w:rsidRPr="00305CF4">
              <w:rPr>
                <w:bCs/>
                <w:sz w:val="20"/>
              </w:rPr>
              <w:t>Commission's request did not garner the requisite support in NAESB's Wholesale Gas Quadrant.</w:t>
            </w:r>
          </w:p>
          <w:p w14:paraId="210756AD" w14:textId="33A49601" w:rsidR="00305CF4" w:rsidRPr="00393A34" w:rsidRDefault="00305CF4" w:rsidP="004D7B1A">
            <w:pPr>
              <w:pStyle w:val="BodyText"/>
              <w:widowControl w:val="0"/>
              <w:spacing w:before="60"/>
              <w:outlineLvl w:val="0"/>
              <w:rPr>
                <w:bCs/>
                <w:sz w:val="20"/>
              </w:rPr>
            </w:pPr>
            <w:r w:rsidRPr="00305CF4">
              <w:rPr>
                <w:bCs/>
                <w:sz w:val="20"/>
              </w:rPr>
              <w:t>I appreciate NAESB's efforts and would like to thank all the stakeholders that have invested</w:t>
            </w:r>
            <w:r>
              <w:rPr>
                <w:bCs/>
                <w:sz w:val="20"/>
              </w:rPr>
              <w:t xml:space="preserve"> </w:t>
            </w:r>
            <w:r w:rsidRPr="00305CF4">
              <w:rPr>
                <w:bCs/>
                <w:sz w:val="20"/>
              </w:rPr>
              <w:t>their time and effort in the endeavor to address the Commission's request. Even though</w:t>
            </w:r>
            <w:r>
              <w:rPr>
                <w:bCs/>
                <w:sz w:val="20"/>
              </w:rPr>
              <w:t xml:space="preserve"> </w:t>
            </w:r>
            <w:r w:rsidRPr="00305CF4">
              <w:rPr>
                <w:bCs/>
                <w:sz w:val="20"/>
              </w:rPr>
              <w:t>consensus</w:t>
            </w:r>
            <w:r>
              <w:rPr>
                <w:bCs/>
                <w:sz w:val="20"/>
              </w:rPr>
              <w:t xml:space="preserve"> </w:t>
            </w:r>
            <w:r w:rsidRPr="00305CF4">
              <w:rPr>
                <w:bCs/>
                <w:sz w:val="20"/>
              </w:rPr>
              <w:t>could not be achieved to develop standards, I believe the record developed and the discussions among</w:t>
            </w:r>
            <w:r>
              <w:rPr>
                <w:bCs/>
                <w:sz w:val="20"/>
              </w:rPr>
              <w:t xml:space="preserve"> </w:t>
            </w:r>
            <w:r w:rsidRPr="00305CF4">
              <w:rPr>
                <w:bCs/>
                <w:sz w:val="20"/>
              </w:rPr>
              <w:t>the industry members will assist the Commission in its considerations, as well as help inform continuing</w:t>
            </w:r>
            <w:r>
              <w:rPr>
                <w:bCs/>
                <w:sz w:val="20"/>
              </w:rPr>
              <w:t xml:space="preserve"> </w:t>
            </w:r>
            <w:r w:rsidRPr="00305CF4">
              <w:rPr>
                <w:bCs/>
                <w:sz w:val="20"/>
              </w:rPr>
              <w:t>industry-initiated efforts to improve the integration of the gas and electric industries, an issue of critical</w:t>
            </w:r>
            <w:r>
              <w:rPr>
                <w:bCs/>
                <w:sz w:val="20"/>
              </w:rPr>
              <w:t xml:space="preserve"> </w:t>
            </w:r>
            <w:r w:rsidRPr="00305CF4">
              <w:rPr>
                <w:bCs/>
                <w:sz w:val="20"/>
              </w:rPr>
              <w:t>importance to both industries. I also appreciate NAESB' s continued willingness to support the</w:t>
            </w:r>
            <w:r>
              <w:rPr>
                <w:bCs/>
                <w:sz w:val="20"/>
              </w:rPr>
              <w:t xml:space="preserve"> </w:t>
            </w:r>
            <w:r w:rsidRPr="00305CF4">
              <w:rPr>
                <w:bCs/>
                <w:sz w:val="20"/>
              </w:rPr>
              <w:t>Commission's gas-electric harmonization effort and its willingness to address any additional</w:t>
            </w:r>
            <w:r>
              <w:rPr>
                <w:bCs/>
                <w:sz w:val="20"/>
              </w:rPr>
              <w:t xml:space="preserve"> </w:t>
            </w:r>
            <w:r w:rsidRPr="00305CF4">
              <w:rPr>
                <w:bCs/>
                <w:sz w:val="20"/>
              </w:rPr>
              <w:t>Commission requests, but I am not requesting any further efforts, at this time, to respond to the</w:t>
            </w:r>
            <w:r>
              <w:rPr>
                <w:bCs/>
                <w:sz w:val="20"/>
              </w:rPr>
              <w:t xml:space="preserve"> </w:t>
            </w:r>
            <w:r w:rsidRPr="00305CF4">
              <w:rPr>
                <w:bCs/>
                <w:sz w:val="20"/>
              </w:rPr>
              <w:t xml:space="preserve">Commission's request in Order No. 809. </w:t>
            </w:r>
          </w:p>
        </w:tc>
        <w:tc>
          <w:tcPr>
            <w:tcW w:w="1886" w:type="dxa"/>
          </w:tcPr>
          <w:p w14:paraId="3194EC90" w14:textId="70439862" w:rsidR="00305CF4" w:rsidRPr="00DC298B" w:rsidRDefault="00305CF4" w:rsidP="004D7B1A">
            <w:pPr>
              <w:pStyle w:val="BodyText"/>
              <w:widowControl w:val="0"/>
              <w:spacing w:before="60"/>
              <w:outlineLvl w:val="0"/>
              <w:rPr>
                <w:bCs/>
                <w:sz w:val="20"/>
              </w:rPr>
            </w:pPr>
            <w:r>
              <w:rPr>
                <w:bCs/>
                <w:sz w:val="20"/>
              </w:rPr>
              <w:lastRenderedPageBreak/>
              <w:t>Standards not Adopted in Response</w:t>
            </w:r>
          </w:p>
        </w:tc>
      </w:tr>
    </w:tbl>
    <w:p w14:paraId="4420E34C" w14:textId="37B460A5" w:rsidR="003D1AE8" w:rsidRDefault="003D1AE8" w:rsidP="004E3536">
      <w:pPr>
        <w:pStyle w:val="BodyText"/>
        <w:spacing w:before="60"/>
        <w:outlineLvl w:val="0"/>
        <w:rPr>
          <w:b/>
          <w:sz w:val="20"/>
        </w:rPr>
      </w:pPr>
    </w:p>
    <w:sectPr w:rsidR="003D1AE8" w:rsidSect="00817FF2">
      <w:pgSz w:w="15840" w:h="12240" w:orient="landscape"/>
      <w:pgMar w:top="634"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271AC" w14:textId="77777777" w:rsidR="00D80B33" w:rsidRDefault="00D80B33">
      <w:r>
        <w:separator/>
      </w:r>
    </w:p>
  </w:endnote>
  <w:endnote w:type="continuationSeparator" w:id="0">
    <w:p w14:paraId="7112E09A" w14:textId="77777777" w:rsidR="00D80B33" w:rsidRDefault="00D8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01AB" w14:textId="5C01A37B" w:rsidR="00B747F8" w:rsidRDefault="000D1B3B">
    <w:pPr>
      <w:pStyle w:val="Footer"/>
      <w:pBdr>
        <w:top w:val="single" w:sz="12" w:space="1" w:color="auto"/>
      </w:pBdr>
      <w:jc w:val="right"/>
      <w:rPr>
        <w:sz w:val="18"/>
        <w:szCs w:val="18"/>
      </w:rPr>
    </w:pPr>
    <w:r>
      <w:rPr>
        <w:sz w:val="18"/>
        <w:szCs w:val="18"/>
      </w:rPr>
      <w:t>NAESB</w:t>
    </w:r>
    <w:r w:rsidR="004E3536">
      <w:rPr>
        <w:sz w:val="18"/>
        <w:szCs w:val="18"/>
      </w:rPr>
      <w:t xml:space="preserve"> Identified GEH Policy </w:t>
    </w:r>
    <w:r w:rsidR="00570987">
      <w:rPr>
        <w:sz w:val="18"/>
        <w:szCs w:val="18"/>
      </w:rPr>
      <w:t xml:space="preserve">and Issues </w:t>
    </w:r>
    <w:r w:rsidR="004E3536">
      <w:rPr>
        <w:sz w:val="18"/>
        <w:szCs w:val="18"/>
      </w:rPr>
      <w:t xml:space="preserve">Considerations </w:t>
    </w:r>
    <w:r>
      <w:rPr>
        <w:sz w:val="18"/>
        <w:szCs w:val="18"/>
      </w:rPr>
      <w:t>– August 1</w:t>
    </w:r>
    <w:r w:rsidR="00570987">
      <w:rPr>
        <w:sz w:val="18"/>
        <w:szCs w:val="18"/>
      </w:rPr>
      <w:t>6</w:t>
    </w:r>
    <w:r w:rsidR="00B747F8">
      <w:rPr>
        <w:sz w:val="18"/>
        <w:szCs w:val="18"/>
      </w:rPr>
      <w:t xml:space="preserve">, 2021 </w:t>
    </w:r>
  </w:p>
  <w:p w14:paraId="0636D265" w14:textId="77777777" w:rsidR="00B747F8" w:rsidRDefault="00B747F8">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66BC7" w14:textId="77777777" w:rsidR="00D80B33" w:rsidRDefault="00D80B33">
      <w:r>
        <w:separator/>
      </w:r>
    </w:p>
  </w:footnote>
  <w:footnote w:type="continuationSeparator" w:id="0">
    <w:p w14:paraId="7F160797" w14:textId="77777777" w:rsidR="00D80B33" w:rsidRDefault="00D8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F909" w14:textId="77777777" w:rsidR="00B747F8" w:rsidRDefault="00B747F8" w:rsidP="00620E06">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59264" behindDoc="1" locked="0" layoutInCell="1" allowOverlap="1" wp14:anchorId="7F7A0586" wp14:editId="0732E61C">
              <wp:simplePos x="0" y="0"/>
              <wp:positionH relativeFrom="page">
                <wp:posOffset>914400</wp:posOffset>
              </wp:positionH>
              <wp:positionV relativeFrom="page">
                <wp:posOffset>228600</wp:posOffset>
              </wp:positionV>
              <wp:extent cx="1619250" cy="123190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19250" cy="1231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C0D68" w14:textId="77777777" w:rsidR="00B747F8" w:rsidRDefault="00B747F8"/>
                        </w:txbxContent>
                      </wps:txbx>
                      <wps:bodyPr rot="0" vert="horz" wrap="square" lIns="0" tIns="0" rIns="0" bIns="0" anchor="t" anchorCtr="0" upright="1">
                        <a:no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7A0586" id="Group 1" o:spid="_x0000_s1026" style="position:absolute;left:0;text-align:left;margin-left:1in;margin-top:18pt;width:127.5pt;height:9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">
              <v:rect id="Rectangle 2"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57C0D68" w14:textId="77777777" w:rsidR="00B747F8" w:rsidRDefault="00B747F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3503984D" w14:textId="77777777" w:rsidR="00B747F8" w:rsidRDefault="00B747F8">
    <w:pPr>
      <w:pStyle w:val="Header"/>
      <w:tabs>
        <w:tab w:val="left" w:pos="680"/>
        <w:tab w:val="right" w:pos="9810"/>
      </w:tabs>
      <w:spacing w:before="60"/>
      <w:ind w:left="1800"/>
      <w:jc w:val="right"/>
    </w:pPr>
    <w:r>
      <w:t>801 Travis, Suite 1675, Houston, Texas 77002</w:t>
    </w:r>
  </w:p>
  <w:p w14:paraId="65F68721" w14:textId="77777777" w:rsidR="00B747F8" w:rsidRDefault="00B747F8">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3DAAEFEE" w14:textId="77777777" w:rsidR="00B747F8" w:rsidRDefault="00B747F8">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61C3495D" w14:textId="77777777" w:rsidR="00B747F8" w:rsidRDefault="00B74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4152"/>
    <w:multiLevelType w:val="hybridMultilevel"/>
    <w:tmpl w:val="3990AF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319BF"/>
    <w:multiLevelType w:val="hybridMultilevel"/>
    <w:tmpl w:val="E772AD98"/>
    <w:lvl w:ilvl="0" w:tplc="B7A029D0">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33282"/>
    <w:multiLevelType w:val="hybridMultilevel"/>
    <w:tmpl w:val="BE540D1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7FF47FF"/>
    <w:multiLevelType w:val="hybridMultilevel"/>
    <w:tmpl w:val="64EE57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F6AE1"/>
    <w:multiLevelType w:val="hybridMultilevel"/>
    <w:tmpl w:val="768651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45075D"/>
    <w:multiLevelType w:val="hybridMultilevel"/>
    <w:tmpl w:val="722C6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4743D5"/>
    <w:multiLevelType w:val="hybridMultilevel"/>
    <w:tmpl w:val="CCC2EAE0"/>
    <w:lvl w:ilvl="0" w:tplc="B7A029D0">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73A18"/>
    <w:multiLevelType w:val="hybridMultilevel"/>
    <w:tmpl w:val="C7A8047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556BD"/>
    <w:multiLevelType w:val="hybridMultilevel"/>
    <w:tmpl w:val="B4E07F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10347"/>
    <w:multiLevelType w:val="hybridMultilevel"/>
    <w:tmpl w:val="BFC80D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01724"/>
    <w:multiLevelType w:val="hybridMultilevel"/>
    <w:tmpl w:val="C942775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2A12261E"/>
    <w:multiLevelType w:val="hybridMultilevel"/>
    <w:tmpl w:val="C5586B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17F95"/>
    <w:multiLevelType w:val="hybridMultilevel"/>
    <w:tmpl w:val="727694F0"/>
    <w:lvl w:ilvl="0" w:tplc="DD2A527C">
      <w:start w:val="1"/>
      <w:numFmt w:val="bullet"/>
      <w:lvlText w:val=""/>
      <w:lvlJc w:val="left"/>
      <w:pPr>
        <w:tabs>
          <w:tab w:val="num" w:pos="2880"/>
        </w:tabs>
        <w:ind w:left="2880" w:hanging="440"/>
      </w:pPr>
      <w:rPr>
        <w:rFonts w:ascii="Symbol" w:hAnsi="Symbol" w:hint="default"/>
        <w:sz w:val="16"/>
      </w:rPr>
    </w:lvl>
    <w:lvl w:ilvl="1" w:tplc="DFFEAE0C">
      <w:start w:val="1"/>
      <w:numFmt w:val="bullet"/>
      <w:lvlText w:val="o"/>
      <w:lvlJc w:val="left"/>
      <w:pPr>
        <w:tabs>
          <w:tab w:val="num" w:pos="1440"/>
        </w:tabs>
        <w:ind w:left="1440" w:hanging="360"/>
      </w:pPr>
      <w:rPr>
        <w:rFonts w:ascii="Courier New" w:hAnsi="Courier New" w:cs="Courier New" w:hint="default"/>
      </w:rPr>
    </w:lvl>
    <w:lvl w:ilvl="2" w:tplc="9D30ADAA">
      <w:start w:val="1"/>
      <w:numFmt w:val="bullet"/>
      <w:lvlText w:val=""/>
      <w:lvlJc w:val="left"/>
      <w:pPr>
        <w:tabs>
          <w:tab w:val="num" w:pos="2160"/>
        </w:tabs>
        <w:ind w:left="2160" w:hanging="360"/>
      </w:pPr>
      <w:rPr>
        <w:rFonts w:ascii="Wingdings" w:hAnsi="Wingdings" w:hint="default"/>
      </w:rPr>
    </w:lvl>
    <w:lvl w:ilvl="3" w:tplc="FA68EA4C">
      <w:start w:val="1"/>
      <w:numFmt w:val="bullet"/>
      <w:lvlText w:val=""/>
      <w:lvlJc w:val="left"/>
      <w:pPr>
        <w:tabs>
          <w:tab w:val="num" w:pos="2880"/>
        </w:tabs>
        <w:ind w:left="2880" w:hanging="360"/>
      </w:pPr>
      <w:rPr>
        <w:rFonts w:ascii="Symbol" w:hAnsi="Symbol" w:hint="default"/>
      </w:rPr>
    </w:lvl>
    <w:lvl w:ilvl="4" w:tplc="10ECA82E">
      <w:start w:val="1"/>
      <w:numFmt w:val="bullet"/>
      <w:lvlText w:val="o"/>
      <w:lvlJc w:val="left"/>
      <w:pPr>
        <w:tabs>
          <w:tab w:val="num" w:pos="3600"/>
        </w:tabs>
        <w:ind w:left="3600" w:hanging="360"/>
      </w:pPr>
      <w:rPr>
        <w:rFonts w:ascii="Courier New" w:hAnsi="Courier New" w:cs="Courier New" w:hint="default"/>
      </w:rPr>
    </w:lvl>
    <w:lvl w:ilvl="5" w:tplc="6D12A308">
      <w:start w:val="1"/>
      <w:numFmt w:val="bullet"/>
      <w:lvlText w:val=""/>
      <w:lvlJc w:val="left"/>
      <w:pPr>
        <w:tabs>
          <w:tab w:val="num" w:pos="4320"/>
        </w:tabs>
        <w:ind w:left="4320" w:hanging="360"/>
      </w:pPr>
      <w:rPr>
        <w:rFonts w:ascii="Wingdings" w:hAnsi="Wingdings" w:hint="default"/>
      </w:rPr>
    </w:lvl>
    <w:lvl w:ilvl="6" w:tplc="0B808D16">
      <w:start w:val="1"/>
      <w:numFmt w:val="bullet"/>
      <w:lvlText w:val=""/>
      <w:lvlJc w:val="left"/>
      <w:pPr>
        <w:tabs>
          <w:tab w:val="num" w:pos="5040"/>
        </w:tabs>
        <w:ind w:left="5040" w:hanging="360"/>
      </w:pPr>
      <w:rPr>
        <w:rFonts w:ascii="Symbol" w:hAnsi="Symbol" w:hint="default"/>
      </w:rPr>
    </w:lvl>
    <w:lvl w:ilvl="7" w:tplc="E7F8C37E">
      <w:start w:val="1"/>
      <w:numFmt w:val="bullet"/>
      <w:lvlText w:val="o"/>
      <w:lvlJc w:val="left"/>
      <w:pPr>
        <w:tabs>
          <w:tab w:val="num" w:pos="5760"/>
        </w:tabs>
        <w:ind w:left="5760" w:hanging="360"/>
      </w:pPr>
      <w:rPr>
        <w:rFonts w:ascii="Courier New" w:hAnsi="Courier New" w:cs="Courier New" w:hint="default"/>
      </w:rPr>
    </w:lvl>
    <w:lvl w:ilvl="8" w:tplc="5B6491AE">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56B6B"/>
    <w:multiLevelType w:val="hybridMultilevel"/>
    <w:tmpl w:val="47700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C22188"/>
    <w:multiLevelType w:val="hybridMultilevel"/>
    <w:tmpl w:val="15F48F8E"/>
    <w:lvl w:ilvl="0" w:tplc="785493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957E5"/>
    <w:multiLevelType w:val="hybridMultilevel"/>
    <w:tmpl w:val="E10C1E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87551"/>
    <w:multiLevelType w:val="hybridMultilevel"/>
    <w:tmpl w:val="55D08E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D18AA"/>
    <w:multiLevelType w:val="hybridMultilevel"/>
    <w:tmpl w:val="B8F2D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05C98"/>
    <w:multiLevelType w:val="hybridMultilevel"/>
    <w:tmpl w:val="DDCC59F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14FAF"/>
    <w:multiLevelType w:val="hybridMultilevel"/>
    <w:tmpl w:val="C5586B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B28F7"/>
    <w:multiLevelType w:val="hybridMultilevel"/>
    <w:tmpl w:val="9C56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BD56EA"/>
    <w:multiLevelType w:val="hybridMultilevel"/>
    <w:tmpl w:val="22BCCD8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6A685E8C"/>
    <w:multiLevelType w:val="hybridMultilevel"/>
    <w:tmpl w:val="141E1E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C3039"/>
    <w:multiLevelType w:val="hybridMultilevel"/>
    <w:tmpl w:val="643E0494"/>
    <w:lvl w:ilvl="0" w:tplc="B7A029D0">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C0D77"/>
    <w:multiLevelType w:val="hybridMultilevel"/>
    <w:tmpl w:val="6C70971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303C92"/>
    <w:multiLevelType w:val="hybridMultilevel"/>
    <w:tmpl w:val="EB3623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6"/>
  </w:num>
  <w:num w:numId="4">
    <w:abstractNumId w:val="24"/>
  </w:num>
  <w:num w:numId="5">
    <w:abstractNumId w:val="18"/>
  </w:num>
  <w:num w:numId="6">
    <w:abstractNumId w:val="7"/>
  </w:num>
  <w:num w:numId="7">
    <w:abstractNumId w:val="17"/>
  </w:num>
  <w:num w:numId="8">
    <w:abstractNumId w:val="21"/>
  </w:num>
  <w:num w:numId="9">
    <w:abstractNumId w:val="19"/>
  </w:num>
  <w:num w:numId="10">
    <w:abstractNumId w:val="11"/>
  </w:num>
  <w:num w:numId="11">
    <w:abstractNumId w:val="0"/>
  </w:num>
  <w:num w:numId="12">
    <w:abstractNumId w:val="13"/>
  </w:num>
  <w:num w:numId="13">
    <w:abstractNumId w:val="8"/>
  </w:num>
  <w:num w:numId="14">
    <w:abstractNumId w:val="25"/>
  </w:num>
  <w:num w:numId="15">
    <w:abstractNumId w:val="9"/>
  </w:num>
  <w:num w:numId="16">
    <w:abstractNumId w:val="5"/>
  </w:num>
  <w:num w:numId="17">
    <w:abstractNumId w:val="14"/>
  </w:num>
  <w:num w:numId="18">
    <w:abstractNumId w:val="1"/>
  </w:num>
  <w:num w:numId="19">
    <w:abstractNumId w:val="23"/>
  </w:num>
  <w:num w:numId="20">
    <w:abstractNumId w:val="6"/>
  </w:num>
  <w:num w:numId="21">
    <w:abstractNumId w:val="2"/>
  </w:num>
  <w:num w:numId="22">
    <w:abstractNumId w:val="12"/>
  </w:num>
  <w:num w:numId="23">
    <w:abstractNumId w:val="3"/>
  </w:num>
  <w:num w:numId="24">
    <w:abstractNumId w:val="10"/>
  </w:num>
  <w:num w:numId="25">
    <w:abstractNumId w:val="4"/>
  </w:num>
  <w:num w:numId="2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16"/>
    <w:rsid w:val="00001F7F"/>
    <w:rsid w:val="00006541"/>
    <w:rsid w:val="00010E45"/>
    <w:rsid w:val="000114DC"/>
    <w:rsid w:val="00011623"/>
    <w:rsid w:val="00013D60"/>
    <w:rsid w:val="0002158D"/>
    <w:rsid w:val="00023801"/>
    <w:rsid w:val="00025E52"/>
    <w:rsid w:val="00030C79"/>
    <w:rsid w:val="00032C7F"/>
    <w:rsid w:val="00033B27"/>
    <w:rsid w:val="00034B1D"/>
    <w:rsid w:val="00035BF6"/>
    <w:rsid w:val="0004286D"/>
    <w:rsid w:val="00050602"/>
    <w:rsid w:val="00051F24"/>
    <w:rsid w:val="00052F5B"/>
    <w:rsid w:val="00053082"/>
    <w:rsid w:val="0006093B"/>
    <w:rsid w:val="00066516"/>
    <w:rsid w:val="00074628"/>
    <w:rsid w:val="00075249"/>
    <w:rsid w:val="00076798"/>
    <w:rsid w:val="00081999"/>
    <w:rsid w:val="000844D8"/>
    <w:rsid w:val="00084F9B"/>
    <w:rsid w:val="00085B6B"/>
    <w:rsid w:val="00094CD5"/>
    <w:rsid w:val="00095482"/>
    <w:rsid w:val="000A10DD"/>
    <w:rsid w:val="000A19D5"/>
    <w:rsid w:val="000A1D00"/>
    <w:rsid w:val="000A695B"/>
    <w:rsid w:val="000B3049"/>
    <w:rsid w:val="000C314D"/>
    <w:rsid w:val="000D0645"/>
    <w:rsid w:val="000D138B"/>
    <w:rsid w:val="000D1B3B"/>
    <w:rsid w:val="000D5A5F"/>
    <w:rsid w:val="000E03DA"/>
    <w:rsid w:val="000E082D"/>
    <w:rsid w:val="000E2144"/>
    <w:rsid w:val="000E5026"/>
    <w:rsid w:val="000F4351"/>
    <w:rsid w:val="00105062"/>
    <w:rsid w:val="00111EE9"/>
    <w:rsid w:val="0011258F"/>
    <w:rsid w:val="00112799"/>
    <w:rsid w:val="00117FE9"/>
    <w:rsid w:val="00121ACA"/>
    <w:rsid w:val="0012300B"/>
    <w:rsid w:val="00123754"/>
    <w:rsid w:val="001258B8"/>
    <w:rsid w:val="00126D91"/>
    <w:rsid w:val="00134818"/>
    <w:rsid w:val="00147354"/>
    <w:rsid w:val="001502E7"/>
    <w:rsid w:val="001510C6"/>
    <w:rsid w:val="001511F4"/>
    <w:rsid w:val="00151DEF"/>
    <w:rsid w:val="0015575E"/>
    <w:rsid w:val="001651BD"/>
    <w:rsid w:val="00167C30"/>
    <w:rsid w:val="00170CBD"/>
    <w:rsid w:val="00171DDF"/>
    <w:rsid w:val="00175E30"/>
    <w:rsid w:val="0018107B"/>
    <w:rsid w:val="00186174"/>
    <w:rsid w:val="00186E32"/>
    <w:rsid w:val="0019210E"/>
    <w:rsid w:val="00193C13"/>
    <w:rsid w:val="0019644A"/>
    <w:rsid w:val="001A6697"/>
    <w:rsid w:val="001C36D1"/>
    <w:rsid w:val="001D21C3"/>
    <w:rsid w:val="001D270B"/>
    <w:rsid w:val="001D5268"/>
    <w:rsid w:val="001F386C"/>
    <w:rsid w:val="001F6ED1"/>
    <w:rsid w:val="002005F9"/>
    <w:rsid w:val="0020185E"/>
    <w:rsid w:val="002036BB"/>
    <w:rsid w:val="002046BD"/>
    <w:rsid w:val="00204BB8"/>
    <w:rsid w:val="0020639E"/>
    <w:rsid w:val="00206478"/>
    <w:rsid w:val="00213C47"/>
    <w:rsid w:val="00214893"/>
    <w:rsid w:val="0021550D"/>
    <w:rsid w:val="00222C9A"/>
    <w:rsid w:val="00224203"/>
    <w:rsid w:val="00227107"/>
    <w:rsid w:val="00230AA4"/>
    <w:rsid w:val="00231195"/>
    <w:rsid w:val="0024070B"/>
    <w:rsid w:val="00245BCD"/>
    <w:rsid w:val="00254E8C"/>
    <w:rsid w:val="00260387"/>
    <w:rsid w:val="00260983"/>
    <w:rsid w:val="002647BD"/>
    <w:rsid w:val="002650DE"/>
    <w:rsid w:val="002656E1"/>
    <w:rsid w:val="00265FCC"/>
    <w:rsid w:val="00267FED"/>
    <w:rsid w:val="00275F0F"/>
    <w:rsid w:val="002822D0"/>
    <w:rsid w:val="00284C5F"/>
    <w:rsid w:val="002863B3"/>
    <w:rsid w:val="0028778F"/>
    <w:rsid w:val="002929FE"/>
    <w:rsid w:val="00292CD1"/>
    <w:rsid w:val="00296119"/>
    <w:rsid w:val="00296CC2"/>
    <w:rsid w:val="00297F0B"/>
    <w:rsid w:val="002A7431"/>
    <w:rsid w:val="002B2519"/>
    <w:rsid w:val="002B7A6C"/>
    <w:rsid w:val="002D1E33"/>
    <w:rsid w:val="002D7436"/>
    <w:rsid w:val="002F32D2"/>
    <w:rsid w:val="002F7C9D"/>
    <w:rsid w:val="00305CF4"/>
    <w:rsid w:val="0030678C"/>
    <w:rsid w:val="003206DA"/>
    <w:rsid w:val="0032274F"/>
    <w:rsid w:val="00322DCD"/>
    <w:rsid w:val="003244A8"/>
    <w:rsid w:val="00334E69"/>
    <w:rsid w:val="00344194"/>
    <w:rsid w:val="00352690"/>
    <w:rsid w:val="00356839"/>
    <w:rsid w:val="0036400B"/>
    <w:rsid w:val="00370EBB"/>
    <w:rsid w:val="00371568"/>
    <w:rsid w:val="00377613"/>
    <w:rsid w:val="00377DBE"/>
    <w:rsid w:val="003839E4"/>
    <w:rsid w:val="00383DFD"/>
    <w:rsid w:val="00387868"/>
    <w:rsid w:val="00392642"/>
    <w:rsid w:val="00393A34"/>
    <w:rsid w:val="003975DD"/>
    <w:rsid w:val="003A1936"/>
    <w:rsid w:val="003A3FC3"/>
    <w:rsid w:val="003A625C"/>
    <w:rsid w:val="003B15D7"/>
    <w:rsid w:val="003B7F65"/>
    <w:rsid w:val="003C1B34"/>
    <w:rsid w:val="003D1AE8"/>
    <w:rsid w:val="003D3F93"/>
    <w:rsid w:val="003D63AA"/>
    <w:rsid w:val="003E0118"/>
    <w:rsid w:val="003E511C"/>
    <w:rsid w:val="003E72DA"/>
    <w:rsid w:val="003F4123"/>
    <w:rsid w:val="003F7589"/>
    <w:rsid w:val="00400678"/>
    <w:rsid w:val="00401A6F"/>
    <w:rsid w:val="004129B1"/>
    <w:rsid w:val="00416208"/>
    <w:rsid w:val="00417EEE"/>
    <w:rsid w:val="00420008"/>
    <w:rsid w:val="00421B3F"/>
    <w:rsid w:val="004226EF"/>
    <w:rsid w:val="0043046B"/>
    <w:rsid w:val="00440D9D"/>
    <w:rsid w:val="004434E7"/>
    <w:rsid w:val="00446C37"/>
    <w:rsid w:val="00447006"/>
    <w:rsid w:val="00454E82"/>
    <w:rsid w:val="00457866"/>
    <w:rsid w:val="004601EB"/>
    <w:rsid w:val="00461E5F"/>
    <w:rsid w:val="004623E3"/>
    <w:rsid w:val="00463C25"/>
    <w:rsid w:val="00464C94"/>
    <w:rsid w:val="004724C1"/>
    <w:rsid w:val="004743A9"/>
    <w:rsid w:val="00474E62"/>
    <w:rsid w:val="004A3B94"/>
    <w:rsid w:val="004A3CD7"/>
    <w:rsid w:val="004B34F8"/>
    <w:rsid w:val="004B39A0"/>
    <w:rsid w:val="004B56BD"/>
    <w:rsid w:val="004B5B57"/>
    <w:rsid w:val="004C6541"/>
    <w:rsid w:val="004C697A"/>
    <w:rsid w:val="004D1282"/>
    <w:rsid w:val="004D5D4A"/>
    <w:rsid w:val="004D7A16"/>
    <w:rsid w:val="004D7B1A"/>
    <w:rsid w:val="004D7D0B"/>
    <w:rsid w:val="004E3536"/>
    <w:rsid w:val="004E4380"/>
    <w:rsid w:val="004E4985"/>
    <w:rsid w:val="004E5A5C"/>
    <w:rsid w:val="004F0760"/>
    <w:rsid w:val="004F09A9"/>
    <w:rsid w:val="00500340"/>
    <w:rsid w:val="00501E55"/>
    <w:rsid w:val="005064A9"/>
    <w:rsid w:val="005119A7"/>
    <w:rsid w:val="00512363"/>
    <w:rsid w:val="00516710"/>
    <w:rsid w:val="00520054"/>
    <w:rsid w:val="0052282C"/>
    <w:rsid w:val="005302F0"/>
    <w:rsid w:val="00533509"/>
    <w:rsid w:val="005347B7"/>
    <w:rsid w:val="005503D0"/>
    <w:rsid w:val="005568C0"/>
    <w:rsid w:val="00570987"/>
    <w:rsid w:val="00571678"/>
    <w:rsid w:val="00571E7D"/>
    <w:rsid w:val="00572C7B"/>
    <w:rsid w:val="00576363"/>
    <w:rsid w:val="005917CC"/>
    <w:rsid w:val="00591EDB"/>
    <w:rsid w:val="00592D58"/>
    <w:rsid w:val="005943B8"/>
    <w:rsid w:val="005A0BFC"/>
    <w:rsid w:val="005A0DA8"/>
    <w:rsid w:val="005A7E44"/>
    <w:rsid w:val="005B0F4A"/>
    <w:rsid w:val="005B4581"/>
    <w:rsid w:val="005B5208"/>
    <w:rsid w:val="005D0B68"/>
    <w:rsid w:val="005D775C"/>
    <w:rsid w:val="005F0467"/>
    <w:rsid w:val="005F7A3F"/>
    <w:rsid w:val="00600430"/>
    <w:rsid w:val="00602B5B"/>
    <w:rsid w:val="00604D4B"/>
    <w:rsid w:val="00611DD3"/>
    <w:rsid w:val="00616392"/>
    <w:rsid w:val="00620C11"/>
    <w:rsid w:val="00620E06"/>
    <w:rsid w:val="00627061"/>
    <w:rsid w:val="00627CC0"/>
    <w:rsid w:val="006312EE"/>
    <w:rsid w:val="0063412E"/>
    <w:rsid w:val="00642C2B"/>
    <w:rsid w:val="00651BBF"/>
    <w:rsid w:val="00654BB6"/>
    <w:rsid w:val="00654C66"/>
    <w:rsid w:val="00655BDC"/>
    <w:rsid w:val="00665FA0"/>
    <w:rsid w:val="00673391"/>
    <w:rsid w:val="00681632"/>
    <w:rsid w:val="00684362"/>
    <w:rsid w:val="00685390"/>
    <w:rsid w:val="006952BA"/>
    <w:rsid w:val="00695722"/>
    <w:rsid w:val="006A0845"/>
    <w:rsid w:val="006C0F72"/>
    <w:rsid w:val="006C5651"/>
    <w:rsid w:val="006D2D09"/>
    <w:rsid w:val="006D34D2"/>
    <w:rsid w:val="006E113C"/>
    <w:rsid w:val="006E158C"/>
    <w:rsid w:val="006E32B7"/>
    <w:rsid w:val="006E33B7"/>
    <w:rsid w:val="006E620D"/>
    <w:rsid w:val="006E66D7"/>
    <w:rsid w:val="006E7680"/>
    <w:rsid w:val="006F359C"/>
    <w:rsid w:val="00705E1E"/>
    <w:rsid w:val="00707352"/>
    <w:rsid w:val="0071251D"/>
    <w:rsid w:val="00716F43"/>
    <w:rsid w:val="00717ED3"/>
    <w:rsid w:val="007211A5"/>
    <w:rsid w:val="00722B27"/>
    <w:rsid w:val="00722EC8"/>
    <w:rsid w:val="00723F43"/>
    <w:rsid w:val="00725F2B"/>
    <w:rsid w:val="007263E1"/>
    <w:rsid w:val="00730319"/>
    <w:rsid w:val="007365A6"/>
    <w:rsid w:val="00740A2A"/>
    <w:rsid w:val="00743B3A"/>
    <w:rsid w:val="00745F17"/>
    <w:rsid w:val="007467AD"/>
    <w:rsid w:val="00750DE8"/>
    <w:rsid w:val="0075145D"/>
    <w:rsid w:val="00752592"/>
    <w:rsid w:val="00752DCB"/>
    <w:rsid w:val="007641F1"/>
    <w:rsid w:val="00792BC2"/>
    <w:rsid w:val="007A0676"/>
    <w:rsid w:val="007A3F43"/>
    <w:rsid w:val="007A4DB6"/>
    <w:rsid w:val="007B1ACE"/>
    <w:rsid w:val="007B4109"/>
    <w:rsid w:val="007B4A9B"/>
    <w:rsid w:val="007B6BBF"/>
    <w:rsid w:val="007B7D76"/>
    <w:rsid w:val="007C46D9"/>
    <w:rsid w:val="007C575A"/>
    <w:rsid w:val="007C649F"/>
    <w:rsid w:val="007D4738"/>
    <w:rsid w:val="007E7A21"/>
    <w:rsid w:val="007F1ED2"/>
    <w:rsid w:val="007F7291"/>
    <w:rsid w:val="00800C0E"/>
    <w:rsid w:val="00800ED1"/>
    <w:rsid w:val="00801226"/>
    <w:rsid w:val="008046FF"/>
    <w:rsid w:val="00807557"/>
    <w:rsid w:val="00813565"/>
    <w:rsid w:val="00817AC4"/>
    <w:rsid w:val="00817FF2"/>
    <w:rsid w:val="0082016B"/>
    <w:rsid w:val="00831384"/>
    <w:rsid w:val="0084357C"/>
    <w:rsid w:val="008454DA"/>
    <w:rsid w:val="00852095"/>
    <w:rsid w:val="00852C87"/>
    <w:rsid w:val="0085593D"/>
    <w:rsid w:val="00856CB6"/>
    <w:rsid w:val="00857B08"/>
    <w:rsid w:val="00863B93"/>
    <w:rsid w:val="00864370"/>
    <w:rsid w:val="00871CE4"/>
    <w:rsid w:val="00872FDC"/>
    <w:rsid w:val="008851CE"/>
    <w:rsid w:val="00885C40"/>
    <w:rsid w:val="008863A0"/>
    <w:rsid w:val="00887721"/>
    <w:rsid w:val="0089460A"/>
    <w:rsid w:val="0089658B"/>
    <w:rsid w:val="008971E1"/>
    <w:rsid w:val="008A05CF"/>
    <w:rsid w:val="008A7CFF"/>
    <w:rsid w:val="008B32ED"/>
    <w:rsid w:val="008B49AD"/>
    <w:rsid w:val="008B67C8"/>
    <w:rsid w:val="008B7228"/>
    <w:rsid w:val="008B7645"/>
    <w:rsid w:val="008B76A7"/>
    <w:rsid w:val="008C05AC"/>
    <w:rsid w:val="008C0E38"/>
    <w:rsid w:val="008C403D"/>
    <w:rsid w:val="008C770C"/>
    <w:rsid w:val="008D2EFB"/>
    <w:rsid w:val="008E0291"/>
    <w:rsid w:val="008E4B8B"/>
    <w:rsid w:val="008E6A53"/>
    <w:rsid w:val="008E76EB"/>
    <w:rsid w:val="008F2B7A"/>
    <w:rsid w:val="00904374"/>
    <w:rsid w:val="00911DE3"/>
    <w:rsid w:val="00914767"/>
    <w:rsid w:val="0091499E"/>
    <w:rsid w:val="00930D65"/>
    <w:rsid w:val="00931DD6"/>
    <w:rsid w:val="0093368D"/>
    <w:rsid w:val="00957E26"/>
    <w:rsid w:val="00961023"/>
    <w:rsid w:val="00965DE5"/>
    <w:rsid w:val="00966C78"/>
    <w:rsid w:val="00972FE8"/>
    <w:rsid w:val="009755C2"/>
    <w:rsid w:val="0097607B"/>
    <w:rsid w:val="009775B0"/>
    <w:rsid w:val="00982B32"/>
    <w:rsid w:val="0098516E"/>
    <w:rsid w:val="00986E1D"/>
    <w:rsid w:val="00991436"/>
    <w:rsid w:val="0099462D"/>
    <w:rsid w:val="009A2F19"/>
    <w:rsid w:val="009A5F1D"/>
    <w:rsid w:val="009B18D1"/>
    <w:rsid w:val="009B3494"/>
    <w:rsid w:val="009C08A1"/>
    <w:rsid w:val="009C0973"/>
    <w:rsid w:val="009C5091"/>
    <w:rsid w:val="009C6E9D"/>
    <w:rsid w:val="009C7597"/>
    <w:rsid w:val="009C78E1"/>
    <w:rsid w:val="009D36F1"/>
    <w:rsid w:val="009D59C8"/>
    <w:rsid w:val="009E5206"/>
    <w:rsid w:val="009F1177"/>
    <w:rsid w:val="009F28A3"/>
    <w:rsid w:val="009F4B3A"/>
    <w:rsid w:val="009F60F0"/>
    <w:rsid w:val="009F6DDF"/>
    <w:rsid w:val="00A03296"/>
    <w:rsid w:val="00A060AA"/>
    <w:rsid w:val="00A10B02"/>
    <w:rsid w:val="00A11532"/>
    <w:rsid w:val="00A1448F"/>
    <w:rsid w:val="00A15575"/>
    <w:rsid w:val="00A15AD6"/>
    <w:rsid w:val="00A209C3"/>
    <w:rsid w:val="00A25926"/>
    <w:rsid w:val="00A25B11"/>
    <w:rsid w:val="00A3376F"/>
    <w:rsid w:val="00A36655"/>
    <w:rsid w:val="00A37D66"/>
    <w:rsid w:val="00A43762"/>
    <w:rsid w:val="00A466A6"/>
    <w:rsid w:val="00A4714A"/>
    <w:rsid w:val="00A5737A"/>
    <w:rsid w:val="00A577A1"/>
    <w:rsid w:val="00A7035D"/>
    <w:rsid w:val="00A7311E"/>
    <w:rsid w:val="00A73FF8"/>
    <w:rsid w:val="00A80FDE"/>
    <w:rsid w:val="00A82E6A"/>
    <w:rsid w:val="00A83425"/>
    <w:rsid w:val="00A96376"/>
    <w:rsid w:val="00A96FE3"/>
    <w:rsid w:val="00AA153A"/>
    <w:rsid w:val="00AA47A3"/>
    <w:rsid w:val="00AB2578"/>
    <w:rsid w:val="00AB2A07"/>
    <w:rsid w:val="00AB5065"/>
    <w:rsid w:val="00AB731D"/>
    <w:rsid w:val="00AC286A"/>
    <w:rsid w:val="00AC4188"/>
    <w:rsid w:val="00AC6EF0"/>
    <w:rsid w:val="00AD3FA8"/>
    <w:rsid w:val="00AE044E"/>
    <w:rsid w:val="00AE4DFF"/>
    <w:rsid w:val="00AE508B"/>
    <w:rsid w:val="00AE53D1"/>
    <w:rsid w:val="00AE6977"/>
    <w:rsid w:val="00AE75B6"/>
    <w:rsid w:val="00AE787E"/>
    <w:rsid w:val="00AF0255"/>
    <w:rsid w:val="00AF09F7"/>
    <w:rsid w:val="00AF4A6A"/>
    <w:rsid w:val="00AF69F3"/>
    <w:rsid w:val="00B025E0"/>
    <w:rsid w:val="00B111C1"/>
    <w:rsid w:val="00B1681A"/>
    <w:rsid w:val="00B23158"/>
    <w:rsid w:val="00B25A44"/>
    <w:rsid w:val="00B2611E"/>
    <w:rsid w:val="00B306F8"/>
    <w:rsid w:val="00B328F4"/>
    <w:rsid w:val="00B3335B"/>
    <w:rsid w:val="00B33DF8"/>
    <w:rsid w:val="00B412EB"/>
    <w:rsid w:val="00B41303"/>
    <w:rsid w:val="00B56F05"/>
    <w:rsid w:val="00B61673"/>
    <w:rsid w:val="00B625A4"/>
    <w:rsid w:val="00B63C1F"/>
    <w:rsid w:val="00B64D33"/>
    <w:rsid w:val="00B67EEE"/>
    <w:rsid w:val="00B747F8"/>
    <w:rsid w:val="00B75D75"/>
    <w:rsid w:val="00B82D83"/>
    <w:rsid w:val="00B85B64"/>
    <w:rsid w:val="00B86842"/>
    <w:rsid w:val="00B92EF6"/>
    <w:rsid w:val="00BB7DF5"/>
    <w:rsid w:val="00BC285A"/>
    <w:rsid w:val="00BC3B36"/>
    <w:rsid w:val="00BC3C79"/>
    <w:rsid w:val="00BD3F87"/>
    <w:rsid w:val="00BE1ADD"/>
    <w:rsid w:val="00BF048A"/>
    <w:rsid w:val="00BF1441"/>
    <w:rsid w:val="00BF1FD9"/>
    <w:rsid w:val="00BF20F7"/>
    <w:rsid w:val="00BF757C"/>
    <w:rsid w:val="00C057E3"/>
    <w:rsid w:val="00C14692"/>
    <w:rsid w:val="00C15F62"/>
    <w:rsid w:val="00C1797C"/>
    <w:rsid w:val="00C228FB"/>
    <w:rsid w:val="00C279E0"/>
    <w:rsid w:val="00C27CBA"/>
    <w:rsid w:val="00C3170F"/>
    <w:rsid w:val="00C351BA"/>
    <w:rsid w:val="00C36A04"/>
    <w:rsid w:val="00C37296"/>
    <w:rsid w:val="00C46D67"/>
    <w:rsid w:val="00C4739D"/>
    <w:rsid w:val="00C608FB"/>
    <w:rsid w:val="00C62FDE"/>
    <w:rsid w:val="00C70408"/>
    <w:rsid w:val="00C73EA1"/>
    <w:rsid w:val="00C8005B"/>
    <w:rsid w:val="00CA3B09"/>
    <w:rsid w:val="00CA3C2D"/>
    <w:rsid w:val="00CA546E"/>
    <w:rsid w:val="00CB379C"/>
    <w:rsid w:val="00CC5F97"/>
    <w:rsid w:val="00CD0B20"/>
    <w:rsid w:val="00CD0D15"/>
    <w:rsid w:val="00CD7F47"/>
    <w:rsid w:val="00CE1F95"/>
    <w:rsid w:val="00CE302D"/>
    <w:rsid w:val="00CF07F5"/>
    <w:rsid w:val="00CF2B02"/>
    <w:rsid w:val="00D0462F"/>
    <w:rsid w:val="00D06EF9"/>
    <w:rsid w:val="00D07653"/>
    <w:rsid w:val="00D21587"/>
    <w:rsid w:val="00D23A9B"/>
    <w:rsid w:val="00D242FF"/>
    <w:rsid w:val="00D26EF0"/>
    <w:rsid w:val="00D32952"/>
    <w:rsid w:val="00D50FB2"/>
    <w:rsid w:val="00D53457"/>
    <w:rsid w:val="00D550D1"/>
    <w:rsid w:val="00D563E7"/>
    <w:rsid w:val="00D65BE5"/>
    <w:rsid w:val="00D708A6"/>
    <w:rsid w:val="00D72B63"/>
    <w:rsid w:val="00D769CC"/>
    <w:rsid w:val="00D76EAB"/>
    <w:rsid w:val="00D80967"/>
    <w:rsid w:val="00D80B33"/>
    <w:rsid w:val="00D83362"/>
    <w:rsid w:val="00D94419"/>
    <w:rsid w:val="00D95B53"/>
    <w:rsid w:val="00D95F70"/>
    <w:rsid w:val="00D97A37"/>
    <w:rsid w:val="00DA0A7F"/>
    <w:rsid w:val="00DA37CC"/>
    <w:rsid w:val="00DA5DE6"/>
    <w:rsid w:val="00DB2506"/>
    <w:rsid w:val="00DC298B"/>
    <w:rsid w:val="00DD038E"/>
    <w:rsid w:val="00DD1459"/>
    <w:rsid w:val="00DD6029"/>
    <w:rsid w:val="00DE201B"/>
    <w:rsid w:val="00DE324D"/>
    <w:rsid w:val="00DE67ED"/>
    <w:rsid w:val="00DF2365"/>
    <w:rsid w:val="00DF6184"/>
    <w:rsid w:val="00DF68D3"/>
    <w:rsid w:val="00DF7624"/>
    <w:rsid w:val="00E03255"/>
    <w:rsid w:val="00E12021"/>
    <w:rsid w:val="00E1232F"/>
    <w:rsid w:val="00E12536"/>
    <w:rsid w:val="00E277D8"/>
    <w:rsid w:val="00E3698C"/>
    <w:rsid w:val="00E41A27"/>
    <w:rsid w:val="00E47240"/>
    <w:rsid w:val="00E55AF4"/>
    <w:rsid w:val="00E55CE5"/>
    <w:rsid w:val="00E603EF"/>
    <w:rsid w:val="00E80140"/>
    <w:rsid w:val="00E84254"/>
    <w:rsid w:val="00E91DA4"/>
    <w:rsid w:val="00E9668E"/>
    <w:rsid w:val="00EA28EC"/>
    <w:rsid w:val="00EA3584"/>
    <w:rsid w:val="00EB2859"/>
    <w:rsid w:val="00EC145C"/>
    <w:rsid w:val="00EC2C6C"/>
    <w:rsid w:val="00EC4A53"/>
    <w:rsid w:val="00ED1D1A"/>
    <w:rsid w:val="00ED4624"/>
    <w:rsid w:val="00ED4DDC"/>
    <w:rsid w:val="00ED6F88"/>
    <w:rsid w:val="00EE3210"/>
    <w:rsid w:val="00EE5438"/>
    <w:rsid w:val="00EF0961"/>
    <w:rsid w:val="00EF421E"/>
    <w:rsid w:val="00EF4460"/>
    <w:rsid w:val="00F001B9"/>
    <w:rsid w:val="00F0065C"/>
    <w:rsid w:val="00F02A52"/>
    <w:rsid w:val="00F02A68"/>
    <w:rsid w:val="00F0625C"/>
    <w:rsid w:val="00F07605"/>
    <w:rsid w:val="00F15CC8"/>
    <w:rsid w:val="00F26E28"/>
    <w:rsid w:val="00F276D7"/>
    <w:rsid w:val="00F31A5E"/>
    <w:rsid w:val="00F31B5F"/>
    <w:rsid w:val="00F31E4B"/>
    <w:rsid w:val="00F34AC9"/>
    <w:rsid w:val="00F450E1"/>
    <w:rsid w:val="00F51E2D"/>
    <w:rsid w:val="00F54AC1"/>
    <w:rsid w:val="00F56618"/>
    <w:rsid w:val="00F609BB"/>
    <w:rsid w:val="00F64825"/>
    <w:rsid w:val="00F66EAF"/>
    <w:rsid w:val="00F75171"/>
    <w:rsid w:val="00F81EC4"/>
    <w:rsid w:val="00F82D3E"/>
    <w:rsid w:val="00F8599E"/>
    <w:rsid w:val="00F86031"/>
    <w:rsid w:val="00F8771A"/>
    <w:rsid w:val="00F92326"/>
    <w:rsid w:val="00F94A0A"/>
    <w:rsid w:val="00F96F00"/>
    <w:rsid w:val="00FA33C3"/>
    <w:rsid w:val="00FA3FB9"/>
    <w:rsid w:val="00FB12D2"/>
    <w:rsid w:val="00FB3075"/>
    <w:rsid w:val="00FC1A5E"/>
    <w:rsid w:val="00FD6F70"/>
    <w:rsid w:val="00FD7305"/>
    <w:rsid w:val="00FD73AE"/>
    <w:rsid w:val="00FD73D3"/>
    <w:rsid w:val="00FE3725"/>
    <w:rsid w:val="00FE659C"/>
    <w:rsid w:val="00FE7705"/>
    <w:rsid w:val="00FE7A72"/>
    <w:rsid w:val="00FF0018"/>
    <w:rsid w:val="00FF11CD"/>
    <w:rsid w:val="00FF377F"/>
    <w:rsid w:val="00FF3C0C"/>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CAF25"/>
  <w15:docId w15:val="{20F53437-93F9-459C-A4E9-EFACEFE7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rPr>
      <w:sz w:val="24"/>
    </w:rPr>
  </w:style>
  <w:style w:type="character" w:customStyle="1" w:styleId="BodyTextChar">
    <w:name w:val="Body Text Char"/>
    <w:link w:val="BodyText"/>
    <w:uiPriority w:val="99"/>
    <w:locked/>
    <w:rPr>
      <w:rFonts w:cs="Times New Roman"/>
      <w:sz w:val="24"/>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ableText">
    <w:name w:val="Table Text"/>
    <w:uiPriority w:val="99"/>
    <w:rPr>
      <w:rFonts w:ascii="Arial Narrow" w:hAnsi="Arial Narrow"/>
      <w:color w:val="000000"/>
      <w:sz w:val="24"/>
    </w:rPr>
  </w:style>
  <w:style w:type="character" w:styleId="Emphasis">
    <w:name w:val="Emphasis"/>
    <w:uiPriority w:val="99"/>
    <w:qFormat/>
    <w:rPr>
      <w:rFonts w:cs="Times New Roman"/>
      <w:b/>
    </w:rPr>
  </w:style>
  <w:style w:type="character" w:styleId="FollowedHyperlink">
    <w:name w:val="FollowedHyperlink"/>
    <w:uiPriority w:val="99"/>
    <w:rPr>
      <w:rFonts w:cs="Times New Roman"/>
      <w:color w:val="800080"/>
      <w:u w:val="single"/>
    </w:rPr>
  </w:style>
  <w:style w:type="paragraph" w:customStyle="1" w:styleId="DefaultText">
    <w:name w:val="Default Text"/>
    <w:basedOn w:val="Normal"/>
    <w:rPr>
      <w:noProof/>
      <w:sz w:val="24"/>
    </w:rPr>
  </w:style>
  <w:style w:type="character" w:customStyle="1" w:styleId="apple-style-span">
    <w:name w:val="apple-style-span"/>
    <w:uiPriority w:val="99"/>
    <w:rPr>
      <w:rFonts w:cs="Times New Roman"/>
    </w:rPr>
  </w:style>
  <w:style w:type="paragraph" w:styleId="CommentText">
    <w:name w:val="annotation text"/>
    <w:basedOn w:val="Normal"/>
    <w:link w:val="CommentTextChar"/>
    <w:uiPriority w:val="99"/>
    <w:pPr>
      <w:spacing w:after="160"/>
      <w:jc w:val="both"/>
    </w:pPr>
    <w:rPr>
      <w:rFonts w:ascii="Calibri" w:hAnsi="Calibri"/>
      <w:color w:val="5A5A5A"/>
    </w:rPr>
  </w:style>
  <w:style w:type="character" w:customStyle="1" w:styleId="CommentTextChar">
    <w:name w:val="Comment Text Char"/>
    <w:link w:val="CommentText"/>
    <w:uiPriority w:val="99"/>
    <w:locked/>
    <w:rPr>
      <w:rFonts w:ascii="Calibri" w:hAnsi="Calibri" w:cs="Times New Roman"/>
      <w:color w:val="5A5A5A"/>
    </w:rPr>
  </w:style>
  <w:style w:type="character" w:styleId="PageNumber">
    <w:name w:val="page number"/>
    <w:rPr>
      <w:rFonts w:cs="Times New Roman"/>
    </w:rPr>
  </w:style>
  <w:style w:type="character" w:styleId="CommentReference">
    <w:name w:val="annotation reference"/>
    <w:basedOn w:val="DefaultParagraphFont"/>
    <w:uiPriority w:val="99"/>
    <w:semiHidden/>
    <w:unhideWhenUsed/>
    <w:rsid w:val="00685390"/>
    <w:rPr>
      <w:sz w:val="16"/>
      <w:szCs w:val="16"/>
    </w:rPr>
  </w:style>
  <w:style w:type="paragraph" w:styleId="CommentSubject">
    <w:name w:val="annotation subject"/>
    <w:basedOn w:val="CommentText"/>
    <w:next w:val="CommentText"/>
    <w:link w:val="CommentSubjectChar"/>
    <w:uiPriority w:val="99"/>
    <w:semiHidden/>
    <w:unhideWhenUsed/>
    <w:rsid w:val="00685390"/>
    <w:pPr>
      <w:spacing w:after="0"/>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rsid w:val="00685390"/>
    <w:rPr>
      <w:rFonts w:ascii="Calibri" w:hAnsi="Calibri" w:cs="Times New Roman"/>
      <w:b/>
      <w:bCs/>
      <w:color w:val="5A5A5A"/>
    </w:rPr>
  </w:style>
  <w:style w:type="paragraph" w:styleId="Revision">
    <w:name w:val="Revision"/>
    <w:hidden/>
    <w:uiPriority w:val="99"/>
    <w:semiHidden/>
    <w:rsid w:val="00685390"/>
  </w:style>
  <w:style w:type="paragraph" w:styleId="ListParagraph">
    <w:name w:val="List Paragraph"/>
    <w:basedOn w:val="Normal"/>
    <w:uiPriority w:val="34"/>
    <w:qFormat/>
    <w:rsid w:val="00F94A0A"/>
    <w:pPr>
      <w:ind w:left="720"/>
      <w:contextualSpacing/>
    </w:pPr>
  </w:style>
  <w:style w:type="paragraph" w:styleId="BodyTextIndent2">
    <w:name w:val="Body Text Indent 2"/>
    <w:basedOn w:val="Normal"/>
    <w:link w:val="BodyTextIndent2Char"/>
    <w:uiPriority w:val="99"/>
    <w:unhideWhenUsed/>
    <w:rsid w:val="00B25A44"/>
    <w:pPr>
      <w:spacing w:after="120" w:line="480" w:lineRule="auto"/>
      <w:ind w:left="360"/>
    </w:pPr>
  </w:style>
  <w:style w:type="character" w:customStyle="1" w:styleId="BodyTextIndent2Char">
    <w:name w:val="Body Text Indent 2 Char"/>
    <w:basedOn w:val="DefaultParagraphFont"/>
    <w:link w:val="BodyTextIndent2"/>
    <w:uiPriority w:val="99"/>
    <w:rsid w:val="00B25A44"/>
  </w:style>
  <w:style w:type="paragraph" w:styleId="BodyTextIndent3">
    <w:name w:val="Body Text Indent 3"/>
    <w:basedOn w:val="Normal"/>
    <w:link w:val="BodyTextIndent3Char"/>
    <w:uiPriority w:val="99"/>
    <w:unhideWhenUsed/>
    <w:rsid w:val="00CE1F95"/>
    <w:pPr>
      <w:spacing w:after="120"/>
      <w:ind w:left="360"/>
    </w:pPr>
    <w:rPr>
      <w:sz w:val="16"/>
      <w:szCs w:val="16"/>
    </w:rPr>
  </w:style>
  <w:style w:type="character" w:customStyle="1" w:styleId="BodyTextIndent3Char">
    <w:name w:val="Body Text Indent 3 Char"/>
    <w:basedOn w:val="DefaultParagraphFont"/>
    <w:link w:val="BodyTextIndent3"/>
    <w:uiPriority w:val="99"/>
    <w:rsid w:val="00CE1F95"/>
    <w:rPr>
      <w:sz w:val="16"/>
      <w:szCs w:val="16"/>
    </w:rPr>
  </w:style>
  <w:style w:type="paragraph" w:customStyle="1" w:styleId="GISBDefParaSecondlineIndent">
    <w:name w:val="GISB Def Para Secondline Indent"/>
    <w:basedOn w:val="Normal"/>
    <w:rsid w:val="005A0BFC"/>
    <w:pPr>
      <w:keepLines/>
      <w:widowControl w:val="0"/>
      <w:tabs>
        <w:tab w:val="left" w:pos="900"/>
      </w:tabs>
      <w:spacing w:before="240"/>
      <w:ind w:left="907" w:hanging="907"/>
      <w:jc w:val="both"/>
    </w:pPr>
    <w:rPr>
      <w:rFonts w:ascii="Arial" w:hAnsi="Arial"/>
      <w:snapToGrid w:val="0"/>
      <w:color w:val="000000"/>
      <w:sz w:val="22"/>
    </w:rPr>
  </w:style>
  <w:style w:type="paragraph" w:styleId="BodyTextIndent">
    <w:name w:val="Body Text Indent"/>
    <w:basedOn w:val="Normal"/>
    <w:link w:val="BodyTextIndentChar"/>
    <w:uiPriority w:val="99"/>
    <w:semiHidden/>
    <w:unhideWhenUsed/>
    <w:rsid w:val="00BF757C"/>
    <w:pPr>
      <w:spacing w:after="120"/>
      <w:ind w:left="360"/>
    </w:pPr>
  </w:style>
  <w:style w:type="character" w:customStyle="1" w:styleId="BodyTextIndentChar">
    <w:name w:val="Body Text Indent Char"/>
    <w:basedOn w:val="DefaultParagraphFont"/>
    <w:link w:val="BodyTextIndent"/>
    <w:uiPriority w:val="99"/>
    <w:semiHidden/>
    <w:rsid w:val="00BF757C"/>
  </w:style>
  <w:style w:type="paragraph" w:styleId="BodyText2">
    <w:name w:val="Body Text 2"/>
    <w:basedOn w:val="Normal"/>
    <w:link w:val="BodyText2Char"/>
    <w:uiPriority w:val="99"/>
    <w:semiHidden/>
    <w:unhideWhenUsed/>
    <w:rsid w:val="007A3F43"/>
    <w:pPr>
      <w:spacing w:after="120" w:line="480" w:lineRule="auto"/>
    </w:pPr>
  </w:style>
  <w:style w:type="character" w:customStyle="1" w:styleId="BodyText2Char">
    <w:name w:val="Body Text 2 Char"/>
    <w:basedOn w:val="DefaultParagraphFont"/>
    <w:link w:val="BodyText2"/>
    <w:uiPriority w:val="99"/>
    <w:semiHidden/>
    <w:rsid w:val="007A3F43"/>
  </w:style>
  <w:style w:type="paragraph" w:styleId="FootnoteText">
    <w:name w:val="footnote text"/>
    <w:basedOn w:val="Normal"/>
    <w:link w:val="FootnoteTextChar"/>
    <w:uiPriority w:val="99"/>
    <w:semiHidden/>
    <w:unhideWhenUsed/>
    <w:rsid w:val="00440D9D"/>
  </w:style>
  <w:style w:type="character" w:customStyle="1" w:styleId="FootnoteTextChar">
    <w:name w:val="Footnote Text Char"/>
    <w:basedOn w:val="DefaultParagraphFont"/>
    <w:link w:val="FootnoteText"/>
    <w:uiPriority w:val="99"/>
    <w:semiHidden/>
    <w:rsid w:val="00440D9D"/>
  </w:style>
  <w:style w:type="character" w:styleId="FootnoteReference">
    <w:name w:val="footnote reference"/>
    <w:basedOn w:val="DefaultParagraphFont"/>
    <w:uiPriority w:val="99"/>
    <w:semiHidden/>
    <w:unhideWhenUsed/>
    <w:rsid w:val="00440D9D"/>
    <w:rPr>
      <w:vertAlign w:val="superscript"/>
    </w:rPr>
  </w:style>
  <w:style w:type="character" w:styleId="UnresolvedMention">
    <w:name w:val="Unresolved Mention"/>
    <w:basedOn w:val="DefaultParagraphFont"/>
    <w:uiPriority w:val="99"/>
    <w:semiHidden/>
    <w:unhideWhenUsed/>
    <w:rsid w:val="00440D9D"/>
    <w:rPr>
      <w:color w:val="605E5C"/>
      <w:shd w:val="clear" w:color="auto" w:fill="E1DFDD"/>
    </w:rPr>
  </w:style>
  <w:style w:type="table" w:styleId="TableGrid">
    <w:name w:val="Table Grid"/>
    <w:basedOn w:val="TableNormal"/>
    <w:locked/>
    <w:rsid w:val="00817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1">
    <w:name w:val="Heading 31"/>
    <w:basedOn w:val="DefaultParagraphFont"/>
    <w:rsid w:val="006C0F72"/>
    <w:rPr>
      <w:rFonts w:ascii="Univers" w:hAnsi="Univers"/>
      <w:sz w:val="24"/>
    </w:rPr>
  </w:style>
  <w:style w:type="paragraph" w:styleId="NormalWeb">
    <w:name w:val="Normal (Web)"/>
    <w:basedOn w:val="Normal"/>
    <w:unhideWhenUsed/>
    <w:rsid w:val="00D563E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526631">
      <w:bodyDiv w:val="1"/>
      <w:marLeft w:val="0"/>
      <w:marRight w:val="0"/>
      <w:marTop w:val="0"/>
      <w:marBottom w:val="0"/>
      <w:divBdr>
        <w:top w:val="none" w:sz="0" w:space="0" w:color="auto"/>
        <w:left w:val="none" w:sz="0" w:space="0" w:color="auto"/>
        <w:bottom w:val="none" w:sz="0" w:space="0" w:color="auto"/>
        <w:right w:val="none" w:sz="0" w:space="0" w:color="auto"/>
      </w:divBdr>
    </w:div>
    <w:div w:id="641426462">
      <w:marLeft w:val="0"/>
      <w:marRight w:val="0"/>
      <w:marTop w:val="0"/>
      <w:marBottom w:val="0"/>
      <w:divBdr>
        <w:top w:val="none" w:sz="0" w:space="0" w:color="auto"/>
        <w:left w:val="none" w:sz="0" w:space="0" w:color="auto"/>
        <w:bottom w:val="none" w:sz="0" w:space="0" w:color="auto"/>
        <w:right w:val="none" w:sz="0" w:space="0" w:color="auto"/>
      </w:divBdr>
    </w:div>
    <w:div w:id="641426463">
      <w:marLeft w:val="0"/>
      <w:marRight w:val="0"/>
      <w:marTop w:val="0"/>
      <w:marBottom w:val="0"/>
      <w:divBdr>
        <w:top w:val="none" w:sz="0" w:space="0" w:color="auto"/>
        <w:left w:val="none" w:sz="0" w:space="0" w:color="auto"/>
        <w:bottom w:val="none" w:sz="0" w:space="0" w:color="auto"/>
        <w:right w:val="none" w:sz="0" w:space="0" w:color="auto"/>
      </w:divBdr>
    </w:div>
    <w:div w:id="641426464">
      <w:marLeft w:val="0"/>
      <w:marRight w:val="0"/>
      <w:marTop w:val="0"/>
      <w:marBottom w:val="0"/>
      <w:divBdr>
        <w:top w:val="none" w:sz="0" w:space="0" w:color="auto"/>
        <w:left w:val="none" w:sz="0" w:space="0" w:color="auto"/>
        <w:bottom w:val="none" w:sz="0" w:space="0" w:color="auto"/>
        <w:right w:val="none" w:sz="0" w:space="0" w:color="auto"/>
      </w:divBdr>
    </w:div>
    <w:div w:id="641426465">
      <w:marLeft w:val="0"/>
      <w:marRight w:val="0"/>
      <w:marTop w:val="0"/>
      <w:marBottom w:val="0"/>
      <w:divBdr>
        <w:top w:val="none" w:sz="0" w:space="0" w:color="auto"/>
        <w:left w:val="none" w:sz="0" w:space="0" w:color="auto"/>
        <w:bottom w:val="none" w:sz="0" w:space="0" w:color="auto"/>
        <w:right w:val="none" w:sz="0" w:space="0" w:color="auto"/>
      </w:divBdr>
    </w:div>
    <w:div w:id="641426466">
      <w:marLeft w:val="0"/>
      <w:marRight w:val="0"/>
      <w:marTop w:val="0"/>
      <w:marBottom w:val="0"/>
      <w:divBdr>
        <w:top w:val="none" w:sz="0" w:space="0" w:color="auto"/>
        <w:left w:val="none" w:sz="0" w:space="0" w:color="auto"/>
        <w:bottom w:val="none" w:sz="0" w:space="0" w:color="auto"/>
        <w:right w:val="none" w:sz="0" w:space="0" w:color="auto"/>
      </w:divBdr>
    </w:div>
    <w:div w:id="641426467">
      <w:marLeft w:val="0"/>
      <w:marRight w:val="0"/>
      <w:marTop w:val="0"/>
      <w:marBottom w:val="0"/>
      <w:divBdr>
        <w:top w:val="none" w:sz="0" w:space="0" w:color="auto"/>
        <w:left w:val="none" w:sz="0" w:space="0" w:color="auto"/>
        <w:bottom w:val="none" w:sz="0" w:space="0" w:color="auto"/>
        <w:right w:val="none" w:sz="0" w:space="0" w:color="auto"/>
      </w:divBdr>
    </w:div>
    <w:div w:id="1302928615">
      <w:bodyDiv w:val="1"/>
      <w:marLeft w:val="0"/>
      <w:marRight w:val="0"/>
      <w:marTop w:val="0"/>
      <w:marBottom w:val="0"/>
      <w:divBdr>
        <w:top w:val="none" w:sz="0" w:space="0" w:color="auto"/>
        <w:left w:val="none" w:sz="0" w:space="0" w:color="auto"/>
        <w:bottom w:val="none" w:sz="0" w:space="0" w:color="auto"/>
        <w:right w:val="none" w:sz="0" w:space="0" w:color="auto"/>
      </w:divBdr>
    </w:div>
    <w:div w:id="1351640887">
      <w:bodyDiv w:val="1"/>
      <w:marLeft w:val="0"/>
      <w:marRight w:val="0"/>
      <w:marTop w:val="0"/>
      <w:marBottom w:val="0"/>
      <w:divBdr>
        <w:top w:val="none" w:sz="0" w:space="0" w:color="auto"/>
        <w:left w:val="none" w:sz="0" w:space="0" w:color="auto"/>
        <w:bottom w:val="none" w:sz="0" w:space="0" w:color="auto"/>
        <w:right w:val="none" w:sz="0" w:space="0" w:color="auto"/>
      </w:divBdr>
    </w:div>
    <w:div w:id="1672637654">
      <w:bodyDiv w:val="1"/>
      <w:marLeft w:val="0"/>
      <w:marRight w:val="0"/>
      <w:marTop w:val="0"/>
      <w:marBottom w:val="0"/>
      <w:divBdr>
        <w:top w:val="none" w:sz="0" w:space="0" w:color="auto"/>
        <w:left w:val="none" w:sz="0" w:space="0" w:color="auto"/>
        <w:bottom w:val="none" w:sz="0" w:space="0" w:color="auto"/>
        <w:right w:val="none" w:sz="0" w:space="0" w:color="auto"/>
      </w:divBdr>
    </w:div>
    <w:div w:id="1735473508">
      <w:bodyDiv w:val="1"/>
      <w:marLeft w:val="0"/>
      <w:marRight w:val="0"/>
      <w:marTop w:val="0"/>
      <w:marBottom w:val="0"/>
      <w:divBdr>
        <w:top w:val="none" w:sz="0" w:space="0" w:color="auto"/>
        <w:left w:val="none" w:sz="0" w:space="0" w:color="auto"/>
        <w:bottom w:val="none" w:sz="0" w:space="0" w:color="auto"/>
        <w:right w:val="none" w:sz="0" w:space="0" w:color="auto"/>
      </w:divBdr>
    </w:div>
    <w:div w:id="1760178557">
      <w:bodyDiv w:val="1"/>
      <w:marLeft w:val="0"/>
      <w:marRight w:val="0"/>
      <w:marTop w:val="0"/>
      <w:marBottom w:val="0"/>
      <w:divBdr>
        <w:top w:val="none" w:sz="0" w:space="0" w:color="auto"/>
        <w:left w:val="none" w:sz="0" w:space="0" w:color="auto"/>
        <w:bottom w:val="none" w:sz="0" w:space="0" w:color="auto"/>
        <w:right w:val="none" w:sz="0" w:space="0" w:color="auto"/>
      </w:divBdr>
    </w:div>
    <w:div w:id="1894923313">
      <w:bodyDiv w:val="1"/>
      <w:marLeft w:val="0"/>
      <w:marRight w:val="0"/>
      <w:marTop w:val="0"/>
      <w:marBottom w:val="0"/>
      <w:divBdr>
        <w:top w:val="none" w:sz="0" w:space="0" w:color="auto"/>
        <w:left w:val="none" w:sz="0" w:space="0" w:color="auto"/>
        <w:bottom w:val="none" w:sz="0" w:space="0" w:color="auto"/>
        <w:right w:val="none" w:sz="0" w:space="0" w:color="auto"/>
      </w:divBdr>
    </w:div>
    <w:div w:id="1950352208">
      <w:bodyDiv w:val="1"/>
      <w:marLeft w:val="0"/>
      <w:marRight w:val="0"/>
      <w:marTop w:val="0"/>
      <w:marBottom w:val="0"/>
      <w:divBdr>
        <w:top w:val="none" w:sz="0" w:space="0" w:color="auto"/>
        <w:left w:val="none" w:sz="0" w:space="0" w:color="auto"/>
        <w:bottom w:val="none" w:sz="0" w:space="0" w:color="auto"/>
        <w:right w:val="none" w:sz="0" w:space="0" w:color="auto"/>
      </w:divBdr>
    </w:div>
    <w:div w:id="1981764139">
      <w:bodyDiv w:val="1"/>
      <w:marLeft w:val="0"/>
      <w:marRight w:val="0"/>
      <w:marTop w:val="0"/>
      <w:marBottom w:val="0"/>
      <w:divBdr>
        <w:top w:val="none" w:sz="0" w:space="0" w:color="auto"/>
        <w:left w:val="none" w:sz="0" w:space="0" w:color="auto"/>
        <w:bottom w:val="none" w:sz="0" w:space="0" w:color="auto"/>
        <w:right w:val="none" w:sz="0" w:space="0" w:color="auto"/>
      </w:divBdr>
    </w:div>
    <w:div w:id="2023966136">
      <w:bodyDiv w:val="1"/>
      <w:marLeft w:val="0"/>
      <w:marRight w:val="0"/>
      <w:marTop w:val="0"/>
      <w:marBottom w:val="0"/>
      <w:divBdr>
        <w:top w:val="none" w:sz="0" w:space="0" w:color="auto"/>
        <w:left w:val="none" w:sz="0" w:space="0" w:color="auto"/>
        <w:bottom w:val="none" w:sz="0" w:space="0" w:color="auto"/>
        <w:right w:val="none" w:sz="0" w:space="0" w:color="auto"/>
      </w:divBdr>
    </w:div>
    <w:div w:id="2071343857">
      <w:bodyDiv w:val="1"/>
      <w:marLeft w:val="0"/>
      <w:marRight w:val="0"/>
      <w:marTop w:val="0"/>
      <w:marBottom w:val="0"/>
      <w:divBdr>
        <w:top w:val="none" w:sz="0" w:space="0" w:color="auto"/>
        <w:left w:val="none" w:sz="0" w:space="0" w:color="auto"/>
        <w:bottom w:val="none" w:sz="0" w:space="0" w:color="auto"/>
        <w:right w:val="none" w:sz="0" w:space="0" w:color="auto"/>
      </w:divBdr>
    </w:div>
    <w:div w:id="20868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aesb.org/pdf4/bd120612a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bd120612a3.docx" TargetMode="External"/><Relationship Id="rId17" Type="http://schemas.openxmlformats.org/officeDocument/2006/relationships/hyperlink" Target="https://naesb.org/pdf4/bd120612a2.docx" TargetMode="External"/><Relationship Id="rId2" Type="http://schemas.openxmlformats.org/officeDocument/2006/relationships/numbering" Target="numbering.xml"/><Relationship Id="rId16" Type="http://schemas.openxmlformats.org/officeDocument/2006/relationships/hyperlink" Target="https://naesb.org/pdf4/bd120612a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bd120612a2.docx" TargetMode="External"/><Relationship Id="rId5" Type="http://schemas.openxmlformats.org/officeDocument/2006/relationships/webSettings" Target="webSettings.xml"/><Relationship Id="rId15" Type="http://schemas.openxmlformats.org/officeDocument/2006/relationships/hyperlink" Target="https://naesb.org/pdf4/bd120612a2.docx" TargetMode="External"/><Relationship Id="rId10" Type="http://schemas.openxmlformats.org/officeDocument/2006/relationships/hyperlink" Target="https://naesb.org/pdf4/bd120612a3.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aesb.org/pdf4/bd120612a3.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C38E3-41B5-4401-9670-48DDB1DB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3922</TotalTime>
  <Pages>9</Pages>
  <Words>3769</Words>
  <Characters>21486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Jonathan Booe</cp:lastModifiedBy>
  <cp:revision>8</cp:revision>
  <cp:lastPrinted>2021-08-11T20:50:00Z</cp:lastPrinted>
  <dcterms:created xsi:type="dcterms:W3CDTF">2021-08-11T21:31:00Z</dcterms:created>
  <dcterms:modified xsi:type="dcterms:W3CDTF">2021-08-14T18:09:00Z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