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46181" w14:textId="77777777" w:rsidR="00B71822" w:rsidRPr="00B71822" w:rsidRDefault="00B71822" w:rsidP="00B71822">
      <w:pPr>
        <w:ind w:left="1440" w:hanging="1440"/>
        <w:jc w:val="right"/>
        <w:rPr>
          <w:rFonts w:ascii="Times New Roman" w:hAnsi="Times New Roman"/>
          <w:bCs/>
        </w:rPr>
      </w:pPr>
      <w:bookmarkStart w:id="0" w:name="_Hlk113280443"/>
      <w:bookmarkStart w:id="1" w:name="_Hlk140064110"/>
      <w:r w:rsidRPr="00B71822">
        <w:rPr>
          <w:rFonts w:ascii="Times New Roman" w:hAnsi="Times New Roman"/>
          <w:bCs/>
        </w:rPr>
        <w:t>Via email and posting</w:t>
      </w:r>
    </w:p>
    <w:p w14:paraId="6F4D5B11" w14:textId="445030E5" w:rsidR="00B71822" w:rsidRPr="00B71822" w:rsidRDefault="00924D3A" w:rsidP="00B71822">
      <w:pPr>
        <w:tabs>
          <w:tab w:val="left" w:pos="0"/>
        </w:tabs>
        <w:spacing w:before="120"/>
        <w:jc w:val="right"/>
        <w:rPr>
          <w:rFonts w:ascii="Times New Roman" w:hAnsi="Times New Roman"/>
          <w:bCs/>
        </w:rPr>
      </w:pPr>
      <w:bookmarkStart w:id="2" w:name="_Hlk113308370"/>
      <w:r>
        <w:rPr>
          <w:rFonts w:ascii="Times New Roman" w:hAnsi="Times New Roman"/>
          <w:bCs/>
        </w:rPr>
        <w:t>July 13</w:t>
      </w:r>
      <w:r w:rsidR="00B71822" w:rsidRPr="00B71822">
        <w:rPr>
          <w:rFonts w:ascii="Times New Roman" w:hAnsi="Times New Roman"/>
          <w:bCs/>
        </w:rPr>
        <w:t>, 2023</w:t>
      </w:r>
    </w:p>
    <w:bookmarkEnd w:id="2"/>
    <w:p w14:paraId="05AB86C7" w14:textId="36464ECA" w:rsidR="00B71822" w:rsidRDefault="00B71822" w:rsidP="0049206D">
      <w:pPr>
        <w:tabs>
          <w:tab w:val="left" w:pos="0"/>
        </w:tabs>
        <w:spacing w:before="120" w:after="120"/>
        <w:jc w:val="both"/>
        <w:rPr>
          <w:rFonts w:ascii="Times New Roman" w:hAnsi="Times New Roman"/>
          <w:bCs/>
        </w:rPr>
      </w:pPr>
      <w:r w:rsidRPr="00B71822">
        <w:rPr>
          <w:rFonts w:ascii="Times New Roman" w:hAnsi="Times New Roman"/>
          <w:bCs/>
        </w:rPr>
        <w:t>Dear</w:t>
      </w:r>
      <w:r w:rsidR="00924D3A">
        <w:rPr>
          <w:rFonts w:ascii="Times New Roman" w:hAnsi="Times New Roman"/>
          <w:bCs/>
        </w:rPr>
        <w:t xml:space="preserve"> </w:t>
      </w:r>
      <w:r w:rsidR="00B82167">
        <w:rPr>
          <w:rFonts w:ascii="Times New Roman" w:hAnsi="Times New Roman"/>
          <w:bCs/>
        </w:rPr>
        <w:t xml:space="preserve">NAESB GEH </w:t>
      </w:r>
      <w:r w:rsidRPr="00B71822">
        <w:rPr>
          <w:rFonts w:ascii="Times New Roman" w:hAnsi="Times New Roman"/>
          <w:bCs/>
        </w:rPr>
        <w:t>Forum Participants,</w:t>
      </w:r>
    </w:p>
    <w:p w14:paraId="7834A54C" w14:textId="312D8604" w:rsidR="00ED3373" w:rsidRDefault="00924D3A" w:rsidP="000D2094">
      <w:pPr>
        <w:rPr>
          <w:rFonts w:ascii="Times New Roman" w:hAnsi="Times New Roman"/>
        </w:rPr>
      </w:pPr>
      <w:r>
        <w:rPr>
          <w:rFonts w:ascii="Times New Roman" w:hAnsi="Times New Roman"/>
        </w:rPr>
        <w:t xml:space="preserve">First, on behalf of NAESB and the Chairs of the Gas Electric Harmonization (GEH) Forum, thank you for your participation in this process over the last eleven months and </w:t>
      </w:r>
      <w:r w:rsidR="00B1573B">
        <w:rPr>
          <w:rFonts w:ascii="Times New Roman" w:hAnsi="Times New Roman"/>
        </w:rPr>
        <w:t xml:space="preserve">for </w:t>
      </w:r>
      <w:r>
        <w:rPr>
          <w:rFonts w:ascii="Times New Roman" w:hAnsi="Times New Roman"/>
        </w:rPr>
        <w:t xml:space="preserve">your dedication to providing your ideas and perspectives </w:t>
      </w:r>
      <w:r w:rsidR="00B1573B">
        <w:rPr>
          <w:rFonts w:ascii="Times New Roman" w:hAnsi="Times New Roman"/>
        </w:rPr>
        <w:t>concerning potential</w:t>
      </w:r>
      <w:r>
        <w:rPr>
          <w:rFonts w:ascii="Times New Roman" w:hAnsi="Times New Roman"/>
        </w:rPr>
        <w:t xml:space="preserve"> actions that</w:t>
      </w:r>
      <w:r w:rsidR="00B1573B">
        <w:rPr>
          <w:rFonts w:ascii="Times New Roman" w:hAnsi="Times New Roman"/>
        </w:rPr>
        <w:t xml:space="preserve"> can be taken to strengthen the reliability of the bulk electric system as the natural gas and electric industries become increasingly interdependent.  </w:t>
      </w:r>
      <w:r w:rsidR="00FE785F">
        <w:rPr>
          <w:rFonts w:ascii="Times New Roman" w:hAnsi="Times New Roman"/>
        </w:rPr>
        <w:t xml:space="preserve">As part of </w:t>
      </w:r>
      <w:r w:rsidR="00B1573B">
        <w:rPr>
          <w:rFonts w:ascii="Times New Roman" w:hAnsi="Times New Roman"/>
        </w:rPr>
        <w:t>this process, hundreds of recommendations for potential action</w:t>
      </w:r>
      <w:r w:rsidR="00ED3373">
        <w:rPr>
          <w:rFonts w:ascii="Times New Roman" w:hAnsi="Times New Roman"/>
        </w:rPr>
        <w:t>s</w:t>
      </w:r>
      <w:r w:rsidR="00B1573B">
        <w:rPr>
          <w:rFonts w:ascii="Times New Roman" w:hAnsi="Times New Roman"/>
        </w:rPr>
        <w:t xml:space="preserve"> have been offered and discussed through</w:t>
      </w:r>
      <w:r w:rsidR="00FE785F">
        <w:rPr>
          <w:rFonts w:ascii="Times New Roman" w:hAnsi="Times New Roman"/>
        </w:rPr>
        <w:t>out</w:t>
      </w:r>
      <w:r w:rsidR="00B1573B">
        <w:rPr>
          <w:rFonts w:ascii="Times New Roman" w:hAnsi="Times New Roman"/>
        </w:rPr>
        <w:t xml:space="preserve"> our meetings and comment periods, and all have been captured in the record of the GEH Forum activities </w:t>
      </w:r>
      <w:r w:rsidR="00ED3373">
        <w:rPr>
          <w:rFonts w:ascii="Times New Roman" w:hAnsi="Times New Roman"/>
        </w:rPr>
        <w:t>which</w:t>
      </w:r>
      <w:r w:rsidR="00B1573B">
        <w:rPr>
          <w:rFonts w:ascii="Times New Roman" w:hAnsi="Times New Roman"/>
        </w:rPr>
        <w:t xml:space="preserve"> </w:t>
      </w:r>
      <w:r w:rsidR="00ED3373">
        <w:rPr>
          <w:rFonts w:ascii="Times New Roman" w:hAnsi="Times New Roman"/>
        </w:rPr>
        <w:t>is made publicly available</w:t>
      </w:r>
      <w:r w:rsidR="00B1573B">
        <w:rPr>
          <w:rFonts w:ascii="Times New Roman" w:hAnsi="Times New Roman"/>
        </w:rPr>
        <w:t xml:space="preserve"> </w:t>
      </w:r>
      <w:r w:rsidR="00ED3373">
        <w:rPr>
          <w:rFonts w:ascii="Times New Roman" w:hAnsi="Times New Roman"/>
        </w:rPr>
        <w:t xml:space="preserve">and </w:t>
      </w:r>
      <w:r w:rsidR="00FE785F">
        <w:rPr>
          <w:rFonts w:ascii="Times New Roman" w:hAnsi="Times New Roman"/>
        </w:rPr>
        <w:t>a</w:t>
      </w:r>
      <w:r w:rsidR="00ED3373">
        <w:rPr>
          <w:rFonts w:ascii="Times New Roman" w:hAnsi="Times New Roman"/>
        </w:rPr>
        <w:t>ccessible for review by any interested party.  Over the course of the last several weeks, the Chairs of the GEH Forum have evaluated the record and developed 20 recommendations for action</w:t>
      </w:r>
      <w:r w:rsidR="000241B6">
        <w:rPr>
          <w:rFonts w:ascii="Times New Roman" w:hAnsi="Times New Roman"/>
        </w:rPr>
        <w:t>s</w:t>
      </w:r>
      <w:r w:rsidR="00ED3373">
        <w:rPr>
          <w:rFonts w:ascii="Times New Roman" w:hAnsi="Times New Roman"/>
        </w:rPr>
        <w:t xml:space="preserve"> that could be undertaken by various identified </w:t>
      </w:r>
      <w:r w:rsidR="00FE785F">
        <w:rPr>
          <w:rFonts w:ascii="Times New Roman" w:hAnsi="Times New Roman"/>
        </w:rPr>
        <w:t>parties</w:t>
      </w:r>
      <w:r w:rsidR="00E8545C">
        <w:rPr>
          <w:rFonts w:ascii="Times New Roman" w:hAnsi="Times New Roman"/>
        </w:rPr>
        <w:t xml:space="preserve"> to address the recurring challenges stemming from natural gas-electric infrastructure interdependency and lead to enhanced market coordination.  </w:t>
      </w:r>
      <w:bookmarkStart w:id="3" w:name="_Hlk140069022"/>
      <w:r w:rsidR="00774AB9" w:rsidRPr="00774AB9">
        <w:rPr>
          <w:rFonts w:ascii="Times New Roman" w:hAnsi="Times New Roman"/>
        </w:rPr>
        <w:t>While NAESB does not have authority to require these actions, and many will necessitate policy decisions by regulators, NAESB can provide the entities</w:t>
      </w:r>
      <w:r w:rsidR="00774AB9">
        <w:rPr>
          <w:rFonts w:ascii="Times New Roman" w:hAnsi="Times New Roman"/>
        </w:rPr>
        <w:t xml:space="preserve"> responsible</w:t>
      </w:r>
      <w:r w:rsidR="00774AB9" w:rsidRPr="00774AB9">
        <w:rPr>
          <w:rFonts w:ascii="Times New Roman" w:hAnsi="Times New Roman"/>
        </w:rPr>
        <w:t xml:space="preserve"> for taking such action</w:t>
      </w:r>
      <w:r w:rsidR="00774AB9">
        <w:rPr>
          <w:rFonts w:ascii="Times New Roman" w:hAnsi="Times New Roman"/>
        </w:rPr>
        <w:t>s</w:t>
      </w:r>
      <w:r w:rsidR="00933CB5">
        <w:rPr>
          <w:rFonts w:ascii="Times New Roman" w:hAnsi="Times New Roman"/>
        </w:rPr>
        <w:t xml:space="preserve"> with</w:t>
      </w:r>
      <w:r w:rsidR="00774AB9" w:rsidRPr="00774AB9">
        <w:rPr>
          <w:rFonts w:ascii="Times New Roman" w:hAnsi="Times New Roman"/>
        </w:rPr>
        <w:t xml:space="preserve"> the perspectives of the industry sectors and individual participants that may be impacted by the recommendations.</w:t>
      </w:r>
      <w:r w:rsidR="00093CA2">
        <w:rPr>
          <w:rFonts w:ascii="Times New Roman" w:hAnsi="Times New Roman"/>
        </w:rPr>
        <w:t xml:space="preserve"> </w:t>
      </w:r>
      <w:bookmarkEnd w:id="3"/>
      <w:r w:rsidR="00093CA2">
        <w:rPr>
          <w:rFonts w:ascii="Times New Roman" w:hAnsi="Times New Roman"/>
        </w:rPr>
        <w:t xml:space="preserve"> To accomplish this, we will follow the NAESB process for balanced voting on the </w:t>
      </w:r>
      <w:r w:rsidR="000241B6">
        <w:rPr>
          <w:rFonts w:ascii="Times New Roman" w:hAnsi="Times New Roman"/>
        </w:rPr>
        <w:t xml:space="preserve">20 </w:t>
      </w:r>
      <w:r w:rsidR="00093CA2">
        <w:rPr>
          <w:rFonts w:ascii="Times New Roman" w:hAnsi="Times New Roman"/>
        </w:rPr>
        <w:t>individual recommendations as drafted by the GEH Forum Chairs.</w:t>
      </w:r>
    </w:p>
    <w:p w14:paraId="52D35050" w14:textId="640FD776" w:rsidR="0027303A" w:rsidRDefault="00093CA2" w:rsidP="00093CA2">
      <w:pPr>
        <w:spacing w:before="120"/>
        <w:rPr>
          <w:rFonts w:ascii="Times New Roman" w:hAnsi="Times New Roman"/>
        </w:rPr>
      </w:pPr>
      <w:r>
        <w:rPr>
          <w:rFonts w:ascii="Times New Roman" w:hAnsi="Times New Roman"/>
        </w:rPr>
        <w:t>Only those that have participated in a previous NAESB GEH Forum meeting are being asked to provide a vote on the recommendations.  Per the NAESB balanced voting procedures, each respondent must identify with an appropriate NAESB quadrant and segment</w:t>
      </w:r>
      <w:r w:rsidR="006936D4">
        <w:rPr>
          <w:rFonts w:ascii="Times New Roman" w:hAnsi="Times New Roman"/>
        </w:rPr>
        <w:t>,</w:t>
      </w:r>
      <w:r>
        <w:rPr>
          <w:rFonts w:ascii="Times New Roman" w:hAnsi="Times New Roman"/>
        </w:rPr>
        <w:t xml:space="preserve"> or as </w:t>
      </w:r>
      <w:r w:rsidR="006936D4">
        <w:rPr>
          <w:rFonts w:ascii="Times New Roman" w:hAnsi="Times New Roman"/>
        </w:rPr>
        <w:t>an observer, and the company they represent.  Each company may only cast one vote on each recommendation; however, if your company participates in multiple market segments (i.e. multiple NAESB quadrants and segments), such as vertically integrated organizations, participants from your company may cast multiple votes as long</w:t>
      </w:r>
      <w:r w:rsidR="00FE785F">
        <w:rPr>
          <w:rFonts w:ascii="Times New Roman" w:hAnsi="Times New Roman"/>
        </w:rPr>
        <w:t xml:space="preserve"> as each participant is</w:t>
      </w:r>
      <w:r w:rsidR="006936D4">
        <w:rPr>
          <w:rFonts w:ascii="Times New Roman" w:hAnsi="Times New Roman"/>
        </w:rPr>
        <w:t xml:space="preserve"> representing different market segment</w:t>
      </w:r>
      <w:r w:rsidR="0027303A">
        <w:rPr>
          <w:rFonts w:ascii="Times New Roman" w:hAnsi="Times New Roman"/>
        </w:rPr>
        <w:t>s</w:t>
      </w:r>
      <w:r w:rsidR="006936D4">
        <w:rPr>
          <w:rFonts w:ascii="Times New Roman" w:hAnsi="Times New Roman"/>
        </w:rPr>
        <w:t xml:space="preserve">. </w:t>
      </w:r>
      <w:r w:rsidR="0027303A">
        <w:rPr>
          <w:rFonts w:ascii="Times New Roman" w:hAnsi="Times New Roman"/>
        </w:rPr>
        <w:t xml:space="preserve"> A single individual from your company may not vote more than once in multiple quadrants and segments.  Votes must be cast by different representatives.  A description of the NAESB quadrants and segments and the NAESB balanced voting procedure can be found through the following hyperlink:  </w:t>
      </w:r>
      <w:hyperlink r:id="rId8" w:history="1">
        <w:r w:rsidR="0027303A" w:rsidRPr="005840B7">
          <w:rPr>
            <w:rStyle w:val="Hyperlink"/>
            <w:rFonts w:ascii="Times New Roman" w:hAnsi="Times New Roman"/>
          </w:rPr>
          <w:t>https://www.naesb.org/pdf4/geh_balanced_voting_quadrant_segment_descriptions.doc</w:t>
        </w:r>
      </w:hyperlink>
      <w:r w:rsidR="0027303A">
        <w:rPr>
          <w:rFonts w:ascii="Times New Roman" w:hAnsi="Times New Roman"/>
        </w:rPr>
        <w:t>.</w:t>
      </w:r>
    </w:p>
    <w:p w14:paraId="018B38CB" w14:textId="6B29B4EF" w:rsidR="00FE6B73" w:rsidRDefault="0027303A" w:rsidP="00FE6B73">
      <w:pPr>
        <w:spacing w:before="120"/>
        <w:rPr>
          <w:rFonts w:ascii="Times New Roman" w:hAnsi="Times New Roman"/>
        </w:rPr>
      </w:pPr>
      <w:r>
        <w:rPr>
          <w:rFonts w:ascii="Times New Roman" w:hAnsi="Times New Roman"/>
        </w:rPr>
        <w:t>A voting period will be open for one week starting today and ending</w:t>
      </w:r>
      <w:r w:rsidRPr="00853755">
        <w:rPr>
          <w:rFonts w:ascii="Times New Roman" w:hAnsi="Times New Roman"/>
        </w:rPr>
        <w:t xml:space="preserve"> at 5:00 pm Central on Thursday, July 20, 2023</w:t>
      </w:r>
      <w:r>
        <w:rPr>
          <w:rFonts w:ascii="Times New Roman" w:hAnsi="Times New Roman"/>
        </w:rPr>
        <w:t xml:space="preserve">.  Please use this time to coordinate with the individuals </w:t>
      </w:r>
      <w:r w:rsidR="00FE6B73">
        <w:rPr>
          <w:rFonts w:ascii="Times New Roman" w:hAnsi="Times New Roman"/>
        </w:rPr>
        <w:t>from you</w:t>
      </w:r>
      <w:r w:rsidR="00F849D4">
        <w:rPr>
          <w:rFonts w:ascii="Times New Roman" w:hAnsi="Times New Roman"/>
        </w:rPr>
        <w:t>r</w:t>
      </w:r>
      <w:r w:rsidR="00FE6B73">
        <w:rPr>
          <w:rFonts w:ascii="Times New Roman" w:hAnsi="Times New Roman"/>
        </w:rPr>
        <w:t xml:space="preserve"> company </w:t>
      </w:r>
      <w:r>
        <w:rPr>
          <w:rFonts w:ascii="Times New Roman" w:hAnsi="Times New Roman"/>
        </w:rPr>
        <w:t xml:space="preserve">that </w:t>
      </w:r>
      <w:r w:rsidR="006A731C">
        <w:rPr>
          <w:rFonts w:ascii="Times New Roman" w:hAnsi="Times New Roman"/>
        </w:rPr>
        <w:t xml:space="preserve">have </w:t>
      </w:r>
      <w:r>
        <w:rPr>
          <w:rFonts w:ascii="Times New Roman" w:hAnsi="Times New Roman"/>
        </w:rPr>
        <w:t xml:space="preserve">participated in a GEH Forum meeting to cast </w:t>
      </w:r>
      <w:r w:rsidR="00FE6B73">
        <w:rPr>
          <w:rFonts w:ascii="Times New Roman" w:hAnsi="Times New Roman"/>
        </w:rPr>
        <w:t xml:space="preserve">a </w:t>
      </w:r>
      <w:r>
        <w:rPr>
          <w:rFonts w:ascii="Times New Roman" w:hAnsi="Times New Roman"/>
        </w:rPr>
        <w:t>vote</w:t>
      </w:r>
      <w:r w:rsidR="00FE6B73">
        <w:rPr>
          <w:rFonts w:ascii="Times New Roman" w:hAnsi="Times New Roman"/>
        </w:rPr>
        <w:t>(</w:t>
      </w:r>
      <w:r>
        <w:rPr>
          <w:rFonts w:ascii="Times New Roman" w:hAnsi="Times New Roman"/>
        </w:rPr>
        <w:t>s</w:t>
      </w:r>
      <w:r w:rsidR="00FE6B73">
        <w:rPr>
          <w:rFonts w:ascii="Times New Roman" w:hAnsi="Times New Roman"/>
        </w:rPr>
        <w:t>)</w:t>
      </w:r>
      <w:r>
        <w:rPr>
          <w:rFonts w:ascii="Times New Roman" w:hAnsi="Times New Roman"/>
        </w:rPr>
        <w:t xml:space="preserve"> on behalf of your company.  A list of all individuals that participated in the NAESB GEH Forum meetings sorted by company can be found </w:t>
      </w:r>
      <w:r w:rsidR="00853755">
        <w:rPr>
          <w:rFonts w:ascii="Times New Roman" w:hAnsi="Times New Roman"/>
        </w:rPr>
        <w:t>through the following hyperlink</w:t>
      </w:r>
      <w:r w:rsidR="00FE6B73">
        <w:rPr>
          <w:rFonts w:ascii="Times New Roman" w:hAnsi="Times New Roman"/>
        </w:rPr>
        <w:t>:</w:t>
      </w:r>
      <w:r>
        <w:rPr>
          <w:rFonts w:ascii="Times New Roman" w:hAnsi="Times New Roman"/>
        </w:rPr>
        <w:t xml:space="preserve"> </w:t>
      </w:r>
      <w:hyperlink r:id="rId9" w:history="1">
        <w:r w:rsidR="00853755" w:rsidRPr="003D4010">
          <w:rPr>
            <w:rStyle w:val="Hyperlink"/>
            <w:rFonts w:ascii="Times New Roman" w:hAnsi="Times New Roman"/>
          </w:rPr>
          <w:t>https://www.naesb.org/pdf4/geh071323eligible_voters.docx</w:t>
        </w:r>
      </w:hyperlink>
      <w:r w:rsidR="00853755">
        <w:rPr>
          <w:rFonts w:ascii="Times New Roman" w:hAnsi="Times New Roman"/>
        </w:rPr>
        <w:t xml:space="preserve">. </w:t>
      </w:r>
      <w:r w:rsidR="00153C39">
        <w:rPr>
          <w:rFonts w:ascii="Times New Roman" w:hAnsi="Times New Roman"/>
        </w:rPr>
        <w:t xml:space="preserve">  If you participated in a meeting but are not included on this list, please contact the NAESB office. </w:t>
      </w:r>
    </w:p>
    <w:p w14:paraId="082FC488" w14:textId="116BA3E2" w:rsidR="00FE6B73" w:rsidRDefault="00FE6B73" w:rsidP="00FE6B73">
      <w:pPr>
        <w:spacing w:before="120"/>
        <w:rPr>
          <w:rFonts w:ascii="Times New Roman" w:hAnsi="Times New Roman"/>
        </w:rPr>
      </w:pPr>
      <w:r>
        <w:rPr>
          <w:rFonts w:ascii="Times New Roman" w:hAnsi="Times New Roman"/>
        </w:rPr>
        <w:t xml:space="preserve">As previously stated, we are using the SurveyMonkey survey software to collect votes, and only votes submitted via the SurveyMonkey website will be accepted.  </w:t>
      </w:r>
      <w:r w:rsidR="00B71822" w:rsidRPr="00B71822">
        <w:rPr>
          <w:rFonts w:ascii="Times New Roman" w:hAnsi="Times New Roman"/>
        </w:rPr>
        <w:t xml:space="preserve">To complete the </w:t>
      </w:r>
      <w:r>
        <w:rPr>
          <w:rFonts w:ascii="Times New Roman" w:hAnsi="Times New Roman"/>
        </w:rPr>
        <w:t>ballot</w:t>
      </w:r>
      <w:r w:rsidR="00B71822" w:rsidRPr="00B71822">
        <w:rPr>
          <w:rFonts w:ascii="Times New Roman" w:hAnsi="Times New Roman"/>
        </w:rPr>
        <w:t xml:space="preserve"> online, simply follow the instructions as you move from page to page</w:t>
      </w:r>
      <w:bookmarkStart w:id="4" w:name="_Hlk113308622"/>
      <w:r w:rsidR="009F0132">
        <w:rPr>
          <w:rFonts w:ascii="Times New Roman" w:hAnsi="Times New Roman"/>
        </w:rPr>
        <w:t xml:space="preserve"> t</w:t>
      </w:r>
      <w:r w:rsidR="00B71822" w:rsidRPr="00B71822">
        <w:rPr>
          <w:rFonts w:ascii="Times New Roman" w:hAnsi="Times New Roman"/>
        </w:rPr>
        <w:t>hrough the platform</w:t>
      </w:r>
      <w:r w:rsidR="009F0132">
        <w:rPr>
          <w:rFonts w:ascii="Times New Roman" w:hAnsi="Times New Roman"/>
        </w:rPr>
        <w:t>. Y</w:t>
      </w:r>
      <w:r w:rsidR="00B71822" w:rsidRPr="00B71822">
        <w:rPr>
          <w:rFonts w:ascii="Times New Roman" w:hAnsi="Times New Roman"/>
        </w:rPr>
        <w:t xml:space="preserve">our answers will be saved as you </w:t>
      </w:r>
      <w:r w:rsidR="006A731C">
        <w:rPr>
          <w:rFonts w:ascii="Times New Roman" w:hAnsi="Times New Roman"/>
        </w:rPr>
        <w:t>proceed</w:t>
      </w:r>
      <w:r w:rsidR="00B71822" w:rsidRPr="00B71822">
        <w:rPr>
          <w:rFonts w:ascii="Times New Roman" w:hAnsi="Times New Roman"/>
        </w:rPr>
        <w:t xml:space="preserve">, and you may leave and return to the </w:t>
      </w:r>
      <w:r w:rsidR="006A731C">
        <w:rPr>
          <w:rFonts w:ascii="Times New Roman" w:hAnsi="Times New Roman"/>
        </w:rPr>
        <w:t>ballot</w:t>
      </w:r>
      <w:r w:rsidR="00B71822" w:rsidRPr="00B71822">
        <w:rPr>
          <w:rFonts w:ascii="Times New Roman" w:hAnsi="Times New Roman"/>
        </w:rPr>
        <w:t xml:space="preserve"> when convenient for you.  You may also re-enter the survey and modify your responses prior to the cutoff date of </w:t>
      </w:r>
      <w:r w:rsidR="00FE785F">
        <w:rPr>
          <w:rFonts w:ascii="Times New Roman" w:hAnsi="Times New Roman"/>
        </w:rPr>
        <w:t>July 20</w:t>
      </w:r>
      <w:r w:rsidR="00157ED4">
        <w:rPr>
          <w:rFonts w:ascii="Times New Roman" w:hAnsi="Times New Roman"/>
        </w:rPr>
        <w:t>, 2023</w:t>
      </w:r>
      <w:r w:rsidR="00B71822" w:rsidRPr="00B71822">
        <w:rPr>
          <w:rFonts w:ascii="Times New Roman" w:hAnsi="Times New Roman"/>
        </w:rPr>
        <w:t>.</w:t>
      </w:r>
      <w:bookmarkStart w:id="5" w:name="_Hlk113308506"/>
      <w:bookmarkEnd w:id="4"/>
    </w:p>
    <w:p w14:paraId="1A6A2A89" w14:textId="54B443D5" w:rsidR="00B71822" w:rsidRDefault="00FE6B73" w:rsidP="00FE6B73">
      <w:pPr>
        <w:spacing w:before="120"/>
        <w:rPr>
          <w:rFonts w:ascii="Times New Roman" w:hAnsi="Times New Roman"/>
        </w:rPr>
      </w:pPr>
      <w:r w:rsidRPr="00FE6B73">
        <w:rPr>
          <w:rFonts w:ascii="Times New Roman" w:hAnsi="Times New Roman"/>
        </w:rPr>
        <w:t xml:space="preserve">A link to </w:t>
      </w:r>
      <w:r w:rsidR="00774AB9">
        <w:rPr>
          <w:rFonts w:ascii="Times New Roman" w:hAnsi="Times New Roman"/>
        </w:rPr>
        <w:t>t</w:t>
      </w:r>
      <w:r w:rsidRPr="00FE6B73">
        <w:rPr>
          <w:rFonts w:ascii="Times New Roman" w:hAnsi="Times New Roman"/>
        </w:rPr>
        <w:t xml:space="preserve">he </w:t>
      </w:r>
      <w:r>
        <w:rPr>
          <w:rFonts w:ascii="Times New Roman" w:hAnsi="Times New Roman"/>
        </w:rPr>
        <w:t>ballot</w:t>
      </w:r>
      <w:r w:rsidR="006A731C">
        <w:rPr>
          <w:rFonts w:ascii="Times New Roman" w:hAnsi="Times New Roman"/>
        </w:rPr>
        <w:t xml:space="preserve"> on the SurveyMonkey website</w:t>
      </w:r>
      <w:r>
        <w:rPr>
          <w:rFonts w:ascii="Times New Roman" w:hAnsi="Times New Roman"/>
        </w:rPr>
        <w:t xml:space="preserve"> </w:t>
      </w:r>
      <w:r w:rsidRPr="00FE6B73">
        <w:rPr>
          <w:rFonts w:ascii="Times New Roman" w:hAnsi="Times New Roman"/>
        </w:rPr>
        <w:t xml:space="preserve">can be found through the following hyperlink: </w:t>
      </w:r>
      <w:hyperlink r:id="rId10" w:history="1">
        <w:r w:rsidR="00DC519F" w:rsidRPr="00C919F0">
          <w:rPr>
            <w:rStyle w:val="Hyperlink"/>
            <w:rFonts w:ascii="Times New Roman" w:hAnsi="Times New Roman"/>
          </w:rPr>
          <w:t>https://www.surveymonkey.com/r/3TBHY5X</w:t>
        </w:r>
      </w:hyperlink>
      <w:r w:rsidR="00DC519F">
        <w:rPr>
          <w:rFonts w:ascii="Times New Roman" w:hAnsi="Times New Roman"/>
        </w:rPr>
        <w:t xml:space="preserve">. </w:t>
      </w:r>
      <w:r w:rsidR="00B71822" w:rsidRPr="00B71822">
        <w:rPr>
          <w:rFonts w:ascii="Times New Roman" w:hAnsi="Times New Roman"/>
        </w:rPr>
        <w:t xml:space="preserve">  </w:t>
      </w:r>
      <w:bookmarkEnd w:id="5"/>
    </w:p>
    <w:p w14:paraId="375FA54E" w14:textId="67EF142A" w:rsidR="00EB666A" w:rsidRPr="00B71822" w:rsidRDefault="00EB666A" w:rsidP="00FE6B73">
      <w:pPr>
        <w:spacing w:before="120"/>
        <w:rPr>
          <w:rFonts w:ascii="Times New Roman" w:hAnsi="Times New Roman"/>
        </w:rPr>
      </w:pPr>
      <w:r>
        <w:rPr>
          <w:rFonts w:ascii="Times New Roman" w:hAnsi="Times New Roman"/>
        </w:rPr>
        <w:t>The recommendations can be found on the following pages</w:t>
      </w:r>
      <w:r w:rsidR="00774AB9">
        <w:rPr>
          <w:rFonts w:ascii="Times New Roman" w:hAnsi="Times New Roman"/>
        </w:rPr>
        <w:t xml:space="preserve"> for you to review prior to casting your vote</w:t>
      </w:r>
      <w:r>
        <w:rPr>
          <w:rFonts w:ascii="Times New Roman" w:hAnsi="Times New Roman"/>
        </w:rPr>
        <w:t xml:space="preserve">. </w:t>
      </w:r>
    </w:p>
    <w:p w14:paraId="2F1BCA6A" w14:textId="77777777" w:rsidR="006A731C" w:rsidRDefault="00B71822" w:rsidP="00AA0BEC">
      <w:pPr>
        <w:spacing w:before="120" w:after="120"/>
        <w:jc w:val="both"/>
        <w:rPr>
          <w:rFonts w:ascii="Times New Roman" w:hAnsi="Times New Roman"/>
        </w:rPr>
      </w:pPr>
      <w:r w:rsidRPr="00B71822">
        <w:rPr>
          <w:rFonts w:ascii="Times New Roman" w:hAnsi="Times New Roman"/>
        </w:rPr>
        <w:t xml:space="preserve">Again, responses are requested by </w:t>
      </w:r>
      <w:r w:rsidR="00FE6B73" w:rsidRPr="00853755">
        <w:rPr>
          <w:rFonts w:ascii="Times New Roman" w:hAnsi="Times New Roman"/>
          <w:b/>
          <w:bCs/>
          <w:u w:val="single"/>
        </w:rPr>
        <w:t>5:00 pm Central</w:t>
      </w:r>
      <w:r w:rsidR="00157ED4" w:rsidRPr="00853755">
        <w:rPr>
          <w:rFonts w:ascii="Times New Roman" w:hAnsi="Times New Roman"/>
          <w:b/>
          <w:bCs/>
          <w:u w:val="single"/>
        </w:rPr>
        <w:t xml:space="preserve"> o</w:t>
      </w:r>
      <w:r w:rsidRPr="00853755">
        <w:rPr>
          <w:rFonts w:ascii="Times New Roman" w:hAnsi="Times New Roman"/>
          <w:b/>
          <w:bCs/>
          <w:u w:val="single"/>
        </w:rPr>
        <w:t xml:space="preserve">n </w:t>
      </w:r>
      <w:r w:rsidR="00FE6B73" w:rsidRPr="00853755">
        <w:rPr>
          <w:rFonts w:ascii="Times New Roman" w:hAnsi="Times New Roman"/>
          <w:b/>
          <w:bCs/>
          <w:u w:val="single"/>
        </w:rPr>
        <w:t>July 20, 2023</w:t>
      </w:r>
      <w:r w:rsidRPr="00B71822">
        <w:rPr>
          <w:rFonts w:ascii="Times New Roman" w:hAnsi="Times New Roman"/>
        </w:rPr>
        <w:t xml:space="preserve">.  </w:t>
      </w:r>
    </w:p>
    <w:p w14:paraId="5C685005" w14:textId="6E737FE2" w:rsidR="006A731C" w:rsidRDefault="00626E2D" w:rsidP="00AA0BEC">
      <w:pPr>
        <w:spacing w:before="120" w:after="120"/>
        <w:jc w:val="both"/>
        <w:rPr>
          <w:rFonts w:ascii="Times New Roman" w:hAnsi="Times New Roman"/>
        </w:rPr>
      </w:pPr>
      <w:r>
        <w:rPr>
          <w:rFonts w:ascii="Times New Roman" w:hAnsi="Times New Roman"/>
        </w:rPr>
        <w:t>--</w:t>
      </w:r>
    </w:p>
    <w:p w14:paraId="50D9D0BB" w14:textId="0A579128" w:rsidR="00B71822" w:rsidRDefault="00B71822" w:rsidP="00AA0BEC">
      <w:pPr>
        <w:spacing w:before="120" w:after="120"/>
        <w:jc w:val="both"/>
        <w:rPr>
          <w:rFonts w:ascii="Times New Roman" w:hAnsi="Times New Roman"/>
        </w:rPr>
      </w:pPr>
      <w:r w:rsidRPr="00B71822">
        <w:rPr>
          <w:rFonts w:ascii="Times New Roman" w:hAnsi="Times New Roman"/>
        </w:rPr>
        <w:t>Thank you for your time and commitment to t</w:t>
      </w:r>
      <w:bookmarkEnd w:id="0"/>
      <w:r w:rsidR="00933CB5">
        <w:rPr>
          <w:rFonts w:ascii="Times New Roman" w:hAnsi="Times New Roman"/>
        </w:rPr>
        <w:t>his process</w:t>
      </w:r>
      <w:r w:rsidR="00EB666A">
        <w:rPr>
          <w:rFonts w:ascii="Times New Roman" w:hAnsi="Times New Roman"/>
        </w:rPr>
        <w:t>.</w:t>
      </w:r>
    </w:p>
    <w:bookmarkEnd w:id="1"/>
    <w:p w14:paraId="07192407" w14:textId="77777777" w:rsidR="00AA0BEC" w:rsidRDefault="00AA0BEC" w:rsidP="00AA0BEC">
      <w:pPr>
        <w:spacing w:before="120" w:after="120"/>
        <w:jc w:val="both"/>
        <w:rPr>
          <w:rFonts w:ascii="Times New Roman" w:hAnsi="Times New Roman"/>
          <w:snapToGrid w:val="0"/>
          <w:color w:val="000000"/>
        </w:rPr>
        <w:sectPr w:rsidR="00AA0BEC" w:rsidSect="00B71822">
          <w:headerReference w:type="default" r:id="rId11"/>
          <w:headerReference w:type="first" r:id="rId12"/>
          <w:footerReference w:type="first" r:id="rId13"/>
          <w:pgSz w:w="12240" w:h="15840" w:code="1"/>
          <w:pgMar w:top="720" w:right="1440" w:bottom="1440" w:left="1440" w:header="720" w:footer="720" w:gutter="0"/>
          <w:cols w:space="720"/>
          <w:noEndnote/>
          <w:titlePg/>
          <w:docGrid w:linePitch="272"/>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20"/>
        <w:gridCol w:w="1527"/>
        <w:gridCol w:w="6469"/>
      </w:tblGrid>
      <w:tr w:rsidR="00AA0BEC" w:rsidRPr="00AA0BEC" w14:paraId="326F0AC8" w14:textId="77777777" w:rsidTr="00E16F9E">
        <w:trPr>
          <w:tblHeader/>
        </w:trPr>
        <w:tc>
          <w:tcPr>
            <w:tcW w:w="9360" w:type="dxa"/>
            <w:gridSpan w:val="4"/>
          </w:tcPr>
          <w:p w14:paraId="6BDFF59C" w14:textId="5A7D4930" w:rsidR="00AA0BEC" w:rsidRPr="00AA0BEC" w:rsidRDefault="00FE785F" w:rsidP="00AA0BEC">
            <w:pPr>
              <w:spacing w:before="240"/>
              <w:jc w:val="center"/>
              <w:rPr>
                <w:rFonts w:ascii="Times New Roman" w:hAnsi="Times New Roman"/>
                <w:b/>
                <w:bCs/>
                <w:smallCaps/>
                <w:sz w:val="20"/>
                <w:szCs w:val="20"/>
              </w:rPr>
            </w:pPr>
            <w:r>
              <w:rPr>
                <w:rFonts w:ascii="Times New Roman" w:hAnsi="Times New Roman"/>
                <w:b/>
                <w:bCs/>
                <w:smallCaps/>
                <w:sz w:val="20"/>
                <w:szCs w:val="20"/>
              </w:rPr>
              <w:lastRenderedPageBreak/>
              <w:t xml:space="preserve">NAESB </w:t>
            </w:r>
            <w:r w:rsidR="00AA0BEC" w:rsidRPr="00AA0BEC">
              <w:rPr>
                <w:rFonts w:ascii="Times New Roman" w:hAnsi="Times New Roman"/>
                <w:b/>
                <w:bCs/>
                <w:smallCaps/>
                <w:sz w:val="20"/>
                <w:szCs w:val="20"/>
              </w:rPr>
              <w:t xml:space="preserve">Gas Electric Harmonization Forum </w:t>
            </w:r>
            <w:r>
              <w:rPr>
                <w:rFonts w:ascii="Times New Roman" w:hAnsi="Times New Roman"/>
                <w:b/>
                <w:bCs/>
                <w:smallCaps/>
                <w:sz w:val="20"/>
                <w:szCs w:val="20"/>
              </w:rPr>
              <w:t>Recommendations</w:t>
            </w:r>
          </w:p>
          <w:p w14:paraId="09DE5BA9" w14:textId="2C77AE8E" w:rsidR="00AA0BEC" w:rsidRPr="00AA0BEC" w:rsidRDefault="00AA0BEC" w:rsidP="00AA0BEC">
            <w:pPr>
              <w:spacing w:after="240"/>
              <w:jc w:val="center"/>
              <w:rPr>
                <w:rFonts w:ascii="Times New Roman" w:hAnsi="Times New Roman"/>
                <w:b/>
                <w:bCs/>
                <w:smallCaps/>
                <w:sz w:val="20"/>
                <w:szCs w:val="20"/>
              </w:rPr>
            </w:pPr>
            <w:r w:rsidRPr="00AA0BEC">
              <w:rPr>
                <w:rFonts w:ascii="Times New Roman" w:hAnsi="Times New Roman"/>
                <w:b/>
                <w:bCs/>
                <w:smallCaps/>
                <w:sz w:val="20"/>
                <w:szCs w:val="20"/>
              </w:rPr>
              <w:t xml:space="preserve">Due </w:t>
            </w:r>
            <w:r w:rsidR="00FE785F">
              <w:rPr>
                <w:rFonts w:ascii="Times New Roman" w:hAnsi="Times New Roman"/>
                <w:b/>
                <w:bCs/>
                <w:smallCaps/>
                <w:sz w:val="20"/>
                <w:szCs w:val="20"/>
              </w:rPr>
              <w:t>July 20</w:t>
            </w:r>
            <w:r w:rsidRPr="00AA0BEC">
              <w:rPr>
                <w:rFonts w:ascii="Times New Roman" w:hAnsi="Times New Roman"/>
                <w:b/>
                <w:bCs/>
                <w:smallCaps/>
                <w:sz w:val="20"/>
                <w:szCs w:val="20"/>
              </w:rPr>
              <w:t>, 2023</w:t>
            </w:r>
          </w:p>
        </w:tc>
      </w:tr>
      <w:tr w:rsidR="00AA0BEC" w:rsidRPr="00AA0BEC" w14:paraId="5DDE2425" w14:textId="77777777" w:rsidTr="00E16F9E">
        <w:tc>
          <w:tcPr>
            <w:tcW w:w="9360" w:type="dxa"/>
            <w:gridSpan w:val="4"/>
          </w:tcPr>
          <w:p w14:paraId="68FD70D2"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Submitter Information</w:t>
            </w:r>
          </w:p>
        </w:tc>
      </w:tr>
      <w:tr w:rsidR="00AA0BEC" w:rsidRPr="00AA0BEC" w14:paraId="43B64A4D" w14:textId="77777777" w:rsidTr="00E16F9E">
        <w:tc>
          <w:tcPr>
            <w:tcW w:w="644" w:type="dxa"/>
          </w:tcPr>
          <w:p w14:paraId="2E1D82F3"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1.</w:t>
            </w:r>
          </w:p>
        </w:tc>
        <w:tc>
          <w:tcPr>
            <w:tcW w:w="8716" w:type="dxa"/>
            <w:gridSpan w:val="3"/>
          </w:tcPr>
          <w:p w14:paraId="3D356025"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Please provide your contact information:</w:t>
            </w:r>
          </w:p>
        </w:tc>
      </w:tr>
      <w:tr w:rsidR="00AA0BEC" w:rsidRPr="00AA0BEC" w14:paraId="071B3435" w14:textId="77777777" w:rsidTr="00E16F9E">
        <w:tc>
          <w:tcPr>
            <w:tcW w:w="644" w:type="dxa"/>
          </w:tcPr>
          <w:p w14:paraId="434D442A"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063CD115"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Company/Organization:</w:t>
            </w:r>
          </w:p>
        </w:tc>
        <w:tc>
          <w:tcPr>
            <w:tcW w:w="6469" w:type="dxa"/>
          </w:tcPr>
          <w:p w14:paraId="662DD397" w14:textId="77777777" w:rsidR="00AA0BEC" w:rsidRPr="00AA0BEC" w:rsidRDefault="00AA0BEC" w:rsidP="00AA0BEC">
            <w:pPr>
              <w:spacing w:before="60" w:after="60"/>
              <w:rPr>
                <w:rFonts w:ascii="Times New Roman" w:hAnsi="Times New Roman"/>
                <w:sz w:val="20"/>
                <w:szCs w:val="20"/>
              </w:rPr>
            </w:pPr>
          </w:p>
        </w:tc>
      </w:tr>
      <w:tr w:rsidR="00AA0BEC" w:rsidRPr="00AA0BEC" w14:paraId="7C793B3B" w14:textId="77777777" w:rsidTr="00E16F9E">
        <w:tc>
          <w:tcPr>
            <w:tcW w:w="644" w:type="dxa"/>
          </w:tcPr>
          <w:p w14:paraId="39AE7B65"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75C0969F"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Representative:</w:t>
            </w:r>
          </w:p>
        </w:tc>
        <w:tc>
          <w:tcPr>
            <w:tcW w:w="6469" w:type="dxa"/>
          </w:tcPr>
          <w:p w14:paraId="785F5628" w14:textId="77777777" w:rsidR="00AA0BEC" w:rsidRPr="00AA0BEC" w:rsidRDefault="00AA0BEC" w:rsidP="00AA0BEC">
            <w:pPr>
              <w:spacing w:before="60" w:after="60"/>
              <w:rPr>
                <w:rFonts w:ascii="Times New Roman" w:hAnsi="Times New Roman"/>
                <w:sz w:val="20"/>
                <w:szCs w:val="20"/>
              </w:rPr>
            </w:pPr>
          </w:p>
        </w:tc>
      </w:tr>
      <w:tr w:rsidR="00AA0BEC" w:rsidRPr="00AA0BEC" w14:paraId="09406F0D" w14:textId="77777777" w:rsidTr="00E16F9E">
        <w:tc>
          <w:tcPr>
            <w:tcW w:w="644" w:type="dxa"/>
          </w:tcPr>
          <w:p w14:paraId="51E24CA1"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71A2A29D"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Email Address:</w:t>
            </w:r>
          </w:p>
        </w:tc>
        <w:tc>
          <w:tcPr>
            <w:tcW w:w="6469" w:type="dxa"/>
          </w:tcPr>
          <w:p w14:paraId="074550FB" w14:textId="77777777" w:rsidR="00AA0BEC" w:rsidRPr="00AA0BEC" w:rsidRDefault="00AA0BEC" w:rsidP="00AA0BEC">
            <w:pPr>
              <w:spacing w:before="60" w:after="60"/>
              <w:rPr>
                <w:rFonts w:ascii="Times New Roman" w:hAnsi="Times New Roman"/>
                <w:sz w:val="20"/>
                <w:szCs w:val="20"/>
              </w:rPr>
            </w:pPr>
          </w:p>
        </w:tc>
      </w:tr>
      <w:tr w:rsidR="00AA0BEC" w:rsidRPr="00AA0BEC" w14:paraId="4F08BE84" w14:textId="77777777" w:rsidTr="00E16F9E">
        <w:tc>
          <w:tcPr>
            <w:tcW w:w="644" w:type="dxa"/>
          </w:tcPr>
          <w:p w14:paraId="07F0EC3D"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40A3A193"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Phone Number</w:t>
            </w:r>
          </w:p>
        </w:tc>
        <w:tc>
          <w:tcPr>
            <w:tcW w:w="6469" w:type="dxa"/>
          </w:tcPr>
          <w:p w14:paraId="607A4DD5" w14:textId="77777777" w:rsidR="00AA0BEC" w:rsidRPr="00AA0BEC" w:rsidRDefault="00AA0BEC" w:rsidP="00AA0BEC">
            <w:pPr>
              <w:spacing w:before="60" w:after="60"/>
              <w:rPr>
                <w:rFonts w:ascii="Times New Roman" w:hAnsi="Times New Roman"/>
                <w:sz w:val="20"/>
                <w:szCs w:val="20"/>
              </w:rPr>
            </w:pPr>
          </w:p>
        </w:tc>
      </w:tr>
      <w:tr w:rsidR="00AA0BEC" w:rsidRPr="00AA0BEC" w14:paraId="68837FE4" w14:textId="77777777" w:rsidTr="00E16F9E">
        <w:tc>
          <w:tcPr>
            <w:tcW w:w="644" w:type="dxa"/>
          </w:tcPr>
          <w:p w14:paraId="1D81BB80"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1502E668" w14:textId="77777777" w:rsidR="00AA0BEC" w:rsidRPr="00AA0BEC" w:rsidRDefault="00AA0BEC" w:rsidP="00AA0BEC">
            <w:pPr>
              <w:spacing w:before="60" w:after="60"/>
              <w:rPr>
                <w:rFonts w:ascii="Times New Roman" w:hAnsi="Times New Roman"/>
                <w:sz w:val="20"/>
                <w:szCs w:val="20"/>
              </w:rPr>
            </w:pPr>
          </w:p>
        </w:tc>
        <w:tc>
          <w:tcPr>
            <w:tcW w:w="6469" w:type="dxa"/>
          </w:tcPr>
          <w:p w14:paraId="2B4DF382" w14:textId="77777777" w:rsidR="00AA0BEC" w:rsidRPr="00AA0BEC" w:rsidRDefault="00AA0BEC" w:rsidP="00AA0BEC">
            <w:pPr>
              <w:spacing w:before="60" w:after="60"/>
              <w:rPr>
                <w:rFonts w:ascii="Times New Roman" w:hAnsi="Times New Roman"/>
                <w:sz w:val="20"/>
                <w:szCs w:val="20"/>
              </w:rPr>
            </w:pPr>
          </w:p>
        </w:tc>
      </w:tr>
      <w:tr w:rsidR="00AA0BEC" w:rsidRPr="00AA0BEC" w14:paraId="4899C3B1" w14:textId="77777777" w:rsidTr="00E16F9E">
        <w:tc>
          <w:tcPr>
            <w:tcW w:w="644" w:type="dxa"/>
          </w:tcPr>
          <w:p w14:paraId="17CE3A7A"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2.</w:t>
            </w:r>
          </w:p>
        </w:tc>
        <w:tc>
          <w:tcPr>
            <w:tcW w:w="8716" w:type="dxa"/>
            <w:gridSpan w:val="3"/>
          </w:tcPr>
          <w:p w14:paraId="5DA61C55" w14:textId="0CD0EB03" w:rsidR="00AA0BEC" w:rsidRPr="00AA0BEC" w:rsidRDefault="004B40B4" w:rsidP="00AA0BEC">
            <w:pPr>
              <w:spacing w:before="60" w:after="60"/>
              <w:rPr>
                <w:rFonts w:ascii="Times New Roman" w:hAnsi="Times New Roman"/>
                <w:b/>
                <w:bCs/>
                <w:sz w:val="20"/>
                <w:szCs w:val="20"/>
              </w:rPr>
            </w:pPr>
            <w:r w:rsidRPr="004B40B4">
              <w:rPr>
                <w:rFonts w:ascii="Times New Roman" w:hAnsi="Times New Roman"/>
                <w:b/>
                <w:bCs/>
                <w:sz w:val="20"/>
                <w:szCs w:val="20"/>
              </w:rPr>
              <w:t>For the purpose of voting on the NAESB Gas Electric Harmonization Forum Final Recommendations, please identify with a NAESB quadrant and segment (check only one box)</w:t>
            </w:r>
            <w:r w:rsidR="00AA0BEC" w:rsidRPr="00AA0BEC">
              <w:rPr>
                <w:rFonts w:ascii="Times New Roman" w:hAnsi="Times New Roman"/>
                <w:b/>
                <w:bCs/>
                <w:i/>
                <w:iCs/>
                <w:sz w:val="20"/>
                <w:szCs w:val="20"/>
              </w:rPr>
              <w:t xml:space="preserve"> (please check one box only)</w:t>
            </w:r>
            <w:r w:rsidR="00AA0BEC" w:rsidRPr="00AA0BEC">
              <w:rPr>
                <w:rFonts w:ascii="Times New Roman" w:hAnsi="Times New Roman"/>
                <w:b/>
                <w:bCs/>
                <w:sz w:val="20"/>
                <w:szCs w:val="20"/>
              </w:rPr>
              <w:t>:</w:t>
            </w:r>
          </w:p>
        </w:tc>
      </w:tr>
      <w:tr w:rsidR="00AA0BEC" w:rsidRPr="00AA0BEC" w14:paraId="0C5F3EB8" w14:textId="77777777" w:rsidTr="00E16F9E">
        <w:tc>
          <w:tcPr>
            <w:tcW w:w="644" w:type="dxa"/>
          </w:tcPr>
          <w:p w14:paraId="4DF53CD5"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503963376"/>
            <w14:checkbox>
              <w14:checked w14:val="0"/>
              <w14:checkedState w14:val="2612" w14:font="MS Gothic"/>
              <w14:uncheckedState w14:val="2610" w14:font="MS Gothic"/>
            </w14:checkbox>
          </w:sdtPr>
          <w:sdtEndPr/>
          <w:sdtContent>
            <w:tc>
              <w:tcPr>
                <w:tcW w:w="720" w:type="dxa"/>
              </w:tcPr>
              <w:p w14:paraId="542BA7E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9D5DBD5" w14:textId="06703AA8"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Producer</w:t>
            </w:r>
            <w:r w:rsidR="00FE785F">
              <w:rPr>
                <w:rFonts w:ascii="Times New Roman" w:hAnsi="Times New Roman"/>
                <w:sz w:val="20"/>
                <w:szCs w:val="20"/>
              </w:rPr>
              <w:t>s</w:t>
            </w:r>
          </w:p>
        </w:tc>
      </w:tr>
      <w:tr w:rsidR="00AA0BEC" w:rsidRPr="00AA0BEC" w14:paraId="09B92585" w14:textId="77777777" w:rsidTr="00E16F9E">
        <w:tc>
          <w:tcPr>
            <w:tcW w:w="644" w:type="dxa"/>
          </w:tcPr>
          <w:p w14:paraId="3CF5BF22"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94879953"/>
            <w14:checkbox>
              <w14:checked w14:val="0"/>
              <w14:checkedState w14:val="2612" w14:font="MS Gothic"/>
              <w14:uncheckedState w14:val="2610" w14:font="MS Gothic"/>
            </w14:checkbox>
          </w:sdtPr>
          <w:sdtEndPr/>
          <w:sdtContent>
            <w:tc>
              <w:tcPr>
                <w:tcW w:w="720" w:type="dxa"/>
              </w:tcPr>
              <w:p w14:paraId="3AB24E3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656FB67F" w14:textId="7A263112"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Gas Market </w:t>
            </w:r>
            <w:r w:rsidR="00FE785F">
              <w:rPr>
                <w:rFonts w:ascii="Times New Roman" w:hAnsi="Times New Roman"/>
                <w:sz w:val="20"/>
                <w:szCs w:val="20"/>
              </w:rPr>
              <w:t>–</w:t>
            </w:r>
            <w:r w:rsidRPr="00AA0BEC">
              <w:rPr>
                <w:rFonts w:ascii="Times New Roman" w:hAnsi="Times New Roman"/>
                <w:sz w:val="20"/>
                <w:szCs w:val="20"/>
              </w:rPr>
              <w:t xml:space="preserve"> Pipeline</w:t>
            </w:r>
            <w:r w:rsidR="00FE785F">
              <w:rPr>
                <w:rFonts w:ascii="Times New Roman" w:hAnsi="Times New Roman"/>
                <w:sz w:val="20"/>
                <w:szCs w:val="20"/>
              </w:rPr>
              <w:t xml:space="preserve">s </w:t>
            </w:r>
          </w:p>
        </w:tc>
      </w:tr>
      <w:tr w:rsidR="00AA0BEC" w:rsidRPr="00AA0BEC" w14:paraId="64605BAA" w14:textId="77777777" w:rsidTr="00E16F9E">
        <w:tc>
          <w:tcPr>
            <w:tcW w:w="644" w:type="dxa"/>
          </w:tcPr>
          <w:p w14:paraId="1EE10AB4"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47891268"/>
            <w14:checkbox>
              <w14:checked w14:val="0"/>
              <w14:checkedState w14:val="2612" w14:font="MS Gothic"/>
              <w14:uncheckedState w14:val="2610" w14:font="MS Gothic"/>
            </w14:checkbox>
          </w:sdtPr>
          <w:sdtEndPr/>
          <w:sdtContent>
            <w:tc>
              <w:tcPr>
                <w:tcW w:w="720" w:type="dxa"/>
              </w:tcPr>
              <w:p w14:paraId="3A645563"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362C8112" w14:textId="5069E42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Gas Market </w:t>
            </w:r>
            <w:r w:rsidR="00FE785F">
              <w:rPr>
                <w:rFonts w:ascii="Times New Roman" w:hAnsi="Times New Roman"/>
                <w:sz w:val="20"/>
                <w:szCs w:val="20"/>
              </w:rPr>
              <w:t>–</w:t>
            </w:r>
            <w:r w:rsidRPr="00AA0BEC">
              <w:rPr>
                <w:rFonts w:ascii="Times New Roman" w:hAnsi="Times New Roman"/>
                <w:sz w:val="20"/>
                <w:szCs w:val="20"/>
              </w:rPr>
              <w:t xml:space="preserve"> </w:t>
            </w:r>
            <w:r w:rsidR="00FE785F">
              <w:rPr>
                <w:rFonts w:ascii="Times New Roman" w:hAnsi="Times New Roman"/>
                <w:sz w:val="20"/>
                <w:szCs w:val="20"/>
              </w:rPr>
              <w:t>Local Distribution Companies (LDC)</w:t>
            </w:r>
          </w:p>
        </w:tc>
      </w:tr>
      <w:tr w:rsidR="00AA0BEC" w:rsidRPr="00AA0BEC" w14:paraId="1516695E" w14:textId="77777777" w:rsidTr="00E16F9E">
        <w:tc>
          <w:tcPr>
            <w:tcW w:w="644" w:type="dxa"/>
          </w:tcPr>
          <w:p w14:paraId="5FA9779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03581037"/>
            <w14:checkbox>
              <w14:checked w14:val="0"/>
              <w14:checkedState w14:val="2612" w14:font="MS Gothic"/>
              <w14:uncheckedState w14:val="2610" w14:font="MS Gothic"/>
            </w14:checkbox>
          </w:sdtPr>
          <w:sdtEndPr/>
          <w:sdtContent>
            <w:tc>
              <w:tcPr>
                <w:tcW w:w="720" w:type="dxa"/>
              </w:tcPr>
              <w:p w14:paraId="035D350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9C8BD64" w14:textId="29CA7F1A"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Gas Market – </w:t>
            </w:r>
            <w:r w:rsidR="00FE785F">
              <w:rPr>
                <w:rFonts w:ascii="Times New Roman" w:hAnsi="Times New Roman"/>
                <w:sz w:val="20"/>
                <w:szCs w:val="20"/>
              </w:rPr>
              <w:t>End-</w:t>
            </w:r>
            <w:r w:rsidR="004B40B4">
              <w:rPr>
                <w:rFonts w:ascii="Times New Roman" w:hAnsi="Times New Roman"/>
                <w:sz w:val="20"/>
                <w:szCs w:val="20"/>
              </w:rPr>
              <w:t>u</w:t>
            </w:r>
            <w:r w:rsidR="00FE785F">
              <w:rPr>
                <w:rFonts w:ascii="Times New Roman" w:hAnsi="Times New Roman"/>
                <w:sz w:val="20"/>
                <w:szCs w:val="20"/>
              </w:rPr>
              <w:t>sers</w:t>
            </w:r>
          </w:p>
        </w:tc>
      </w:tr>
      <w:tr w:rsidR="00AA0BEC" w:rsidRPr="00AA0BEC" w14:paraId="5EE79D6D" w14:textId="77777777" w:rsidTr="00E16F9E">
        <w:tc>
          <w:tcPr>
            <w:tcW w:w="644" w:type="dxa"/>
          </w:tcPr>
          <w:p w14:paraId="17D4EBEE"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549332263"/>
            <w14:checkbox>
              <w14:checked w14:val="0"/>
              <w14:checkedState w14:val="2612" w14:font="MS Gothic"/>
              <w14:uncheckedState w14:val="2610" w14:font="MS Gothic"/>
            </w14:checkbox>
          </w:sdtPr>
          <w:sdtEndPr/>
          <w:sdtContent>
            <w:tc>
              <w:tcPr>
                <w:tcW w:w="720" w:type="dxa"/>
              </w:tcPr>
              <w:p w14:paraId="5E6BC673"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67A9246F" w14:textId="6BEFD936"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Gas Market – </w:t>
            </w:r>
            <w:r w:rsidR="00FE785F">
              <w:rPr>
                <w:rFonts w:ascii="Times New Roman" w:hAnsi="Times New Roman"/>
                <w:sz w:val="20"/>
                <w:szCs w:val="20"/>
              </w:rPr>
              <w:t>Services</w:t>
            </w:r>
          </w:p>
        </w:tc>
      </w:tr>
      <w:tr w:rsidR="00AA0BEC" w:rsidRPr="00AA0BEC" w14:paraId="65DC8F1D" w14:textId="77777777" w:rsidTr="00E16F9E">
        <w:tc>
          <w:tcPr>
            <w:tcW w:w="644" w:type="dxa"/>
          </w:tcPr>
          <w:p w14:paraId="768F3609"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728806743"/>
            <w14:checkbox>
              <w14:checked w14:val="0"/>
              <w14:checkedState w14:val="2612" w14:font="MS Gothic"/>
              <w14:uncheckedState w14:val="2610" w14:font="MS Gothic"/>
            </w14:checkbox>
          </w:sdtPr>
          <w:sdtEndPr/>
          <w:sdtContent>
            <w:tc>
              <w:tcPr>
                <w:tcW w:w="720" w:type="dxa"/>
              </w:tcPr>
              <w:p w14:paraId="6F18F67F"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BB55076" w14:textId="6B6CDF8E"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Electric Market – Transmission </w:t>
            </w:r>
          </w:p>
        </w:tc>
      </w:tr>
      <w:tr w:rsidR="00AA0BEC" w:rsidRPr="00AA0BEC" w14:paraId="23921E3D" w14:textId="77777777" w:rsidTr="00E16F9E">
        <w:tc>
          <w:tcPr>
            <w:tcW w:w="644" w:type="dxa"/>
          </w:tcPr>
          <w:p w14:paraId="596B39FA"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449475616"/>
            <w14:checkbox>
              <w14:checked w14:val="0"/>
              <w14:checkedState w14:val="2612" w14:font="MS Gothic"/>
              <w14:uncheckedState w14:val="2610" w14:font="MS Gothic"/>
            </w14:checkbox>
          </w:sdtPr>
          <w:sdtEndPr/>
          <w:sdtContent>
            <w:tc>
              <w:tcPr>
                <w:tcW w:w="720" w:type="dxa"/>
              </w:tcPr>
              <w:p w14:paraId="019C21F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DD0852E" w14:textId="19B327EC"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Generat</w:t>
            </w:r>
            <w:r w:rsidR="00FE785F">
              <w:rPr>
                <w:rFonts w:ascii="Times New Roman" w:hAnsi="Times New Roman"/>
                <w:sz w:val="20"/>
                <w:szCs w:val="20"/>
              </w:rPr>
              <w:t>ion</w:t>
            </w:r>
          </w:p>
        </w:tc>
      </w:tr>
      <w:tr w:rsidR="00AA0BEC" w:rsidRPr="00AA0BEC" w14:paraId="6AB58F28" w14:textId="77777777" w:rsidTr="00E16F9E">
        <w:tc>
          <w:tcPr>
            <w:tcW w:w="644" w:type="dxa"/>
          </w:tcPr>
          <w:p w14:paraId="379ED80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6226810"/>
            <w14:checkbox>
              <w14:checked w14:val="0"/>
              <w14:checkedState w14:val="2612" w14:font="MS Gothic"/>
              <w14:uncheckedState w14:val="2610" w14:font="MS Gothic"/>
            </w14:checkbox>
          </w:sdtPr>
          <w:sdtEndPr/>
          <w:sdtContent>
            <w:tc>
              <w:tcPr>
                <w:tcW w:w="720" w:type="dxa"/>
              </w:tcPr>
              <w:p w14:paraId="63D1BA5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FE7625D" w14:textId="0BE3EFB5"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Electric Market – </w:t>
            </w:r>
            <w:r w:rsidR="00FE785F" w:rsidRPr="00FE785F">
              <w:rPr>
                <w:rFonts w:ascii="Times New Roman" w:hAnsi="Times New Roman"/>
                <w:sz w:val="20"/>
                <w:szCs w:val="20"/>
              </w:rPr>
              <w:t>Marketer</w:t>
            </w:r>
            <w:r w:rsidR="00FE785F">
              <w:rPr>
                <w:rFonts w:ascii="Times New Roman" w:hAnsi="Times New Roman"/>
                <w:sz w:val="20"/>
                <w:szCs w:val="20"/>
              </w:rPr>
              <w:t>s</w:t>
            </w:r>
            <w:r w:rsidR="00FE785F" w:rsidRPr="00FE785F">
              <w:rPr>
                <w:rFonts w:ascii="Times New Roman" w:hAnsi="Times New Roman"/>
                <w:sz w:val="20"/>
                <w:szCs w:val="20"/>
              </w:rPr>
              <w:t>/Broker</w:t>
            </w:r>
            <w:r w:rsidR="00FE785F">
              <w:rPr>
                <w:rFonts w:ascii="Times New Roman" w:hAnsi="Times New Roman"/>
                <w:sz w:val="20"/>
                <w:szCs w:val="20"/>
              </w:rPr>
              <w:t>s</w:t>
            </w:r>
            <w:r w:rsidR="00FE785F" w:rsidRPr="00FE785F">
              <w:rPr>
                <w:rFonts w:ascii="Times New Roman" w:hAnsi="Times New Roman"/>
                <w:sz w:val="20"/>
                <w:szCs w:val="20"/>
              </w:rPr>
              <w:t xml:space="preserve"> </w:t>
            </w:r>
          </w:p>
        </w:tc>
      </w:tr>
      <w:tr w:rsidR="00AA0BEC" w:rsidRPr="00AA0BEC" w14:paraId="0888CDB7" w14:textId="77777777" w:rsidTr="00E16F9E">
        <w:tc>
          <w:tcPr>
            <w:tcW w:w="644" w:type="dxa"/>
          </w:tcPr>
          <w:p w14:paraId="5241D7A8"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326258278"/>
            <w14:checkbox>
              <w14:checked w14:val="0"/>
              <w14:checkedState w14:val="2612" w14:font="MS Gothic"/>
              <w14:uncheckedState w14:val="2610" w14:font="MS Gothic"/>
            </w14:checkbox>
          </w:sdtPr>
          <w:sdtEndPr/>
          <w:sdtContent>
            <w:tc>
              <w:tcPr>
                <w:tcW w:w="720" w:type="dxa"/>
              </w:tcPr>
              <w:p w14:paraId="42FB37F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3A9F3388" w14:textId="4ED66209"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Electric Market – </w:t>
            </w:r>
            <w:r w:rsidR="00FE785F" w:rsidRPr="00FE785F">
              <w:rPr>
                <w:rFonts w:ascii="Times New Roman" w:hAnsi="Times New Roman"/>
                <w:sz w:val="20"/>
                <w:szCs w:val="20"/>
              </w:rPr>
              <w:t>Distributor/Load Serving Enti</w:t>
            </w:r>
            <w:r w:rsidR="00FE785F">
              <w:rPr>
                <w:rFonts w:ascii="Times New Roman" w:hAnsi="Times New Roman"/>
                <w:sz w:val="20"/>
                <w:szCs w:val="20"/>
              </w:rPr>
              <w:t>ties</w:t>
            </w:r>
          </w:p>
        </w:tc>
      </w:tr>
      <w:tr w:rsidR="00AA0BEC" w:rsidRPr="00AA0BEC" w14:paraId="63A30B97" w14:textId="77777777" w:rsidTr="00E16F9E">
        <w:tc>
          <w:tcPr>
            <w:tcW w:w="644" w:type="dxa"/>
          </w:tcPr>
          <w:p w14:paraId="034888C7"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93259807"/>
            <w14:checkbox>
              <w14:checked w14:val="0"/>
              <w14:checkedState w14:val="2612" w14:font="MS Gothic"/>
              <w14:uncheckedState w14:val="2610" w14:font="MS Gothic"/>
            </w14:checkbox>
          </w:sdtPr>
          <w:sdtEndPr/>
          <w:sdtContent>
            <w:tc>
              <w:tcPr>
                <w:tcW w:w="720" w:type="dxa"/>
              </w:tcPr>
              <w:p w14:paraId="10B3DC9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F232DDB" w14:textId="3DBF3F3B"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Electric Market – </w:t>
            </w:r>
            <w:r w:rsidR="00FE785F" w:rsidRPr="00FE785F">
              <w:rPr>
                <w:rFonts w:ascii="Times New Roman" w:hAnsi="Times New Roman"/>
                <w:sz w:val="20"/>
                <w:szCs w:val="20"/>
              </w:rPr>
              <w:t>End User</w:t>
            </w:r>
            <w:r w:rsidR="00FE785F">
              <w:rPr>
                <w:rFonts w:ascii="Times New Roman" w:hAnsi="Times New Roman"/>
                <w:sz w:val="20"/>
                <w:szCs w:val="20"/>
              </w:rPr>
              <w:t>s</w:t>
            </w:r>
            <w:r w:rsidR="00FE785F" w:rsidRPr="00FE785F">
              <w:rPr>
                <w:rFonts w:ascii="Times New Roman" w:hAnsi="Times New Roman"/>
                <w:sz w:val="20"/>
                <w:szCs w:val="20"/>
              </w:rPr>
              <w:t xml:space="preserve"> </w:t>
            </w:r>
          </w:p>
        </w:tc>
      </w:tr>
      <w:tr w:rsidR="00AA0BEC" w:rsidRPr="00AA0BEC" w14:paraId="5B40BEE5" w14:textId="77777777" w:rsidTr="00E16F9E">
        <w:tc>
          <w:tcPr>
            <w:tcW w:w="644" w:type="dxa"/>
          </w:tcPr>
          <w:p w14:paraId="01008251"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037837363"/>
            <w14:checkbox>
              <w14:checked w14:val="0"/>
              <w14:checkedState w14:val="2612" w14:font="MS Gothic"/>
              <w14:uncheckedState w14:val="2610" w14:font="MS Gothic"/>
            </w14:checkbox>
          </w:sdtPr>
          <w:sdtEndPr/>
          <w:sdtContent>
            <w:tc>
              <w:tcPr>
                <w:tcW w:w="720" w:type="dxa"/>
              </w:tcPr>
              <w:p w14:paraId="0B940478"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87C150F" w14:textId="4F721BDF"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Electric Market – </w:t>
            </w:r>
            <w:r w:rsidR="00FE785F" w:rsidRPr="00FE785F">
              <w:rPr>
                <w:rFonts w:ascii="Times New Roman" w:hAnsi="Times New Roman"/>
                <w:sz w:val="20"/>
                <w:szCs w:val="20"/>
              </w:rPr>
              <w:t>Independent Grid Operator</w:t>
            </w:r>
            <w:r w:rsidR="00FE785F">
              <w:rPr>
                <w:rFonts w:ascii="Times New Roman" w:hAnsi="Times New Roman"/>
                <w:sz w:val="20"/>
                <w:szCs w:val="20"/>
              </w:rPr>
              <w:t>s/</w:t>
            </w:r>
            <w:r w:rsidR="00FE785F" w:rsidRPr="00FE785F">
              <w:rPr>
                <w:rFonts w:ascii="Times New Roman" w:hAnsi="Times New Roman"/>
                <w:sz w:val="20"/>
                <w:szCs w:val="20"/>
              </w:rPr>
              <w:t>Planner</w:t>
            </w:r>
            <w:r w:rsidR="00FE785F">
              <w:rPr>
                <w:rFonts w:ascii="Times New Roman" w:hAnsi="Times New Roman"/>
                <w:sz w:val="20"/>
                <w:szCs w:val="20"/>
              </w:rPr>
              <w:t>s</w:t>
            </w:r>
          </w:p>
        </w:tc>
      </w:tr>
      <w:tr w:rsidR="00AA0BEC" w:rsidRPr="00AA0BEC" w14:paraId="62AA1068" w14:textId="77777777" w:rsidTr="00E16F9E">
        <w:tc>
          <w:tcPr>
            <w:tcW w:w="644" w:type="dxa"/>
          </w:tcPr>
          <w:p w14:paraId="5DE842A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88697232"/>
            <w14:checkbox>
              <w14:checked w14:val="0"/>
              <w14:checkedState w14:val="2612" w14:font="MS Gothic"/>
              <w14:uncheckedState w14:val="2610" w14:font="MS Gothic"/>
            </w14:checkbox>
          </w:sdtPr>
          <w:sdtEndPr/>
          <w:sdtContent>
            <w:tc>
              <w:tcPr>
                <w:tcW w:w="720" w:type="dxa"/>
              </w:tcPr>
              <w:p w14:paraId="32515330"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4F12875" w14:textId="6D98DA56"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Wholesale Electric Market – Technology </w:t>
            </w:r>
            <w:r w:rsidR="00FE785F">
              <w:rPr>
                <w:rFonts w:ascii="Times New Roman" w:hAnsi="Times New Roman"/>
                <w:sz w:val="20"/>
                <w:szCs w:val="20"/>
              </w:rPr>
              <w:t xml:space="preserve">and </w:t>
            </w:r>
            <w:r w:rsidRPr="00AA0BEC">
              <w:rPr>
                <w:rFonts w:ascii="Times New Roman" w:hAnsi="Times New Roman"/>
                <w:sz w:val="20"/>
                <w:szCs w:val="20"/>
              </w:rPr>
              <w:t>Service</w:t>
            </w:r>
            <w:r w:rsidR="00FE785F">
              <w:rPr>
                <w:rFonts w:ascii="Times New Roman" w:hAnsi="Times New Roman"/>
                <w:sz w:val="20"/>
                <w:szCs w:val="20"/>
              </w:rPr>
              <w:t>s</w:t>
            </w:r>
          </w:p>
        </w:tc>
      </w:tr>
      <w:tr w:rsidR="00AA0BEC" w:rsidRPr="00AA0BEC" w14:paraId="6BCDB831" w14:textId="77777777" w:rsidTr="00E16F9E">
        <w:tc>
          <w:tcPr>
            <w:tcW w:w="644" w:type="dxa"/>
          </w:tcPr>
          <w:p w14:paraId="31444205"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961379815"/>
            <w14:checkbox>
              <w14:checked w14:val="0"/>
              <w14:checkedState w14:val="2612" w14:font="MS Gothic"/>
              <w14:uncheckedState w14:val="2610" w14:font="MS Gothic"/>
            </w14:checkbox>
          </w:sdtPr>
          <w:sdtEndPr/>
          <w:sdtContent>
            <w:tc>
              <w:tcPr>
                <w:tcW w:w="720" w:type="dxa"/>
              </w:tcPr>
              <w:p w14:paraId="22A5844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2D12037" w14:textId="55E7B6D9"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Electric Service Provider</w:t>
            </w:r>
            <w:r w:rsidR="00FE785F">
              <w:rPr>
                <w:rFonts w:ascii="Times New Roman" w:hAnsi="Times New Roman"/>
                <w:sz w:val="20"/>
                <w:szCs w:val="20"/>
              </w:rPr>
              <w:t>s</w:t>
            </w:r>
            <w:r w:rsidRPr="00AA0BEC">
              <w:rPr>
                <w:rFonts w:ascii="Times New Roman" w:hAnsi="Times New Roman"/>
                <w:sz w:val="20"/>
                <w:szCs w:val="20"/>
              </w:rPr>
              <w:t>/Supplier</w:t>
            </w:r>
            <w:r w:rsidR="00FE785F">
              <w:rPr>
                <w:rFonts w:ascii="Times New Roman" w:hAnsi="Times New Roman"/>
                <w:sz w:val="20"/>
                <w:szCs w:val="20"/>
              </w:rPr>
              <w:t>s</w:t>
            </w:r>
          </w:p>
        </w:tc>
      </w:tr>
      <w:tr w:rsidR="00AA0BEC" w:rsidRPr="00AA0BEC" w14:paraId="0AE77DE2" w14:textId="77777777" w:rsidTr="00E16F9E">
        <w:tc>
          <w:tcPr>
            <w:tcW w:w="644" w:type="dxa"/>
          </w:tcPr>
          <w:p w14:paraId="4E202450"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27847111"/>
            <w14:checkbox>
              <w14:checked w14:val="0"/>
              <w14:checkedState w14:val="2612" w14:font="MS Gothic"/>
              <w14:uncheckedState w14:val="2610" w14:font="MS Gothic"/>
            </w14:checkbox>
          </w:sdtPr>
          <w:sdtEndPr/>
          <w:sdtContent>
            <w:tc>
              <w:tcPr>
                <w:tcW w:w="720" w:type="dxa"/>
              </w:tcPr>
              <w:p w14:paraId="421DFC4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13645397" w14:textId="3A1692F1"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Retail Energy Market – </w:t>
            </w:r>
            <w:r w:rsidR="00FE785F" w:rsidRPr="00FE785F">
              <w:rPr>
                <w:rFonts w:ascii="Times New Roman" w:hAnsi="Times New Roman"/>
                <w:sz w:val="20"/>
                <w:szCs w:val="20"/>
              </w:rPr>
              <w:t>Retail Electric Utilit</w:t>
            </w:r>
            <w:r w:rsidR="00FE785F">
              <w:rPr>
                <w:rFonts w:ascii="Times New Roman" w:hAnsi="Times New Roman"/>
                <w:sz w:val="20"/>
                <w:szCs w:val="20"/>
              </w:rPr>
              <w:t>ies</w:t>
            </w:r>
          </w:p>
        </w:tc>
      </w:tr>
      <w:tr w:rsidR="00AA0BEC" w:rsidRPr="00AA0BEC" w14:paraId="186EAC83" w14:textId="77777777" w:rsidTr="00E16F9E">
        <w:tc>
          <w:tcPr>
            <w:tcW w:w="644" w:type="dxa"/>
          </w:tcPr>
          <w:p w14:paraId="6DD4F927"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26077829"/>
            <w14:checkbox>
              <w14:checked w14:val="0"/>
              <w14:checkedState w14:val="2612" w14:font="MS Gothic"/>
              <w14:uncheckedState w14:val="2610" w14:font="MS Gothic"/>
            </w14:checkbox>
          </w:sdtPr>
          <w:sdtEndPr/>
          <w:sdtContent>
            <w:tc>
              <w:tcPr>
                <w:tcW w:w="720" w:type="dxa"/>
              </w:tcPr>
              <w:p w14:paraId="1E6733E6"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83EB33A" w14:textId="012314A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Retail Energy Market – </w:t>
            </w:r>
            <w:r w:rsidR="00FE785F">
              <w:rPr>
                <w:rFonts w:ascii="Times New Roman" w:hAnsi="Times New Roman"/>
                <w:sz w:val="20"/>
                <w:szCs w:val="20"/>
              </w:rPr>
              <w:t xml:space="preserve">Retail Electric </w:t>
            </w:r>
            <w:r w:rsidR="00FE785F" w:rsidRPr="00FE785F">
              <w:rPr>
                <w:rFonts w:ascii="Times New Roman" w:hAnsi="Times New Roman"/>
                <w:sz w:val="20"/>
                <w:szCs w:val="20"/>
              </w:rPr>
              <w:t>End User</w:t>
            </w:r>
            <w:r w:rsidR="00FE785F">
              <w:rPr>
                <w:rFonts w:ascii="Times New Roman" w:hAnsi="Times New Roman"/>
                <w:sz w:val="20"/>
                <w:szCs w:val="20"/>
              </w:rPr>
              <w:t>s</w:t>
            </w:r>
            <w:r w:rsidR="00FE785F" w:rsidRPr="00FE785F">
              <w:rPr>
                <w:rFonts w:ascii="Times New Roman" w:hAnsi="Times New Roman"/>
                <w:sz w:val="20"/>
                <w:szCs w:val="20"/>
              </w:rPr>
              <w:t>/Public Agenc</w:t>
            </w:r>
            <w:r w:rsidR="00FE785F">
              <w:rPr>
                <w:rFonts w:ascii="Times New Roman" w:hAnsi="Times New Roman"/>
                <w:sz w:val="20"/>
                <w:szCs w:val="20"/>
              </w:rPr>
              <w:t>ies</w:t>
            </w:r>
          </w:p>
        </w:tc>
      </w:tr>
      <w:tr w:rsidR="00AA0BEC" w:rsidRPr="00AA0BEC" w14:paraId="50917565" w14:textId="77777777" w:rsidTr="00E16F9E">
        <w:tc>
          <w:tcPr>
            <w:tcW w:w="644" w:type="dxa"/>
          </w:tcPr>
          <w:p w14:paraId="68DCDB8E"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064065584"/>
            <w14:checkbox>
              <w14:checked w14:val="0"/>
              <w14:checkedState w14:val="2612" w14:font="MS Gothic"/>
              <w14:uncheckedState w14:val="2610" w14:font="MS Gothic"/>
            </w14:checkbox>
          </w:sdtPr>
          <w:sdtEndPr/>
          <w:sdtContent>
            <w:tc>
              <w:tcPr>
                <w:tcW w:w="720" w:type="dxa"/>
              </w:tcPr>
              <w:p w14:paraId="7BDFB8B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0BF28EA" w14:textId="3231A79C"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 xml:space="preserve">Retail Energy Market – </w:t>
            </w:r>
            <w:r w:rsidR="00FE785F" w:rsidRPr="00FE785F">
              <w:rPr>
                <w:rFonts w:ascii="Times New Roman" w:hAnsi="Times New Roman"/>
                <w:sz w:val="20"/>
                <w:szCs w:val="20"/>
              </w:rPr>
              <w:t xml:space="preserve">Retail Gas Market </w:t>
            </w:r>
            <w:r w:rsidR="004B40B4">
              <w:rPr>
                <w:rFonts w:ascii="Times New Roman" w:hAnsi="Times New Roman"/>
                <w:sz w:val="20"/>
                <w:szCs w:val="20"/>
              </w:rPr>
              <w:t>Interests</w:t>
            </w:r>
          </w:p>
        </w:tc>
      </w:tr>
      <w:tr w:rsidR="00AA0BEC" w:rsidRPr="00AA0BEC" w14:paraId="6D47DB46" w14:textId="77777777" w:rsidTr="00E16F9E">
        <w:tc>
          <w:tcPr>
            <w:tcW w:w="644" w:type="dxa"/>
          </w:tcPr>
          <w:p w14:paraId="77517C1B"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822889985"/>
            <w14:checkbox>
              <w14:checked w14:val="0"/>
              <w14:checkedState w14:val="2612" w14:font="MS Gothic"/>
              <w14:uncheckedState w14:val="2610" w14:font="MS Gothic"/>
            </w14:checkbox>
          </w:sdtPr>
          <w:sdtEndPr/>
          <w:sdtContent>
            <w:tc>
              <w:tcPr>
                <w:tcW w:w="720" w:type="dxa"/>
              </w:tcPr>
              <w:p w14:paraId="0C12FE8A"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FBBA8C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Other Market Participant / Observer</w:t>
            </w:r>
          </w:p>
        </w:tc>
      </w:tr>
    </w:tbl>
    <w:p w14:paraId="63EAC7E0" w14:textId="6D2FF3F7" w:rsidR="00234ABC" w:rsidRDefault="00234ABC" w:rsidP="00AA0BEC">
      <w:pPr>
        <w:spacing w:before="120" w:after="120"/>
        <w:jc w:val="both"/>
        <w:rPr>
          <w:rFonts w:ascii="Times New Roman" w:hAnsi="Times New Roman"/>
          <w:snapToGrid w:val="0"/>
          <w:color w:val="000000"/>
        </w:rPr>
      </w:pPr>
    </w:p>
    <w:p w14:paraId="2821A00A" w14:textId="77777777" w:rsidR="00645652" w:rsidRPr="0046215D" w:rsidRDefault="00234ABC" w:rsidP="00645652">
      <w:pPr>
        <w:spacing w:before="120" w:after="120"/>
        <w:rPr>
          <w:rFonts w:ascii="Times New Roman" w:hAnsi="Times New Roman"/>
        </w:rPr>
      </w:pPr>
      <w:r>
        <w:rPr>
          <w:rFonts w:ascii="Times New Roman" w:hAnsi="Times New Roman"/>
          <w:snapToGrid w:val="0"/>
          <w:color w:val="000000"/>
        </w:rPr>
        <w:br w:type="page"/>
      </w:r>
      <w:r w:rsidR="00645652" w:rsidRPr="0046215D">
        <w:rPr>
          <w:rFonts w:ascii="Times New Roman" w:hAnsi="Times New Roman"/>
          <w:b/>
          <w:bCs/>
          <w:i/>
          <w:iCs/>
          <w:u w:val="single"/>
        </w:rPr>
        <w:lastRenderedPageBreak/>
        <w:t>Recommendation 1</w:t>
      </w:r>
      <w:r w:rsidR="00645652" w:rsidRPr="0046215D">
        <w:rPr>
          <w:rFonts w:ascii="Times New Roman" w:hAnsi="Times New Roman"/>
        </w:rPr>
        <w:t xml:space="preserve">:  </w:t>
      </w:r>
      <w:r w:rsidR="00645652">
        <w:rPr>
          <w:rFonts w:ascii="Times New Roman" w:hAnsi="Times New Roman"/>
        </w:rPr>
        <w:t>T</w:t>
      </w:r>
      <w:r w:rsidR="00645652" w:rsidRPr="0046215D">
        <w:rPr>
          <w:rFonts w:ascii="Times New Roman" w:hAnsi="Times New Roman"/>
        </w:rPr>
        <w:t xml:space="preserve">he FERC should </w:t>
      </w:r>
      <w:r w:rsidR="00645652">
        <w:rPr>
          <w:rFonts w:ascii="Times New Roman" w:hAnsi="Times New Roman"/>
        </w:rPr>
        <w:t>direct NAESB to revise its</w:t>
      </w:r>
      <w:r w:rsidR="00645652" w:rsidRPr="0046215D">
        <w:rPr>
          <w:rFonts w:ascii="Times New Roman" w:hAnsi="Times New Roman"/>
        </w:rPr>
        <w:t xml:space="preserve"> business practice standards related to the timely reporting of </w:t>
      </w:r>
      <w:r w:rsidR="00645652">
        <w:rPr>
          <w:rFonts w:ascii="Times New Roman" w:hAnsi="Times New Roman"/>
        </w:rPr>
        <w:t xml:space="preserve">natural gas pipeline </w:t>
      </w:r>
      <w:r w:rsidR="00645652" w:rsidRPr="0046215D">
        <w:rPr>
          <w:rFonts w:ascii="Times New Roman" w:hAnsi="Times New Roman"/>
        </w:rPr>
        <w:t xml:space="preserve">informational website posting data </w:t>
      </w:r>
      <w:r w:rsidR="00645652">
        <w:rPr>
          <w:rFonts w:ascii="Times New Roman" w:hAnsi="Times New Roman"/>
        </w:rPr>
        <w:t>(</w:t>
      </w:r>
      <w:r w:rsidR="00645652" w:rsidRPr="0046215D">
        <w:rPr>
          <w:rFonts w:ascii="Times New Roman" w:hAnsi="Times New Roman"/>
        </w:rPr>
        <w:t>such as operationally available capacity</w:t>
      </w:r>
      <w:r w:rsidR="00645652">
        <w:rPr>
          <w:rFonts w:ascii="Times New Roman" w:hAnsi="Times New Roman"/>
        </w:rPr>
        <w:t>,</w:t>
      </w:r>
      <w:r w:rsidR="00645652" w:rsidRPr="0046215D">
        <w:rPr>
          <w:rFonts w:ascii="Times New Roman" w:hAnsi="Times New Roman"/>
        </w:rPr>
        <w:t xml:space="preserve"> total scheduled quantity, </w:t>
      </w:r>
      <w:r w:rsidR="00645652">
        <w:rPr>
          <w:rFonts w:ascii="Times New Roman" w:hAnsi="Times New Roman"/>
        </w:rPr>
        <w:t xml:space="preserve">and any other data necessary to assist regional operators in maintaining system reliability) to enable </w:t>
      </w:r>
      <w:r w:rsidR="00645652" w:rsidRPr="0046215D">
        <w:rPr>
          <w:rFonts w:ascii="Times New Roman" w:hAnsi="Times New Roman"/>
        </w:rPr>
        <w:t xml:space="preserve">the data and any </w:t>
      </w:r>
      <w:r w:rsidR="00645652">
        <w:rPr>
          <w:rFonts w:ascii="Times New Roman" w:hAnsi="Times New Roman"/>
        </w:rPr>
        <w:t xml:space="preserve">subsequent amendments to become routinely accessible </w:t>
      </w:r>
      <w:r w:rsidR="00645652" w:rsidRPr="0046215D">
        <w:rPr>
          <w:rFonts w:ascii="Times New Roman" w:hAnsi="Times New Roman"/>
        </w:rPr>
        <w:t>to Bulk Electric System operators</w:t>
      </w:r>
      <w:r w:rsidR="00645652">
        <w:rPr>
          <w:rFonts w:ascii="Times New Roman" w:hAnsi="Times New Roman"/>
        </w:rPr>
        <w:t xml:space="preserve"> as soon as such data are reported and available</w:t>
      </w:r>
      <w:r w:rsidR="00645652" w:rsidRPr="0046215D">
        <w:rPr>
          <w:rFonts w:ascii="Times New Roman" w:hAnsi="Times New Roman"/>
        </w:rPr>
        <w:t>.</w:t>
      </w:r>
    </w:p>
    <w:p w14:paraId="2D0564F1"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Recommendation 2</w:t>
      </w:r>
      <w:r w:rsidRPr="0046215D">
        <w:rPr>
          <w:rFonts w:ascii="Times New Roman" w:hAnsi="Times New Roman"/>
        </w:rPr>
        <w:t xml:space="preserve">:  </w:t>
      </w:r>
      <w:bookmarkStart w:id="7" w:name="_Hlk139895767"/>
      <w:r>
        <w:rPr>
          <w:rFonts w:ascii="Times New Roman" w:hAnsi="Times New Roman"/>
        </w:rPr>
        <w:t xml:space="preserve">The FERC should take steps to facilitate the expansion of the </w:t>
      </w:r>
      <w:r w:rsidRPr="0046215D">
        <w:rPr>
          <w:rFonts w:ascii="Times New Roman" w:hAnsi="Times New Roman"/>
        </w:rPr>
        <w:t>Argonne National Laboratory</w:t>
      </w:r>
      <w:r>
        <w:rPr>
          <w:rFonts w:ascii="Times New Roman" w:hAnsi="Times New Roman"/>
        </w:rPr>
        <w:t xml:space="preserve"> </w:t>
      </w:r>
      <w:proofErr w:type="spellStart"/>
      <w:r>
        <w:rPr>
          <w:rFonts w:ascii="Times New Roman" w:hAnsi="Times New Roman"/>
        </w:rPr>
        <w:t>NGInsight</w:t>
      </w:r>
      <w:proofErr w:type="spellEnd"/>
      <w:r>
        <w:rPr>
          <w:rFonts w:ascii="Times New Roman" w:hAnsi="Times New Roman"/>
        </w:rPr>
        <w:t xml:space="preserve"> tool,</w:t>
      </w:r>
      <w:r w:rsidRPr="0046215D">
        <w:rPr>
          <w:rFonts w:ascii="Times New Roman" w:hAnsi="Times New Roman"/>
        </w:rPr>
        <w:t xml:space="preserve"> with </w:t>
      </w:r>
      <w:r>
        <w:rPr>
          <w:rFonts w:ascii="Times New Roman" w:hAnsi="Times New Roman"/>
        </w:rPr>
        <w:t>funding</w:t>
      </w:r>
      <w:r w:rsidRPr="0046215D">
        <w:rPr>
          <w:rFonts w:ascii="Times New Roman" w:hAnsi="Times New Roman"/>
        </w:rPr>
        <w:t xml:space="preserve"> </w:t>
      </w:r>
      <w:r>
        <w:rPr>
          <w:rFonts w:ascii="Times New Roman" w:hAnsi="Times New Roman"/>
        </w:rPr>
        <w:t xml:space="preserve">from </w:t>
      </w:r>
      <w:r w:rsidRPr="0046215D">
        <w:rPr>
          <w:rFonts w:ascii="Times New Roman" w:hAnsi="Times New Roman"/>
        </w:rPr>
        <w:t xml:space="preserve">a </w:t>
      </w:r>
      <w:r>
        <w:rPr>
          <w:rFonts w:ascii="Times New Roman" w:hAnsi="Times New Roman"/>
        </w:rPr>
        <w:t xml:space="preserve">federal </w:t>
      </w:r>
      <w:r w:rsidRPr="0046215D">
        <w:rPr>
          <w:rFonts w:ascii="Times New Roman" w:hAnsi="Times New Roman"/>
        </w:rPr>
        <w:t>governmental agency, such as the Department of Energy</w:t>
      </w:r>
      <w:r>
        <w:rPr>
          <w:rFonts w:ascii="Times New Roman" w:hAnsi="Times New Roman"/>
        </w:rPr>
        <w:t xml:space="preserve">, to </w:t>
      </w:r>
      <w:r w:rsidRPr="0046215D">
        <w:rPr>
          <w:rFonts w:ascii="Times New Roman" w:hAnsi="Times New Roman"/>
        </w:rPr>
        <w:t xml:space="preserve">improve situational awareness and communication between the </w:t>
      </w:r>
      <w:r>
        <w:rPr>
          <w:rFonts w:ascii="Times New Roman" w:hAnsi="Times New Roman"/>
        </w:rPr>
        <w:t xml:space="preserve">natural </w:t>
      </w:r>
      <w:r w:rsidRPr="0046215D">
        <w:rPr>
          <w:rFonts w:ascii="Times New Roman" w:hAnsi="Times New Roman"/>
        </w:rPr>
        <w:t>gas pipeline system and Bulk Electric System operators</w:t>
      </w:r>
      <w:r>
        <w:rPr>
          <w:rFonts w:ascii="Times New Roman" w:hAnsi="Times New Roman"/>
        </w:rPr>
        <w:t xml:space="preserve">. </w:t>
      </w:r>
      <w:bookmarkEnd w:id="7"/>
      <w:r>
        <w:rPr>
          <w:rFonts w:ascii="Times New Roman" w:hAnsi="Times New Roman"/>
        </w:rPr>
        <w:t>Access to and use of this tool should include appropriate security protocols and market protections</w:t>
      </w:r>
      <w:r w:rsidRPr="0046215D">
        <w:rPr>
          <w:rFonts w:ascii="Times New Roman" w:hAnsi="Times New Roman"/>
        </w:rPr>
        <w:t>.</w:t>
      </w:r>
    </w:p>
    <w:p w14:paraId="42FE4C10" w14:textId="77777777" w:rsidR="00645652" w:rsidRDefault="00645652" w:rsidP="00645652">
      <w:pPr>
        <w:spacing w:before="120" w:after="120"/>
        <w:rPr>
          <w:rFonts w:ascii="Times New Roman" w:hAnsi="Times New Roman"/>
        </w:rPr>
      </w:pPr>
      <w:r w:rsidRPr="0046215D">
        <w:rPr>
          <w:rFonts w:ascii="Times New Roman" w:hAnsi="Times New Roman"/>
          <w:b/>
          <w:bCs/>
          <w:i/>
          <w:iCs/>
          <w:u w:val="single"/>
        </w:rPr>
        <w:t>Recommendation 3</w:t>
      </w:r>
      <w:r w:rsidRPr="0046215D">
        <w:rPr>
          <w:rFonts w:ascii="Times New Roman" w:hAnsi="Times New Roman"/>
        </w:rPr>
        <w:t xml:space="preserve">:  </w:t>
      </w:r>
      <w:r>
        <w:rPr>
          <w:rFonts w:ascii="Times New Roman" w:hAnsi="Times New Roman"/>
        </w:rPr>
        <w:t xml:space="preserve">The FERC should take steps to facilitate the expansion of the </w:t>
      </w:r>
      <w:r w:rsidRPr="0046215D">
        <w:rPr>
          <w:rFonts w:ascii="Times New Roman" w:hAnsi="Times New Roman"/>
        </w:rPr>
        <w:t>Argonne National Laboratory</w:t>
      </w:r>
      <w:r>
        <w:rPr>
          <w:rFonts w:ascii="Times New Roman" w:hAnsi="Times New Roman"/>
        </w:rPr>
        <w:t xml:space="preserve"> </w:t>
      </w:r>
      <w:proofErr w:type="spellStart"/>
      <w:r>
        <w:rPr>
          <w:rFonts w:ascii="Times New Roman" w:hAnsi="Times New Roman"/>
        </w:rPr>
        <w:t>NGInsight</w:t>
      </w:r>
      <w:proofErr w:type="spellEnd"/>
      <w:r>
        <w:rPr>
          <w:rFonts w:ascii="Times New Roman" w:hAnsi="Times New Roman"/>
        </w:rPr>
        <w:t xml:space="preserve"> tool,</w:t>
      </w:r>
      <w:r w:rsidRPr="0046215D">
        <w:rPr>
          <w:rFonts w:ascii="Times New Roman" w:hAnsi="Times New Roman"/>
        </w:rPr>
        <w:t xml:space="preserve"> with </w:t>
      </w:r>
      <w:r>
        <w:rPr>
          <w:rFonts w:ascii="Times New Roman" w:hAnsi="Times New Roman"/>
        </w:rPr>
        <w:t>funding</w:t>
      </w:r>
      <w:r w:rsidRPr="0046215D">
        <w:rPr>
          <w:rFonts w:ascii="Times New Roman" w:hAnsi="Times New Roman"/>
        </w:rPr>
        <w:t xml:space="preserve"> </w:t>
      </w:r>
      <w:r>
        <w:rPr>
          <w:rFonts w:ascii="Times New Roman" w:hAnsi="Times New Roman"/>
        </w:rPr>
        <w:t xml:space="preserve">from </w:t>
      </w:r>
      <w:r w:rsidRPr="0046215D">
        <w:rPr>
          <w:rFonts w:ascii="Times New Roman" w:hAnsi="Times New Roman"/>
        </w:rPr>
        <w:t xml:space="preserve">a </w:t>
      </w:r>
      <w:r>
        <w:rPr>
          <w:rFonts w:ascii="Times New Roman" w:hAnsi="Times New Roman"/>
        </w:rPr>
        <w:t xml:space="preserve">federal </w:t>
      </w:r>
      <w:r w:rsidRPr="0046215D">
        <w:rPr>
          <w:rFonts w:ascii="Times New Roman" w:hAnsi="Times New Roman"/>
        </w:rPr>
        <w:t>governmental agency, such as the Department of Energy</w:t>
      </w:r>
      <w:r>
        <w:rPr>
          <w:rFonts w:ascii="Times New Roman" w:hAnsi="Times New Roman"/>
        </w:rPr>
        <w:t xml:space="preserve">, to </w:t>
      </w:r>
      <w:r w:rsidRPr="0046215D">
        <w:rPr>
          <w:rFonts w:ascii="Times New Roman" w:hAnsi="Times New Roman"/>
        </w:rPr>
        <w:t xml:space="preserve">improve situational awareness and communication between </w:t>
      </w:r>
      <w:r>
        <w:rPr>
          <w:rFonts w:ascii="Times New Roman" w:hAnsi="Times New Roman"/>
        </w:rPr>
        <w:t xml:space="preserve">owners and operators of natural gas production and processing facilities </w:t>
      </w:r>
      <w:r w:rsidRPr="0046215D">
        <w:rPr>
          <w:rFonts w:ascii="Times New Roman" w:hAnsi="Times New Roman"/>
        </w:rPr>
        <w:t>and Bulk Electric System operators</w:t>
      </w:r>
      <w:r>
        <w:rPr>
          <w:rFonts w:ascii="Times New Roman" w:hAnsi="Times New Roman"/>
        </w:rPr>
        <w:t xml:space="preserve">. Such communication could include </w:t>
      </w:r>
      <w:r w:rsidRPr="00580CE4">
        <w:rPr>
          <w:rFonts w:ascii="Times New Roman" w:hAnsi="Times New Roman"/>
        </w:rPr>
        <w:t>aggregated volume data or confirmed scheduled quantities for key upstream receipt points</w:t>
      </w:r>
      <w:r>
        <w:rPr>
          <w:rFonts w:ascii="Times New Roman" w:hAnsi="Times New Roman"/>
        </w:rPr>
        <w:t>. Access to and use of the tool should include appropriate security protocols and market protections</w:t>
      </w:r>
      <w:r w:rsidRPr="0046215D">
        <w:rPr>
          <w:rFonts w:ascii="Times New Roman" w:hAnsi="Times New Roman"/>
        </w:rPr>
        <w:t>.</w:t>
      </w:r>
    </w:p>
    <w:p w14:paraId="30B8EBD6"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4</w:t>
      </w:r>
      <w:r w:rsidRPr="0046215D">
        <w:rPr>
          <w:rFonts w:ascii="Times New Roman" w:hAnsi="Times New Roman"/>
        </w:rPr>
        <w:t>:  On May 3, 2023, a request for standards development was submitted to NAESB to consider modifications to the</w:t>
      </w:r>
      <w:r>
        <w:rPr>
          <w:rFonts w:ascii="Times New Roman" w:hAnsi="Times New Roman"/>
        </w:rPr>
        <w:t xml:space="preserve"> force majeure language of the</w:t>
      </w:r>
      <w:r w:rsidRPr="0046215D">
        <w:rPr>
          <w:rFonts w:ascii="Times New Roman" w:hAnsi="Times New Roman"/>
        </w:rPr>
        <w:t xml:space="preserve"> NAESB Base Contract for Sale and Purchase of Natural Gas to, among other things, encourage weatherization actions.  </w:t>
      </w:r>
      <w:r>
        <w:rPr>
          <w:rFonts w:ascii="Times New Roman" w:hAnsi="Times New Roman"/>
        </w:rPr>
        <w:t>T</w:t>
      </w:r>
      <w:r w:rsidRPr="0046215D">
        <w:rPr>
          <w:rFonts w:ascii="Times New Roman" w:hAnsi="Times New Roman"/>
        </w:rPr>
        <w:t>he NAESB Gas-Electric Harmonization (GEH) Forum</w:t>
      </w:r>
      <w:r w:rsidDel="00D42C33">
        <w:rPr>
          <w:rFonts w:ascii="Times New Roman" w:hAnsi="Times New Roman"/>
        </w:rPr>
        <w:t xml:space="preserve"> </w:t>
      </w:r>
      <w:r>
        <w:rPr>
          <w:rFonts w:ascii="Times New Roman" w:hAnsi="Times New Roman"/>
        </w:rPr>
        <w:t xml:space="preserve">endorses </w:t>
      </w:r>
      <w:r w:rsidRPr="0046215D">
        <w:rPr>
          <w:rFonts w:ascii="Times New Roman" w:hAnsi="Times New Roman"/>
        </w:rPr>
        <w:t xml:space="preserve">this </w:t>
      </w:r>
      <w:r>
        <w:rPr>
          <w:rFonts w:ascii="Times New Roman" w:hAnsi="Times New Roman"/>
        </w:rPr>
        <w:t xml:space="preserve">evaluation and encourages </w:t>
      </w:r>
      <w:r w:rsidRPr="0046215D">
        <w:rPr>
          <w:rFonts w:ascii="Times New Roman" w:hAnsi="Times New Roman"/>
        </w:rPr>
        <w:t>the NAESB Wholesale Gas Quadrant</w:t>
      </w:r>
      <w:r>
        <w:rPr>
          <w:rFonts w:ascii="Times New Roman" w:hAnsi="Times New Roman"/>
        </w:rPr>
        <w:t xml:space="preserve"> to act with utmost expediency to address this request on a timely basis</w:t>
      </w:r>
      <w:r w:rsidRPr="0046215D">
        <w:rPr>
          <w:rFonts w:ascii="Times New Roman" w:hAnsi="Times New Roman"/>
        </w:rPr>
        <w:t>.</w:t>
      </w:r>
    </w:p>
    <w:p w14:paraId="413C4B68"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5</w:t>
      </w:r>
      <w:r w:rsidRPr="0046215D">
        <w:rPr>
          <w:rFonts w:ascii="Times New Roman" w:hAnsi="Times New Roman"/>
        </w:rPr>
        <w:t xml:space="preserve">:  The FERC should </w:t>
      </w:r>
      <w:r w:rsidRPr="00580CE4">
        <w:rPr>
          <w:rFonts w:ascii="Times New Roman" w:hAnsi="Times New Roman"/>
        </w:rPr>
        <w:t>direct the natural gas and electric industries to find ways to encourage more frequent use of capacity release or asset management arrangements (AMAs) and more timely release of unutilized interstate pipeline capacity that does not impact the reliability of the firm capacity holder. Further, the FERC should direct</w:t>
      </w:r>
      <w:r>
        <w:rPr>
          <w:rFonts w:ascii="Times New Roman" w:hAnsi="Times New Roman"/>
        </w:rPr>
        <w:t xml:space="preserve"> NAESB to revise its business practice standards</w:t>
      </w:r>
      <w:r w:rsidRPr="00580CE4">
        <w:rPr>
          <w:rFonts w:ascii="Times New Roman" w:hAnsi="Times New Roman"/>
        </w:rPr>
        <w:t xml:space="preserve"> to standardize the necessary transactional informational posting, timeliness and transparency requirements</w:t>
      </w:r>
      <w:r>
        <w:rPr>
          <w:rFonts w:ascii="Times New Roman" w:hAnsi="Times New Roman"/>
        </w:rPr>
        <w:t xml:space="preserve"> for these capacity releases</w:t>
      </w:r>
      <w:r w:rsidRPr="0046215D">
        <w:rPr>
          <w:rFonts w:ascii="Times New Roman" w:hAnsi="Times New Roman"/>
        </w:rPr>
        <w:t>.</w:t>
      </w:r>
      <w:r>
        <w:rPr>
          <w:rFonts w:ascii="Times New Roman" w:hAnsi="Times New Roman"/>
        </w:rPr>
        <w:t xml:space="preserve"> </w:t>
      </w:r>
    </w:p>
    <w:p w14:paraId="4125A661"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6</w:t>
      </w:r>
      <w:r w:rsidRPr="0046215D">
        <w:rPr>
          <w:rFonts w:ascii="Times New Roman" w:hAnsi="Times New Roman"/>
        </w:rPr>
        <w:t xml:space="preserve">:  </w:t>
      </w:r>
      <w:bookmarkStart w:id="8" w:name="_Hlk139967139"/>
      <w:r w:rsidRPr="0046215D">
        <w:rPr>
          <w:rFonts w:ascii="Times New Roman" w:hAnsi="Times New Roman"/>
        </w:rPr>
        <w:t xml:space="preserve">The FERC should consider policy modifications necessary to better facilitate advanced agreements between end users </w:t>
      </w:r>
      <w:r>
        <w:rPr>
          <w:rFonts w:ascii="Times New Roman" w:hAnsi="Times New Roman"/>
        </w:rPr>
        <w:t>and</w:t>
      </w:r>
      <w:r w:rsidRPr="0046215D">
        <w:rPr>
          <w:rFonts w:ascii="Times New Roman" w:hAnsi="Times New Roman"/>
        </w:rPr>
        <w:t xml:space="preserve"> remove barriers to the release of capacity, similar to those adopted as part of FERC Order No. 712 (to support the use of asset management agreements).</w:t>
      </w:r>
      <w:bookmarkEnd w:id="8"/>
      <w:r w:rsidRPr="0046215D">
        <w:rPr>
          <w:rFonts w:ascii="Times New Roman" w:hAnsi="Times New Roman"/>
        </w:rPr>
        <w:t xml:space="preserve"> </w:t>
      </w:r>
    </w:p>
    <w:p w14:paraId="5C6CA9A8"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7</w:t>
      </w:r>
      <w:r w:rsidRPr="0046215D">
        <w:rPr>
          <w:rFonts w:ascii="Times New Roman" w:hAnsi="Times New Roman"/>
        </w:rPr>
        <w:t>: State public utility commissions and applicable state authorities in states with competitive energy markets</w:t>
      </w:r>
      <w:r>
        <w:rPr>
          <w:rFonts w:ascii="Times New Roman" w:hAnsi="Times New Roman"/>
        </w:rPr>
        <w:t xml:space="preserve"> </w:t>
      </w:r>
      <w:r w:rsidRPr="0046215D">
        <w:rPr>
          <w:rFonts w:ascii="Times New Roman" w:hAnsi="Times New Roman"/>
        </w:rPr>
        <w:t xml:space="preserve">should engage with producers, marketers and intrastate pipelines to ensure that </w:t>
      </w:r>
      <w:r>
        <w:rPr>
          <w:rFonts w:ascii="Times New Roman" w:hAnsi="Times New Roman"/>
        </w:rPr>
        <w:t>such parties’ operations</w:t>
      </w:r>
      <w:r w:rsidRPr="0046215D">
        <w:rPr>
          <w:rFonts w:ascii="Times New Roman" w:hAnsi="Times New Roman"/>
        </w:rPr>
        <w:t xml:space="preserve"> are fully functioning on a 24/7 basis in preparation for and during events in which extreme weather is forecasted to cause demand to rise sharply for both electricity and natural gas, including </w:t>
      </w:r>
      <w:r>
        <w:rPr>
          <w:rFonts w:ascii="Times New Roman" w:hAnsi="Times New Roman"/>
        </w:rPr>
        <w:t xml:space="preserve">during </w:t>
      </w:r>
      <w:r w:rsidRPr="0046215D">
        <w:rPr>
          <w:rFonts w:ascii="Times New Roman" w:hAnsi="Times New Roman"/>
        </w:rPr>
        <w:t xml:space="preserve">weekends and holidays. </w:t>
      </w:r>
      <w:r>
        <w:rPr>
          <w:rFonts w:ascii="Times New Roman" w:hAnsi="Times New Roman"/>
        </w:rPr>
        <w:t>(States could consider the approaches adopted in FERC regulations affecting the interstate pipelines.)</w:t>
      </w:r>
      <w:r w:rsidRPr="0046215D">
        <w:rPr>
          <w:rFonts w:ascii="Times New Roman" w:hAnsi="Times New Roman"/>
        </w:rPr>
        <w:t xml:space="preserve"> In instances where state authorities lack enabling authority to take such actions, the FERC should adopt regulations to achieve identical outcomes</w:t>
      </w:r>
      <w:r>
        <w:rPr>
          <w:rFonts w:ascii="Times New Roman" w:hAnsi="Times New Roman"/>
        </w:rPr>
        <w:t xml:space="preserve"> within its authority</w:t>
      </w:r>
      <w:r w:rsidRPr="0046215D">
        <w:rPr>
          <w:rFonts w:ascii="Times New Roman" w:hAnsi="Times New Roman"/>
        </w:rPr>
        <w:t xml:space="preserve">.  </w:t>
      </w:r>
    </w:p>
    <w:p w14:paraId="4FB58ABD" w14:textId="53C482EF"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8</w:t>
      </w:r>
      <w:r w:rsidRPr="0046215D">
        <w:rPr>
          <w:rFonts w:ascii="Times New Roman" w:hAnsi="Times New Roman"/>
        </w:rPr>
        <w:t xml:space="preserve">: </w:t>
      </w:r>
      <w:r w:rsidR="00654A0F">
        <w:rPr>
          <w:rFonts w:ascii="Times New Roman" w:hAnsi="Times New Roman"/>
        </w:rPr>
        <w:t xml:space="preserve">The </w:t>
      </w:r>
      <w:r w:rsidRPr="0046215D">
        <w:rPr>
          <w:rFonts w:ascii="Times New Roman" w:hAnsi="Times New Roman"/>
        </w:rPr>
        <w:t>FERC should direct Independent System Operators (ISOs) and Regional Transmission Organizations (RTOs) or</w:t>
      </w:r>
      <w:bookmarkStart w:id="9" w:name="_Hlk139967717"/>
      <w:r>
        <w:rPr>
          <w:rFonts w:ascii="Times New Roman" w:hAnsi="Times New Roman"/>
        </w:rPr>
        <w:t xml:space="preserve"> electric transmission owners/operators, </w:t>
      </w:r>
      <w:r w:rsidRPr="0046215D">
        <w:rPr>
          <w:rFonts w:ascii="Times New Roman" w:hAnsi="Times New Roman"/>
        </w:rPr>
        <w:t>where no ISO or RTO exists</w:t>
      </w:r>
      <w:bookmarkEnd w:id="9"/>
      <w:r>
        <w:rPr>
          <w:rFonts w:ascii="Times New Roman" w:hAnsi="Times New Roman"/>
        </w:rPr>
        <w:t xml:space="preserve">, </w:t>
      </w:r>
      <w:r w:rsidRPr="0046215D">
        <w:rPr>
          <w:rFonts w:ascii="Times New Roman" w:hAnsi="Times New Roman"/>
        </w:rPr>
        <w:t xml:space="preserve">to conduct and report to FERC the results of analyses of actions that </w:t>
      </w:r>
      <w:r>
        <w:rPr>
          <w:rFonts w:ascii="Times New Roman" w:hAnsi="Times New Roman"/>
        </w:rPr>
        <w:t>better align the timelines of the Power Day and/or the</w:t>
      </w:r>
      <w:r w:rsidRPr="0046215D">
        <w:rPr>
          <w:rFonts w:ascii="Times New Roman" w:hAnsi="Times New Roman"/>
        </w:rPr>
        <w:t xml:space="preserve"> day-ahead scheduling timelines </w:t>
      </w:r>
      <w:r>
        <w:rPr>
          <w:rFonts w:ascii="Times New Roman" w:hAnsi="Times New Roman"/>
        </w:rPr>
        <w:t>with the</w:t>
      </w:r>
      <w:r w:rsidRPr="0046215D">
        <w:rPr>
          <w:rFonts w:ascii="Times New Roman" w:hAnsi="Times New Roman"/>
        </w:rPr>
        <w:t xml:space="preserve"> gas day</w:t>
      </w:r>
      <w:r>
        <w:rPr>
          <w:rFonts w:ascii="Times New Roman" w:hAnsi="Times New Roman"/>
        </w:rPr>
        <w:t>,</w:t>
      </w:r>
      <w:r w:rsidRPr="0046215D">
        <w:rPr>
          <w:rFonts w:ascii="Times New Roman" w:hAnsi="Times New Roman"/>
        </w:rPr>
        <w:t xml:space="preserve"> </w:t>
      </w:r>
      <w:r w:rsidRPr="00AE7573">
        <w:rPr>
          <w:rFonts w:ascii="Times New Roman" w:hAnsi="Times New Roman"/>
        </w:rPr>
        <w:t>including earlier notification of successful bids, to ensure that schedules are known and made available to allow natural gas-fired generators to procure natural gas and pipeline capacity in periods when the market is most liquid.</w:t>
      </w:r>
    </w:p>
    <w:p w14:paraId="02986668"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9</w:t>
      </w:r>
      <w:r w:rsidRPr="0046215D">
        <w:rPr>
          <w:rFonts w:ascii="Times New Roman" w:hAnsi="Times New Roman"/>
        </w:rPr>
        <w:t xml:space="preserve">: </w:t>
      </w:r>
      <w:bookmarkStart w:id="10" w:name="_Hlk139967633"/>
      <w:r w:rsidRPr="0046215D">
        <w:rPr>
          <w:rFonts w:ascii="Times New Roman" w:hAnsi="Times New Roman"/>
        </w:rPr>
        <w:t xml:space="preserve"> If not already under consideration through stakeholder processes, ISOs and RTOs or the FERC</w:t>
      </w:r>
      <w:r>
        <w:rPr>
          <w:rFonts w:ascii="Times New Roman" w:hAnsi="Times New Roman"/>
        </w:rPr>
        <w:t xml:space="preserve"> should</w:t>
      </w:r>
      <w:r w:rsidRPr="0046215D">
        <w:rPr>
          <w:rFonts w:ascii="Times New Roman" w:hAnsi="Times New Roman"/>
        </w:rPr>
        <w:t xml:space="preserve"> conduct proceedings</w:t>
      </w:r>
      <w:r>
        <w:rPr>
          <w:rFonts w:ascii="Times New Roman" w:hAnsi="Times New Roman"/>
        </w:rPr>
        <w:t xml:space="preserve"> </w:t>
      </w:r>
      <w:bookmarkEnd w:id="10"/>
      <w:r>
        <w:rPr>
          <w:rFonts w:ascii="Times New Roman" w:hAnsi="Times New Roman"/>
        </w:rPr>
        <w:t xml:space="preserve">and </w:t>
      </w:r>
      <w:r w:rsidRPr="0046215D">
        <w:rPr>
          <w:rFonts w:ascii="Times New Roman" w:hAnsi="Times New Roman"/>
        </w:rPr>
        <w:t>adopt multiday unit commitment processes to better enable the industry to prepare for and provide reliable service during events in which weather is forecasted to cause demand to rise sharply for both electricity and natural gas.</w:t>
      </w:r>
    </w:p>
    <w:p w14:paraId="2B9D4CEB" w14:textId="77777777" w:rsidR="00645652"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10</w:t>
      </w:r>
      <w:r w:rsidRPr="0046215D">
        <w:rPr>
          <w:rFonts w:ascii="Times New Roman" w:hAnsi="Times New Roman"/>
        </w:rPr>
        <w:t>:  State public utility commissions should encourage local distribution companies within their jurisdictions to structure incentives for the development of natural gas and electric demand</w:t>
      </w:r>
      <w:r>
        <w:rPr>
          <w:rFonts w:ascii="Times New Roman" w:hAnsi="Times New Roman"/>
        </w:rPr>
        <w:t>-</w:t>
      </w:r>
      <w:r w:rsidRPr="0046215D">
        <w:rPr>
          <w:rFonts w:ascii="Times New Roman" w:hAnsi="Times New Roman"/>
        </w:rPr>
        <w:t>response programs in preparation for and during events in which demand is expected to rise sharply for both electricity and natural gas.</w:t>
      </w:r>
    </w:p>
    <w:p w14:paraId="4C9CA27F"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lastRenderedPageBreak/>
        <w:t xml:space="preserve">Recommendation </w:t>
      </w:r>
      <w:r>
        <w:rPr>
          <w:rFonts w:ascii="Times New Roman" w:hAnsi="Times New Roman"/>
          <w:b/>
          <w:bCs/>
          <w:i/>
          <w:iCs/>
          <w:u w:val="single"/>
        </w:rPr>
        <w:t>11</w:t>
      </w:r>
      <w:r w:rsidRPr="0046215D">
        <w:rPr>
          <w:rFonts w:ascii="Times New Roman" w:hAnsi="Times New Roman"/>
        </w:rPr>
        <w:t>:  State public utility commissions should encourage</w:t>
      </w:r>
      <w:r>
        <w:rPr>
          <w:rFonts w:ascii="Times New Roman" w:hAnsi="Times New Roman"/>
        </w:rPr>
        <w:t xml:space="preserve"> l</w:t>
      </w:r>
      <w:r w:rsidRPr="0046215D">
        <w:rPr>
          <w:rFonts w:ascii="Times New Roman" w:hAnsi="Times New Roman"/>
        </w:rPr>
        <w:t xml:space="preserve">ocal distribution companies within their jurisdictions </w:t>
      </w:r>
      <w:r>
        <w:rPr>
          <w:rFonts w:ascii="Times New Roman" w:hAnsi="Times New Roman"/>
        </w:rPr>
        <w:t xml:space="preserve">to provide </w:t>
      </w:r>
      <w:r w:rsidRPr="0046215D">
        <w:rPr>
          <w:rFonts w:ascii="Times New Roman" w:hAnsi="Times New Roman"/>
        </w:rPr>
        <w:t>voluntary conservation public service announcements for residential, commercial and industrial customers in preparation for and during events in which demand is expected to rise sharply for both electricity and natural gas.</w:t>
      </w:r>
    </w:p>
    <w:p w14:paraId="3012CBC9"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Recommendation 1</w:t>
      </w:r>
      <w:r>
        <w:rPr>
          <w:rFonts w:ascii="Times New Roman" w:hAnsi="Times New Roman"/>
          <w:b/>
          <w:bCs/>
          <w:i/>
          <w:iCs/>
          <w:u w:val="single"/>
        </w:rPr>
        <w:t>2</w:t>
      </w:r>
      <w:r w:rsidRPr="0046215D">
        <w:rPr>
          <w:rFonts w:ascii="Times New Roman" w:hAnsi="Times New Roman"/>
        </w:rPr>
        <w:t xml:space="preserve">:  </w:t>
      </w:r>
      <w:r>
        <w:rPr>
          <w:rFonts w:ascii="Times New Roman" w:hAnsi="Times New Roman"/>
        </w:rPr>
        <w:t>J</w:t>
      </w:r>
      <w:r w:rsidRPr="00AE7573">
        <w:rPr>
          <w:rFonts w:ascii="Times New Roman" w:hAnsi="Times New Roman"/>
        </w:rPr>
        <w:t xml:space="preserve">oint and cross-market, long-term planning </w:t>
      </w:r>
      <w:r>
        <w:rPr>
          <w:rFonts w:ascii="Times New Roman" w:hAnsi="Times New Roman"/>
        </w:rPr>
        <w:t>should be expanded b</w:t>
      </w:r>
      <w:r w:rsidRPr="00AE7573">
        <w:rPr>
          <w:rFonts w:ascii="Times New Roman" w:hAnsi="Times New Roman"/>
        </w:rPr>
        <w:t xml:space="preserve">y relevant gas and electric market parties </w:t>
      </w:r>
      <w:r>
        <w:rPr>
          <w:rFonts w:ascii="Times New Roman" w:hAnsi="Times New Roman"/>
        </w:rPr>
        <w:t>with a</w:t>
      </w:r>
      <w:r w:rsidRPr="00AE7573">
        <w:rPr>
          <w:rFonts w:ascii="Times New Roman" w:hAnsi="Times New Roman"/>
        </w:rPr>
        <w:t>n increased focus on fuel adequacy.</w:t>
      </w:r>
      <w:r>
        <w:rPr>
          <w:rFonts w:ascii="Times New Roman" w:hAnsi="Times New Roman"/>
        </w:rPr>
        <w:t xml:space="preserve">  </w:t>
      </w:r>
      <w:r w:rsidRPr="00AE7573">
        <w:rPr>
          <w:rFonts w:ascii="Times New Roman" w:hAnsi="Times New Roman"/>
        </w:rPr>
        <w:t xml:space="preserve">FERC should encourage </w:t>
      </w:r>
      <w:r>
        <w:rPr>
          <w:rFonts w:ascii="Times New Roman" w:hAnsi="Times New Roman"/>
        </w:rPr>
        <w:t xml:space="preserve">this </w:t>
      </w:r>
      <w:r w:rsidRPr="00AE7573">
        <w:rPr>
          <w:rFonts w:ascii="Times New Roman" w:hAnsi="Times New Roman"/>
        </w:rPr>
        <w:t xml:space="preserve">planning coordination </w:t>
      </w:r>
      <w:r>
        <w:rPr>
          <w:rFonts w:ascii="Times New Roman" w:hAnsi="Times New Roman"/>
        </w:rPr>
        <w:t>using</w:t>
      </w:r>
      <w:r w:rsidRPr="00AE7573">
        <w:rPr>
          <w:rFonts w:ascii="Times New Roman" w:hAnsi="Times New Roman"/>
        </w:rPr>
        <w:t xml:space="preserve"> its oversight roles for interstate pipelines, regulated RTO/ISO interstate transmission, and Electric Reliability Organization (ERO)</w:t>
      </w:r>
      <w:r>
        <w:rPr>
          <w:rFonts w:ascii="Times New Roman" w:hAnsi="Times New Roman"/>
        </w:rPr>
        <w:t>-</w:t>
      </w:r>
      <w:r w:rsidRPr="00AE7573">
        <w:rPr>
          <w:rFonts w:ascii="Times New Roman" w:hAnsi="Times New Roman"/>
        </w:rPr>
        <w:t xml:space="preserve">related Planning Authorities </w:t>
      </w:r>
      <w:r>
        <w:rPr>
          <w:rFonts w:ascii="Times New Roman" w:hAnsi="Times New Roman"/>
        </w:rPr>
        <w:t>and</w:t>
      </w:r>
      <w:r w:rsidRPr="00AE7573">
        <w:rPr>
          <w:rFonts w:ascii="Times New Roman" w:hAnsi="Times New Roman"/>
        </w:rPr>
        <w:t xml:space="preserve"> collaborate with</w:t>
      </w:r>
      <w:r>
        <w:rPr>
          <w:rFonts w:ascii="Times New Roman" w:hAnsi="Times New Roman"/>
        </w:rPr>
        <w:t xml:space="preserve"> state public utility commissions and a</w:t>
      </w:r>
      <w:r w:rsidRPr="003F2F84">
        <w:rPr>
          <w:rFonts w:ascii="Times New Roman" w:hAnsi="Times New Roman"/>
        </w:rPr>
        <w:t>pplicable state authorities</w:t>
      </w:r>
      <w:r>
        <w:rPr>
          <w:rFonts w:ascii="Times New Roman" w:hAnsi="Times New Roman"/>
        </w:rPr>
        <w:t>.</w:t>
      </w:r>
      <w:r w:rsidRPr="00AE7573">
        <w:rPr>
          <w:rFonts w:ascii="Times New Roman" w:hAnsi="Times New Roman"/>
        </w:rPr>
        <w:t xml:space="preserve"> </w:t>
      </w:r>
    </w:p>
    <w:p w14:paraId="5C20BC34" w14:textId="3EF17A18"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Recommendation 1</w:t>
      </w:r>
      <w:r>
        <w:rPr>
          <w:rFonts w:ascii="Times New Roman" w:hAnsi="Times New Roman"/>
          <w:b/>
          <w:bCs/>
          <w:i/>
          <w:iCs/>
          <w:u w:val="single"/>
        </w:rPr>
        <w:t>3</w:t>
      </w:r>
      <w:r w:rsidRPr="0046215D">
        <w:rPr>
          <w:rFonts w:ascii="Times New Roman" w:hAnsi="Times New Roman"/>
        </w:rPr>
        <w:t xml:space="preserve">:  </w:t>
      </w:r>
      <w:r w:rsidR="00654A0F">
        <w:rPr>
          <w:rFonts w:ascii="Times New Roman" w:hAnsi="Times New Roman"/>
        </w:rPr>
        <w:t xml:space="preserve">The </w:t>
      </w:r>
      <w:r w:rsidRPr="0046215D">
        <w:rPr>
          <w:rFonts w:ascii="Times New Roman" w:hAnsi="Times New Roman"/>
        </w:rPr>
        <w:t>FERC, state public utility commissions</w:t>
      </w:r>
      <w:r>
        <w:rPr>
          <w:rFonts w:ascii="Times New Roman" w:hAnsi="Times New Roman"/>
        </w:rPr>
        <w:t>,</w:t>
      </w:r>
      <w:r w:rsidRPr="0046215D">
        <w:rPr>
          <w:rFonts w:ascii="Times New Roman" w:hAnsi="Times New Roman"/>
        </w:rPr>
        <w:t xml:space="preserve"> and applicable state authorities in states with competitive energy markets should consider whether market mechanisms are adequate to ensure that jurisdictional generators have the necessary arrangements for secure firm transportation and supply service and/or storage to avoid and/or mitigate natural gas supply shortfalls during extreme cold weather events, and if not, (a) determine whether non-market solutions are warranted, including funding mechanisms borne or shared by customers and (b) </w:t>
      </w:r>
      <w:r>
        <w:rPr>
          <w:rFonts w:ascii="Times New Roman" w:hAnsi="Times New Roman"/>
        </w:rPr>
        <w:t xml:space="preserve">if warranted, </w:t>
      </w:r>
      <w:r w:rsidRPr="0046215D">
        <w:rPr>
          <w:rFonts w:ascii="Times New Roman" w:hAnsi="Times New Roman"/>
        </w:rPr>
        <w:t>adopt such non-market solutions.</w:t>
      </w:r>
    </w:p>
    <w:p w14:paraId="6EE0FD17"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Recommendation 1</w:t>
      </w:r>
      <w:r>
        <w:rPr>
          <w:rFonts w:ascii="Times New Roman" w:hAnsi="Times New Roman"/>
          <w:b/>
          <w:bCs/>
          <w:i/>
          <w:iCs/>
          <w:u w:val="single"/>
        </w:rPr>
        <w:t>4</w:t>
      </w:r>
      <w:r w:rsidRPr="0046215D">
        <w:rPr>
          <w:rFonts w:ascii="Times New Roman" w:hAnsi="Times New Roman"/>
        </w:rPr>
        <w:t xml:space="preserve">:  Applicable state authorities should consider </w:t>
      </w:r>
      <w:r>
        <w:rPr>
          <w:rFonts w:ascii="Times New Roman" w:hAnsi="Times New Roman"/>
        </w:rPr>
        <w:t xml:space="preserve">the adoption of </w:t>
      </w:r>
      <w:r w:rsidRPr="0046215D">
        <w:rPr>
          <w:rFonts w:ascii="Times New Roman" w:hAnsi="Times New Roman"/>
        </w:rPr>
        <w:t xml:space="preserve">legislation or regulations or other actions </w:t>
      </w:r>
      <w:r>
        <w:rPr>
          <w:rFonts w:ascii="Times New Roman" w:hAnsi="Times New Roman"/>
        </w:rPr>
        <w:t xml:space="preserve">to </w:t>
      </w:r>
      <w:r w:rsidRPr="0046215D">
        <w:rPr>
          <w:rFonts w:ascii="Times New Roman" w:hAnsi="Times New Roman"/>
        </w:rPr>
        <w:t xml:space="preserve">create a secondary market for unutilized </w:t>
      </w:r>
      <w:r>
        <w:rPr>
          <w:rFonts w:ascii="Times New Roman" w:hAnsi="Times New Roman"/>
        </w:rPr>
        <w:t xml:space="preserve">intrastate </w:t>
      </w:r>
      <w:r w:rsidRPr="0046215D">
        <w:rPr>
          <w:rFonts w:ascii="Times New Roman" w:hAnsi="Times New Roman"/>
        </w:rPr>
        <w:t>natural gas pipeline capacity</w:t>
      </w:r>
      <w:r>
        <w:rPr>
          <w:rFonts w:ascii="Times New Roman" w:hAnsi="Times New Roman"/>
        </w:rPr>
        <w:t>, including a requirement for intrastate pipelines to offer some minimum level of firm service and/</w:t>
      </w:r>
      <w:r w:rsidRPr="0046215D">
        <w:rPr>
          <w:rFonts w:ascii="Times New Roman" w:hAnsi="Times New Roman"/>
        </w:rPr>
        <w:t>or support bilateral agreements between end users. In instances where state authorities lack enabling authority to take such actions, the FERC should adopt regulations to achieve identical outcomes</w:t>
      </w:r>
      <w:r>
        <w:rPr>
          <w:rFonts w:ascii="Times New Roman" w:hAnsi="Times New Roman"/>
        </w:rPr>
        <w:t xml:space="preserve"> within its authority</w:t>
      </w:r>
      <w:r w:rsidRPr="0046215D">
        <w:rPr>
          <w:rFonts w:ascii="Times New Roman" w:hAnsi="Times New Roman"/>
        </w:rPr>
        <w:t>.</w:t>
      </w:r>
    </w:p>
    <w:p w14:paraId="485A5244"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Recommendation 1</w:t>
      </w:r>
      <w:r>
        <w:rPr>
          <w:rFonts w:ascii="Times New Roman" w:hAnsi="Times New Roman"/>
          <w:b/>
          <w:bCs/>
          <w:i/>
          <w:iCs/>
          <w:u w:val="single"/>
        </w:rPr>
        <w:t>5</w:t>
      </w:r>
      <w:r w:rsidRPr="0046215D">
        <w:rPr>
          <w:rFonts w:ascii="Times New Roman" w:hAnsi="Times New Roman"/>
        </w:rPr>
        <w:t>:  Applicable state authorities should consider establishing informational posting requirements for intrastate natural gas pipelines to enhance transparency for intrastate natural gas market participants regarding operational capacity data, similar to the reporting and posting requirements mandated by the FERC for interstate natural gas pipelines as part of 18 CFR §284.13. In instances where state authorities lack enabling authority to take such actions, the FERC should adopt regulations to achieve identical outcomes</w:t>
      </w:r>
      <w:r>
        <w:rPr>
          <w:rFonts w:ascii="Times New Roman" w:hAnsi="Times New Roman"/>
        </w:rPr>
        <w:t xml:space="preserve"> within its authority</w:t>
      </w:r>
      <w:r w:rsidRPr="0046215D">
        <w:rPr>
          <w:rFonts w:ascii="Times New Roman" w:hAnsi="Times New Roman"/>
        </w:rPr>
        <w:t>.</w:t>
      </w:r>
    </w:p>
    <w:p w14:paraId="4C12DEBB" w14:textId="77777777" w:rsidR="00645652" w:rsidRDefault="00645652" w:rsidP="00645652">
      <w:pPr>
        <w:spacing w:before="120" w:after="120"/>
        <w:rPr>
          <w:rFonts w:ascii="Times New Roman" w:hAnsi="Times New Roman"/>
        </w:rPr>
      </w:pPr>
      <w:r w:rsidRPr="0046215D">
        <w:rPr>
          <w:rFonts w:ascii="Times New Roman" w:hAnsi="Times New Roman"/>
          <w:b/>
          <w:bCs/>
          <w:i/>
          <w:iCs/>
          <w:u w:val="single"/>
        </w:rPr>
        <w:t>Recommendation 1</w:t>
      </w:r>
      <w:r>
        <w:rPr>
          <w:rFonts w:ascii="Times New Roman" w:hAnsi="Times New Roman"/>
          <w:b/>
          <w:bCs/>
          <w:i/>
          <w:iCs/>
          <w:u w:val="single"/>
        </w:rPr>
        <w:t>6</w:t>
      </w:r>
      <w:r w:rsidRPr="0046215D">
        <w:rPr>
          <w:rFonts w:ascii="Times New Roman" w:hAnsi="Times New Roman"/>
        </w:rPr>
        <w:t>:  Applicable state authorities should consider the development of weatherization guidelines appropriate for their region</w:t>
      </w:r>
      <w:r>
        <w:rPr>
          <w:rFonts w:ascii="Times New Roman" w:hAnsi="Times New Roman"/>
        </w:rPr>
        <w:t>/jurisdiction</w:t>
      </w:r>
      <w:r w:rsidRPr="0046215D">
        <w:rPr>
          <w:rFonts w:ascii="Times New Roman" w:hAnsi="Times New Roman"/>
        </w:rPr>
        <w:t xml:space="preserve"> to support the protection and continued operation of </w:t>
      </w:r>
      <w:r>
        <w:rPr>
          <w:rFonts w:ascii="Times New Roman" w:hAnsi="Times New Roman"/>
        </w:rPr>
        <w:t>natural gas production</w:t>
      </w:r>
      <w:r w:rsidRPr="0046215D">
        <w:rPr>
          <w:rFonts w:ascii="Times New Roman" w:hAnsi="Times New Roman"/>
        </w:rPr>
        <w:t xml:space="preserve"> and processing and gathering system facilities during extreme weather events, and require </w:t>
      </w:r>
      <w:r>
        <w:rPr>
          <w:rFonts w:ascii="Times New Roman" w:hAnsi="Times New Roman"/>
        </w:rPr>
        <w:t xml:space="preserve">public disclosure </w:t>
      </w:r>
      <w:r w:rsidRPr="0046215D">
        <w:rPr>
          <w:rFonts w:ascii="Times New Roman" w:hAnsi="Times New Roman"/>
        </w:rPr>
        <w:t>concerning weatherization efforts of jurisdictional entities.</w:t>
      </w:r>
    </w:p>
    <w:p w14:paraId="0AF79895"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17</w:t>
      </w:r>
      <w:r w:rsidRPr="0046215D">
        <w:rPr>
          <w:rFonts w:ascii="Times New Roman" w:hAnsi="Times New Roman"/>
        </w:rPr>
        <w:t xml:space="preserve">:  Many generalized recommendations for resource adequacy and accreditation and market reforms to bolster reliability were offered throughout the NAESB GEH Forum activities; </w:t>
      </w:r>
      <w:r>
        <w:rPr>
          <w:rFonts w:ascii="Times New Roman" w:hAnsi="Times New Roman"/>
        </w:rPr>
        <w:t xml:space="preserve">we understand, </w:t>
      </w:r>
      <w:r w:rsidRPr="0046215D">
        <w:rPr>
          <w:rFonts w:ascii="Times New Roman" w:hAnsi="Times New Roman"/>
        </w:rPr>
        <w:t xml:space="preserve">however, based upon information provided by representatives from the ISO and RTO segment, </w:t>
      </w:r>
      <w:r>
        <w:rPr>
          <w:rFonts w:ascii="Times New Roman" w:hAnsi="Times New Roman"/>
        </w:rPr>
        <w:t xml:space="preserve">that </w:t>
      </w:r>
      <w:r w:rsidRPr="0046215D">
        <w:rPr>
          <w:rFonts w:ascii="Times New Roman" w:hAnsi="Times New Roman"/>
        </w:rPr>
        <w:t xml:space="preserve">steps are being taken within the organized markets to consider </w:t>
      </w:r>
      <w:r>
        <w:rPr>
          <w:rFonts w:ascii="Times New Roman" w:hAnsi="Times New Roman"/>
        </w:rPr>
        <w:t xml:space="preserve">such reforms </w:t>
      </w:r>
      <w:r w:rsidRPr="0046215D">
        <w:rPr>
          <w:rFonts w:ascii="Times New Roman" w:hAnsi="Times New Roman"/>
        </w:rPr>
        <w:t xml:space="preserve">through their stakeholder processes. </w:t>
      </w:r>
      <w:r>
        <w:rPr>
          <w:rFonts w:ascii="Times New Roman" w:hAnsi="Times New Roman"/>
        </w:rPr>
        <w:t>The GEH Forum</w:t>
      </w:r>
      <w:r w:rsidRPr="0046215D">
        <w:rPr>
          <w:rFonts w:ascii="Times New Roman" w:hAnsi="Times New Roman"/>
        </w:rPr>
        <w:t xml:space="preserve"> endorse</w:t>
      </w:r>
      <w:r>
        <w:rPr>
          <w:rFonts w:ascii="Times New Roman" w:hAnsi="Times New Roman"/>
        </w:rPr>
        <w:t>s</w:t>
      </w:r>
      <w:r w:rsidRPr="0046215D">
        <w:rPr>
          <w:rFonts w:ascii="Times New Roman" w:hAnsi="Times New Roman"/>
        </w:rPr>
        <w:t xml:space="preserve"> this evaluation of resource adequacy and accreditation requirements by all ISOs and RTOs and encourage</w:t>
      </w:r>
      <w:r>
        <w:rPr>
          <w:rFonts w:ascii="Times New Roman" w:hAnsi="Times New Roman"/>
        </w:rPr>
        <w:t>s</w:t>
      </w:r>
      <w:r w:rsidRPr="0046215D">
        <w:rPr>
          <w:rFonts w:ascii="Times New Roman" w:hAnsi="Times New Roman"/>
        </w:rPr>
        <w:t xml:space="preserve"> the review of the Forum record.</w:t>
      </w:r>
    </w:p>
    <w:p w14:paraId="57A54E24" w14:textId="51831C48"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18</w:t>
      </w:r>
      <w:r w:rsidRPr="0046215D">
        <w:rPr>
          <w:rFonts w:ascii="Times New Roman" w:hAnsi="Times New Roman"/>
        </w:rPr>
        <w:t>:  FERC and NARUC should collaborate to conduct, fund, and/or direct efforts to study whether market-incentivized investments in strategic natural gas storage facilities are sufficient to address natural gas supply shortfalls during extreme cold weather events, and if the level of investment is sufficient to preserve such facilities for use during extreme cold weather events. The study should also explore whether public</w:t>
      </w:r>
      <w:r>
        <w:rPr>
          <w:rFonts w:ascii="Times New Roman" w:hAnsi="Times New Roman"/>
        </w:rPr>
        <w:t xml:space="preserve"> </w:t>
      </w:r>
      <w:r w:rsidRPr="0046215D">
        <w:rPr>
          <w:rFonts w:ascii="Times New Roman" w:hAnsi="Times New Roman"/>
        </w:rPr>
        <w:t xml:space="preserve">sources of funding are needed </w:t>
      </w:r>
      <w:r>
        <w:rPr>
          <w:rFonts w:ascii="Times New Roman" w:hAnsi="Times New Roman"/>
        </w:rPr>
        <w:t xml:space="preserve">for investment </w:t>
      </w:r>
      <w:r w:rsidRPr="0046215D">
        <w:rPr>
          <w:rFonts w:ascii="Times New Roman" w:hAnsi="Times New Roman"/>
        </w:rPr>
        <w:t xml:space="preserve">to secure sufficient storage. </w:t>
      </w:r>
    </w:p>
    <w:p w14:paraId="7BB395E3" w14:textId="77777777" w:rsidR="00645652"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19</w:t>
      </w:r>
      <w:r w:rsidRPr="0046215D">
        <w:rPr>
          <w:rFonts w:ascii="Times New Roman" w:hAnsi="Times New Roman"/>
        </w:rPr>
        <w:t xml:space="preserve">:  </w:t>
      </w:r>
      <w:r w:rsidRPr="009960E2">
        <w:rPr>
          <w:rFonts w:ascii="Times New Roman" w:hAnsi="Times New Roman"/>
        </w:rPr>
        <w:t>FERC and NARUC should collaborate to conduct, fund, and/or direct efforts to study</w:t>
      </w:r>
      <w:r>
        <w:rPr>
          <w:rFonts w:ascii="Times New Roman" w:hAnsi="Times New Roman"/>
        </w:rPr>
        <w:t xml:space="preserve"> </w:t>
      </w:r>
      <w:r w:rsidRPr="009960E2">
        <w:rPr>
          <w:rFonts w:ascii="Times New Roman" w:hAnsi="Times New Roman"/>
        </w:rPr>
        <w:t>whether additional financial incentives for the natural gas infrastructure system, including infrastructure to provide additional firm transportation capacity, would help to address natural gas supply shortfalls during such events, and further support the Bulk Electric System’s  performance during extreme cold weather events.</w:t>
      </w:r>
    </w:p>
    <w:p w14:paraId="338A2B5D" w14:textId="77777777" w:rsidR="00645652" w:rsidRPr="0046215D" w:rsidRDefault="00645652" w:rsidP="00645652">
      <w:pPr>
        <w:spacing w:before="120" w:after="120"/>
        <w:rPr>
          <w:rFonts w:ascii="Times New Roman" w:hAnsi="Times New Roman"/>
        </w:rPr>
      </w:pPr>
      <w:r w:rsidRPr="0046215D">
        <w:rPr>
          <w:rFonts w:ascii="Times New Roman" w:hAnsi="Times New Roman"/>
          <w:b/>
          <w:bCs/>
          <w:i/>
          <w:iCs/>
          <w:u w:val="single"/>
        </w:rPr>
        <w:t xml:space="preserve">Recommendation </w:t>
      </w:r>
      <w:r>
        <w:rPr>
          <w:rFonts w:ascii="Times New Roman" w:hAnsi="Times New Roman"/>
          <w:b/>
          <w:bCs/>
          <w:i/>
          <w:iCs/>
          <w:u w:val="single"/>
        </w:rPr>
        <w:t>20</w:t>
      </w:r>
      <w:r w:rsidRPr="0046215D">
        <w:rPr>
          <w:rFonts w:ascii="Times New Roman" w:hAnsi="Times New Roman"/>
        </w:rPr>
        <w:t xml:space="preserve">:  The U.S. Department of Energy or FERC should conduct, fund, and/or direct efforts to </w:t>
      </w:r>
      <w:r>
        <w:rPr>
          <w:rFonts w:ascii="Times New Roman" w:hAnsi="Times New Roman"/>
        </w:rPr>
        <w:t>study</w:t>
      </w:r>
      <w:r w:rsidRPr="0046215D">
        <w:rPr>
          <w:rFonts w:ascii="Times New Roman" w:hAnsi="Times New Roman"/>
        </w:rPr>
        <w:t xml:space="preserve">, by region, whether there is adequate natural gas infrastructure in place to support new gas usage patterns affected by flexible gas generation resource requirements as the latter resources are increasingly called upon for more frequent and/or steeper ramping to balance the increased use of variable energy resources.  This study should be conducted in </w:t>
      </w:r>
      <w:r w:rsidRPr="0046215D">
        <w:rPr>
          <w:rFonts w:ascii="Times New Roman" w:hAnsi="Times New Roman"/>
        </w:rPr>
        <w:lastRenderedPageBreak/>
        <w:t xml:space="preserve">conjunction with an industry advisory group made up of diverse interests to ensure broad </w:t>
      </w:r>
      <w:r>
        <w:rPr>
          <w:rFonts w:ascii="Times New Roman" w:hAnsi="Times New Roman"/>
        </w:rPr>
        <w:t xml:space="preserve">engagement and </w:t>
      </w:r>
      <w:r w:rsidRPr="0046215D">
        <w:rPr>
          <w:rFonts w:ascii="Times New Roman" w:hAnsi="Times New Roman"/>
        </w:rPr>
        <w:t xml:space="preserve">support </w:t>
      </w:r>
      <w:r>
        <w:rPr>
          <w:rFonts w:ascii="Times New Roman" w:hAnsi="Times New Roman"/>
        </w:rPr>
        <w:t xml:space="preserve">for </w:t>
      </w:r>
      <w:r w:rsidRPr="0046215D">
        <w:rPr>
          <w:rFonts w:ascii="Times New Roman" w:hAnsi="Times New Roman"/>
        </w:rPr>
        <w:t xml:space="preserve">study results </w:t>
      </w:r>
      <w:r>
        <w:rPr>
          <w:rFonts w:ascii="Times New Roman" w:hAnsi="Times New Roman"/>
        </w:rPr>
        <w:t xml:space="preserve">that </w:t>
      </w:r>
      <w:r w:rsidRPr="0046215D">
        <w:rPr>
          <w:rFonts w:ascii="Times New Roman" w:hAnsi="Times New Roman"/>
        </w:rPr>
        <w:t>are credible and unbiased.  Currently, there are no comprehensive regional assessments that examine whether regions have sufficient natural gas infrastructure to support new usage patterns of gas generators, yet this information is essential for policymakers to have so that they can make informed policy decisions and take steps to avoid any potential reliability and resilience risks that accompany the transition to a lower emissions energy future.</w:t>
      </w:r>
    </w:p>
    <w:p w14:paraId="63AF49E2" w14:textId="56AE590A" w:rsidR="00234ABC" w:rsidRDefault="00234ABC" w:rsidP="00645652">
      <w:pPr>
        <w:spacing w:before="120" w:after="120"/>
        <w:rPr>
          <w:rFonts w:ascii="Times New Roman" w:hAnsi="Times New Roman"/>
          <w:snapToGrid w:val="0"/>
          <w:color w:val="000000"/>
        </w:rPr>
      </w:pPr>
    </w:p>
    <w:sectPr w:rsidR="00234ABC" w:rsidSect="00B71822">
      <w:headerReference w:type="default" r:id="rId14"/>
      <w:footerReference w:type="default" r:id="rId15"/>
      <w:headerReference w:type="first" r:id="rId16"/>
      <w:pgSz w:w="12240" w:h="15840" w:code="1"/>
      <w:pgMar w:top="72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5CC09" w14:textId="77777777" w:rsidR="00D924F4" w:rsidRDefault="00D924F4">
      <w:r>
        <w:separator/>
      </w:r>
    </w:p>
  </w:endnote>
  <w:endnote w:type="continuationSeparator" w:id="0">
    <w:p w14:paraId="1570D3D1" w14:textId="77777777" w:rsidR="00D924F4" w:rsidRDefault="00D9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65456" w14:textId="7CB600D2" w:rsidR="001C728D" w:rsidRPr="001C728D" w:rsidRDefault="001C728D" w:rsidP="001C728D">
    <w:pPr>
      <w:pBdr>
        <w:top w:val="single" w:sz="4" w:space="1" w:color="auto"/>
      </w:pBdr>
      <w:tabs>
        <w:tab w:val="center" w:pos="4680"/>
        <w:tab w:val="right" w:pos="9360"/>
      </w:tabs>
      <w:jc w:val="right"/>
      <w:rPr>
        <w:rFonts w:ascii="Times New Roman" w:hAnsi="Times New Roman"/>
      </w:rPr>
    </w:pPr>
    <w:bookmarkStart w:id="6" w:name="_Hlk131604340"/>
    <w:r w:rsidRPr="001C728D">
      <w:rPr>
        <w:rFonts w:ascii="Times New Roman" w:hAnsi="Times New Roman"/>
      </w:rPr>
      <w:t xml:space="preserve">NAESB Gas Electric Forum </w:t>
    </w:r>
    <w:r w:rsidR="00EB666A">
      <w:rPr>
        <w:rFonts w:ascii="Times New Roman" w:hAnsi="Times New Roman"/>
      </w:rPr>
      <w:t>Recommendations and Voting Instructions</w:t>
    </w:r>
    <w:r w:rsidRPr="001C728D">
      <w:rPr>
        <w:rFonts w:ascii="Times New Roman" w:hAnsi="Times New Roman"/>
      </w:rPr>
      <w:t xml:space="preserve"> – </w:t>
    </w:r>
    <w:r w:rsidR="00EB666A">
      <w:rPr>
        <w:rFonts w:ascii="Times New Roman" w:hAnsi="Times New Roman"/>
      </w:rPr>
      <w:t>July 13</w:t>
    </w:r>
    <w:r w:rsidRPr="001C728D">
      <w:rPr>
        <w:rFonts w:ascii="Times New Roman" w:hAnsi="Times New Roman"/>
      </w:rPr>
      <w:t>, 2023</w:t>
    </w:r>
  </w:p>
  <w:bookmarkEnd w:id="6"/>
  <w:p w14:paraId="27BE1E77" w14:textId="3614CD58" w:rsidR="001C728D" w:rsidRPr="001C728D" w:rsidRDefault="001C728D" w:rsidP="001C728D">
    <w:pPr>
      <w:tabs>
        <w:tab w:val="center" w:pos="4680"/>
        <w:tab w:val="right" w:pos="9360"/>
      </w:tabs>
      <w:jc w:val="right"/>
      <w:rPr>
        <w:rFonts w:ascii="Times New Roman" w:hAnsi="Times New Roman"/>
      </w:rPr>
    </w:pPr>
    <w:r w:rsidRPr="001C728D">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p>
  <w:p w14:paraId="12183F5D" w14:textId="77777777" w:rsidR="001C728D" w:rsidRDefault="001C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9750" w14:textId="4A334641" w:rsidR="00C93449" w:rsidRPr="001C728D" w:rsidRDefault="00FE785F" w:rsidP="00C93449">
    <w:pPr>
      <w:pBdr>
        <w:top w:val="single" w:sz="4" w:space="1" w:color="auto"/>
      </w:pBdr>
      <w:tabs>
        <w:tab w:val="center" w:pos="4680"/>
        <w:tab w:val="right" w:pos="9360"/>
      </w:tabs>
      <w:jc w:val="right"/>
      <w:rPr>
        <w:rFonts w:ascii="Times New Roman" w:hAnsi="Times New Roman"/>
      </w:rPr>
    </w:pPr>
    <w:r w:rsidRPr="00FE785F">
      <w:rPr>
        <w:rFonts w:ascii="Times New Roman" w:hAnsi="Times New Roman"/>
      </w:rPr>
      <w:t>NAESB Gas Electric Forum Recommendations and Voting Instructions – July 13, 2023</w:t>
    </w:r>
  </w:p>
  <w:p w14:paraId="71CC5247" w14:textId="77777777" w:rsidR="00234ABC" w:rsidRPr="001C728D" w:rsidRDefault="00234ABC" w:rsidP="00234ABC">
    <w:pPr>
      <w:tabs>
        <w:tab w:val="center" w:pos="4680"/>
        <w:tab w:val="right" w:pos="9360"/>
      </w:tabs>
      <w:jc w:val="right"/>
      <w:rPr>
        <w:rFonts w:ascii="Times New Roman" w:hAnsi="Times New Roman"/>
      </w:rPr>
    </w:pPr>
    <w:r w:rsidRPr="001C728D">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1BE09638" w14:textId="77777777" w:rsidR="00234ABC" w:rsidRDefault="0023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F72C6" w14:textId="77777777" w:rsidR="00D924F4" w:rsidRDefault="00D924F4">
      <w:r>
        <w:separator/>
      </w:r>
    </w:p>
  </w:footnote>
  <w:footnote w:type="continuationSeparator" w:id="0">
    <w:p w14:paraId="0AD58583" w14:textId="77777777" w:rsidR="00D924F4" w:rsidRDefault="00D9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DC476" w14:textId="77777777" w:rsidR="00B71822" w:rsidRDefault="00B71822" w:rsidP="005008DD">
    <w:pPr>
      <w:pStyle w:val="Header"/>
      <w:rPr>
        <w:b/>
        <w:smallCaps/>
        <w:sz w:val="28"/>
      </w:rPr>
    </w:pPr>
    <w:r>
      <w:rPr>
        <w:noProof/>
      </w:rPr>
      <w:drawing>
        <wp:anchor distT="0" distB="0" distL="114300" distR="114300" simplePos="0" relativeHeight="251666432" behindDoc="1" locked="0" layoutInCell="1" allowOverlap="1" wp14:anchorId="2C228A02" wp14:editId="44154917">
          <wp:simplePos x="0" y="0"/>
          <wp:positionH relativeFrom="column">
            <wp:posOffset>2404110</wp:posOffset>
          </wp:positionH>
          <wp:positionV relativeFrom="paragraph">
            <wp:posOffset>-64135</wp:posOffset>
          </wp:positionV>
          <wp:extent cx="959485" cy="1248410"/>
          <wp:effectExtent l="0" t="0" r="0" b="8890"/>
          <wp:wrapNone/>
          <wp:docPr id="6" name="Picture 6"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4736BCDB" w14:textId="77777777" w:rsidR="00B71822" w:rsidRDefault="00B71822" w:rsidP="005008DD">
    <w:pPr>
      <w:pStyle w:val="Header"/>
      <w:jc w:val="center"/>
      <w:outlineLvl w:val="0"/>
      <w:rPr>
        <w:b/>
        <w:smallCaps/>
        <w:sz w:val="28"/>
      </w:rPr>
    </w:pPr>
  </w:p>
  <w:p w14:paraId="19F7FD2B" w14:textId="44FA4991" w:rsidR="00B71822" w:rsidRDefault="00234ABC" w:rsidP="00234ABC">
    <w:pPr>
      <w:pStyle w:val="Header"/>
      <w:tabs>
        <w:tab w:val="left" w:pos="3810"/>
      </w:tabs>
      <w:outlineLvl w:val="0"/>
      <w:rPr>
        <w:b/>
        <w:smallCaps/>
        <w:sz w:val="28"/>
      </w:rPr>
    </w:pPr>
    <w:r>
      <w:rPr>
        <w:b/>
        <w:smallCaps/>
        <w:sz w:val="28"/>
      </w:rPr>
      <w:tab/>
    </w:r>
    <w:r>
      <w:rPr>
        <w:b/>
        <w:smallCaps/>
        <w:sz w:val="28"/>
      </w:rPr>
      <w:tab/>
    </w:r>
  </w:p>
  <w:p w14:paraId="59B82BC4" w14:textId="77777777" w:rsidR="00B71822" w:rsidRDefault="00B71822" w:rsidP="005008DD">
    <w:pPr>
      <w:pStyle w:val="Header"/>
      <w:jc w:val="center"/>
      <w:outlineLvl w:val="0"/>
      <w:rPr>
        <w:b/>
        <w:smallCaps/>
        <w:sz w:val="28"/>
      </w:rPr>
    </w:pPr>
  </w:p>
  <w:p w14:paraId="0973F38B" w14:textId="77777777" w:rsidR="00B71822" w:rsidRDefault="00B71822" w:rsidP="005008DD">
    <w:pPr>
      <w:pStyle w:val="Header"/>
      <w:jc w:val="center"/>
      <w:outlineLvl w:val="0"/>
      <w:rPr>
        <w:b/>
        <w:smallCaps/>
        <w:sz w:val="28"/>
      </w:rPr>
    </w:pPr>
  </w:p>
  <w:p w14:paraId="4052E035" w14:textId="77777777" w:rsidR="00B71822" w:rsidRPr="004A30D2" w:rsidRDefault="00B71822" w:rsidP="005008D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46701A62" w14:textId="77777777" w:rsidR="00B71822" w:rsidRPr="004A30D2" w:rsidRDefault="00B71822" w:rsidP="005008DD">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w:t>
    </w:r>
    <w:proofErr w:type="gramStart"/>
    <w:r w:rsidRPr="004A30D2">
      <w:rPr>
        <w:rFonts w:ascii="Times New Roman" w:hAnsi="Times New Roman"/>
        <w:b/>
        <w:sz w:val="16"/>
      </w:rPr>
      <w:t xml:space="preserve">:  </w:t>
    </w:r>
    <w:r w:rsidRPr="004A30D2">
      <w:rPr>
        <w:rFonts w:ascii="Times New Roman" w:hAnsi="Times New Roman"/>
        <w:sz w:val="16"/>
      </w:rPr>
      <w:t>(</w:t>
    </w:r>
    <w:proofErr w:type="gramEnd"/>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14:paraId="55B1063B" w14:textId="77777777" w:rsidR="00B71822" w:rsidRDefault="00B71822" w:rsidP="005008DD">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14:paraId="0348DD1B" w14:textId="77777777" w:rsidR="00B71822" w:rsidRDefault="00B71822" w:rsidP="00893D57">
    <w:pPr>
      <w:pStyle w:val="Header"/>
      <w:tabs>
        <w:tab w:val="left" w:pos="7317"/>
      </w:tabs>
      <w:spacing w:after="360"/>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FED9A" w14:textId="77777777" w:rsidR="001C728D" w:rsidRPr="001C728D" w:rsidRDefault="001C728D" w:rsidP="001C728D">
    <w:pPr>
      <w:tabs>
        <w:tab w:val="left" w:pos="1080"/>
        <w:tab w:val="center" w:pos="4680"/>
        <w:tab w:val="right" w:pos="9360"/>
      </w:tabs>
      <w:ind w:left="1800"/>
      <w:jc w:val="right"/>
      <w:rPr>
        <w:rFonts w:ascii="Times New Roman" w:hAnsi="Times New Roman"/>
        <w:b/>
        <w:spacing w:val="20"/>
        <w:sz w:val="32"/>
      </w:rPr>
    </w:pPr>
    <w:r w:rsidRPr="001C728D">
      <w:rPr>
        <w:rFonts w:ascii="Times New Roman" w:hAnsi="Times New Roman"/>
        <w:noProof/>
      </w:rPr>
      <w:drawing>
        <wp:anchor distT="0" distB="0" distL="114300" distR="114300" simplePos="0" relativeHeight="251664384" behindDoc="1" locked="0" layoutInCell="1" allowOverlap="1" wp14:anchorId="19F02BF6" wp14:editId="2DD34127">
          <wp:simplePos x="0" y="0"/>
          <wp:positionH relativeFrom="column">
            <wp:posOffset>0</wp:posOffset>
          </wp:positionH>
          <wp:positionV relativeFrom="paragraph">
            <wp:posOffset>-119062</wp:posOffset>
          </wp:positionV>
          <wp:extent cx="768485" cy="815329"/>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5AFAF76C" w14:textId="77777777" w:rsidR="001C728D" w:rsidRPr="001C728D" w:rsidRDefault="001C728D" w:rsidP="001C728D">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68F2D933" w14:textId="77777777" w:rsidR="001C728D" w:rsidRPr="001C728D" w:rsidRDefault="001C728D" w:rsidP="001C728D">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47837A1B" w14:textId="77777777" w:rsidR="001C728D" w:rsidRPr="001C728D" w:rsidRDefault="001C728D" w:rsidP="001C728D">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p w14:paraId="2A0A1340" w14:textId="430FD05A" w:rsidR="001C728D" w:rsidRPr="001C728D" w:rsidRDefault="001C728D" w:rsidP="001C7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5F40" w14:textId="77777777" w:rsidR="00234ABC" w:rsidRPr="001C728D" w:rsidRDefault="00234ABC" w:rsidP="00234ABC">
    <w:pPr>
      <w:tabs>
        <w:tab w:val="left" w:pos="1080"/>
        <w:tab w:val="center" w:pos="4680"/>
        <w:tab w:val="right" w:pos="9360"/>
      </w:tabs>
      <w:ind w:left="1800"/>
      <w:jc w:val="right"/>
      <w:rPr>
        <w:rFonts w:ascii="Times New Roman" w:hAnsi="Times New Roman"/>
        <w:b/>
        <w:spacing w:val="20"/>
        <w:sz w:val="32"/>
      </w:rPr>
    </w:pPr>
    <w:r w:rsidRPr="001C728D">
      <w:rPr>
        <w:rFonts w:ascii="Times New Roman" w:hAnsi="Times New Roman"/>
        <w:noProof/>
      </w:rPr>
      <w:drawing>
        <wp:anchor distT="0" distB="0" distL="114300" distR="114300" simplePos="0" relativeHeight="251670528" behindDoc="1" locked="0" layoutInCell="1" allowOverlap="1" wp14:anchorId="2D2C3DB3" wp14:editId="1547C84F">
          <wp:simplePos x="0" y="0"/>
          <wp:positionH relativeFrom="column">
            <wp:posOffset>0</wp:posOffset>
          </wp:positionH>
          <wp:positionV relativeFrom="paragraph">
            <wp:posOffset>-119062</wp:posOffset>
          </wp:positionV>
          <wp:extent cx="768485" cy="815329"/>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46F5C5A2" w14:textId="77777777" w:rsidR="00234ABC" w:rsidRPr="001C728D" w:rsidRDefault="00234ABC" w:rsidP="00234ABC">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5DABB835" w14:textId="77777777" w:rsidR="00234ABC" w:rsidRPr="001C728D" w:rsidRDefault="00234ABC" w:rsidP="00234ABC">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1FC6B9B9" w14:textId="77777777" w:rsidR="00234ABC" w:rsidRPr="001C728D" w:rsidRDefault="00234ABC" w:rsidP="00234ABC">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p w14:paraId="25CFBA56" w14:textId="77777777" w:rsidR="00234ABC" w:rsidRPr="001C728D" w:rsidRDefault="00234ABC" w:rsidP="00234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F29C" w14:textId="77777777" w:rsidR="00234ABC" w:rsidRPr="001C728D" w:rsidRDefault="00234ABC" w:rsidP="001C728D">
    <w:pPr>
      <w:tabs>
        <w:tab w:val="left" w:pos="1080"/>
        <w:tab w:val="center" w:pos="4680"/>
        <w:tab w:val="right" w:pos="9360"/>
      </w:tabs>
      <w:ind w:left="1800"/>
      <w:jc w:val="right"/>
      <w:rPr>
        <w:rFonts w:ascii="Times New Roman" w:hAnsi="Times New Roman"/>
        <w:b/>
        <w:spacing w:val="20"/>
        <w:sz w:val="32"/>
      </w:rPr>
    </w:pPr>
    <w:bookmarkStart w:id="11" w:name="_Hlk129704380"/>
    <w:bookmarkStart w:id="12" w:name="_Hlk129704381"/>
    <w:r w:rsidRPr="001C728D">
      <w:rPr>
        <w:rFonts w:ascii="Times New Roman" w:hAnsi="Times New Roman"/>
        <w:noProof/>
      </w:rPr>
      <w:drawing>
        <wp:anchor distT="0" distB="0" distL="114300" distR="114300" simplePos="0" relativeHeight="251668480" behindDoc="1" locked="0" layoutInCell="1" allowOverlap="1" wp14:anchorId="37E34D49" wp14:editId="2618AC6F">
          <wp:simplePos x="0" y="0"/>
          <wp:positionH relativeFrom="column">
            <wp:posOffset>0</wp:posOffset>
          </wp:positionH>
          <wp:positionV relativeFrom="paragraph">
            <wp:posOffset>-119062</wp:posOffset>
          </wp:positionV>
          <wp:extent cx="768485" cy="815329"/>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1F82457B" w14:textId="77777777" w:rsidR="00234ABC" w:rsidRPr="001C728D" w:rsidRDefault="00234ABC" w:rsidP="001C728D">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63B04E6E" w14:textId="77777777" w:rsidR="00234ABC" w:rsidRPr="001C728D" w:rsidRDefault="00234ABC" w:rsidP="001C728D">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7DBDCE7D" w14:textId="77777777" w:rsidR="00234ABC" w:rsidRPr="001C728D" w:rsidRDefault="00234ABC" w:rsidP="001C728D">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bookmarkEnd w:id="11"/>
  <w:bookmarkEnd w:id="12"/>
  <w:p w14:paraId="75A78D44" w14:textId="77777777" w:rsidR="00234ABC" w:rsidRPr="001C728D" w:rsidRDefault="00234ABC" w:rsidP="001C7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A26"/>
    <w:multiLevelType w:val="hybridMultilevel"/>
    <w:tmpl w:val="DD12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124AE"/>
    <w:multiLevelType w:val="hybridMultilevel"/>
    <w:tmpl w:val="851AA7BC"/>
    <w:lvl w:ilvl="0" w:tplc="2B4A17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5ECD"/>
    <w:multiLevelType w:val="hybridMultilevel"/>
    <w:tmpl w:val="3078FBA2"/>
    <w:lvl w:ilvl="0" w:tplc="D13800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2E8568A8"/>
    <w:multiLevelType w:val="hybridMultilevel"/>
    <w:tmpl w:val="62DAD8AA"/>
    <w:lvl w:ilvl="0" w:tplc="0D4211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F59EE"/>
    <w:multiLevelType w:val="hybridMultilevel"/>
    <w:tmpl w:val="7B3C4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61118"/>
    <w:multiLevelType w:val="hybridMultilevel"/>
    <w:tmpl w:val="FC7A644E"/>
    <w:lvl w:ilvl="0" w:tplc="47B8F30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F5979"/>
    <w:multiLevelType w:val="hybridMultilevel"/>
    <w:tmpl w:val="60C85D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220F0"/>
    <w:multiLevelType w:val="hybridMultilevel"/>
    <w:tmpl w:val="CCA448C4"/>
    <w:lvl w:ilvl="0" w:tplc="E44A6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0035B9"/>
    <w:multiLevelType w:val="hybridMultilevel"/>
    <w:tmpl w:val="44C4A080"/>
    <w:lvl w:ilvl="0" w:tplc="C240C312">
      <w:start w:val="1"/>
      <w:numFmt w:val="decimal"/>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3327B55"/>
    <w:multiLevelType w:val="hybridMultilevel"/>
    <w:tmpl w:val="594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E2DF6"/>
    <w:multiLevelType w:val="hybridMultilevel"/>
    <w:tmpl w:val="20D605F0"/>
    <w:lvl w:ilvl="0" w:tplc="A47259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C530E"/>
    <w:multiLevelType w:val="hybridMultilevel"/>
    <w:tmpl w:val="0C9AC534"/>
    <w:lvl w:ilvl="0" w:tplc="51325C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E2244"/>
    <w:multiLevelType w:val="hybridMultilevel"/>
    <w:tmpl w:val="9D88F070"/>
    <w:lvl w:ilvl="0" w:tplc="C240C312">
      <w:start w:val="1"/>
      <w:numFmt w:val="decimal"/>
      <w:lvlText w:val="%1.)"/>
      <w:lvlJc w:val="left"/>
      <w:pPr>
        <w:ind w:left="12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66B879B7"/>
    <w:multiLevelType w:val="hybridMultilevel"/>
    <w:tmpl w:val="F9C48BFA"/>
    <w:lvl w:ilvl="0" w:tplc="914A65F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108A8"/>
    <w:multiLevelType w:val="hybridMultilevel"/>
    <w:tmpl w:val="CDC45B9A"/>
    <w:lvl w:ilvl="0" w:tplc="E44A6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D2A86"/>
    <w:multiLevelType w:val="hybridMultilevel"/>
    <w:tmpl w:val="084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0"/>
  </w:num>
  <w:num w:numId="4">
    <w:abstractNumId w:val="11"/>
  </w:num>
  <w:num w:numId="5">
    <w:abstractNumId w:val="36"/>
  </w:num>
  <w:num w:numId="6">
    <w:abstractNumId w:val="22"/>
  </w:num>
  <w:num w:numId="7">
    <w:abstractNumId w:val="2"/>
  </w:num>
  <w:num w:numId="8">
    <w:abstractNumId w:val="26"/>
  </w:num>
  <w:num w:numId="9">
    <w:abstractNumId w:val="29"/>
  </w:num>
  <w:num w:numId="10">
    <w:abstractNumId w:val="7"/>
  </w:num>
  <w:num w:numId="11">
    <w:abstractNumId w:val="6"/>
  </w:num>
  <w:num w:numId="12">
    <w:abstractNumId w:val="4"/>
  </w:num>
  <w:num w:numId="13">
    <w:abstractNumId w:val="13"/>
  </w:num>
  <w:num w:numId="14">
    <w:abstractNumId w:val="17"/>
  </w:num>
  <w:num w:numId="15">
    <w:abstractNumId w:val="20"/>
  </w:num>
  <w:num w:numId="16">
    <w:abstractNumId w:val="19"/>
  </w:num>
  <w:num w:numId="17">
    <w:abstractNumId w:val="28"/>
  </w:num>
  <w:num w:numId="18">
    <w:abstractNumId w:val="9"/>
  </w:num>
  <w:num w:numId="19">
    <w:abstractNumId w:val="14"/>
  </w:num>
  <w:num w:numId="20">
    <w:abstractNumId w:val="5"/>
  </w:num>
  <w:num w:numId="21">
    <w:abstractNumId w:val="15"/>
  </w:num>
  <w:num w:numId="22">
    <w:abstractNumId w:val="12"/>
  </w:num>
  <w:num w:numId="23">
    <w:abstractNumId w:val="37"/>
  </w:num>
  <w:num w:numId="24">
    <w:abstractNumId w:val="24"/>
  </w:num>
  <w:num w:numId="25">
    <w:abstractNumId w:val="0"/>
  </w:num>
  <w:num w:numId="26">
    <w:abstractNumId w:val="34"/>
  </w:num>
  <w:num w:numId="27">
    <w:abstractNumId w:val="32"/>
  </w:num>
  <w:num w:numId="28">
    <w:abstractNumId w:val="21"/>
  </w:num>
  <w:num w:numId="29">
    <w:abstractNumId w:val="33"/>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6"/>
  </w:num>
  <w:num w:numId="37">
    <w:abstractNumId w:val="27"/>
  </w:num>
  <w:num w:numId="38">
    <w:abstractNumId w:val="8"/>
  </w:num>
  <w:num w:numId="39">
    <w:abstractNumId w:val="25"/>
  </w:num>
  <w:num w:numId="40">
    <w:abstractNumId w:val="18"/>
  </w:num>
  <w:num w:numId="41">
    <w:abstractNumId w:val="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D"/>
    <w:rsid w:val="000241B6"/>
    <w:rsid w:val="0003148E"/>
    <w:rsid w:val="000377CF"/>
    <w:rsid w:val="00043CF6"/>
    <w:rsid w:val="000728C3"/>
    <w:rsid w:val="00080CDE"/>
    <w:rsid w:val="00093CA2"/>
    <w:rsid w:val="000A3151"/>
    <w:rsid w:val="000A5FDC"/>
    <w:rsid w:val="000D2094"/>
    <w:rsid w:val="000D5ADC"/>
    <w:rsid w:val="000E2A93"/>
    <w:rsid w:val="000E4406"/>
    <w:rsid w:val="000F4D9F"/>
    <w:rsid w:val="00100C22"/>
    <w:rsid w:val="00112E85"/>
    <w:rsid w:val="001165C3"/>
    <w:rsid w:val="001261EA"/>
    <w:rsid w:val="00131C4A"/>
    <w:rsid w:val="00145268"/>
    <w:rsid w:val="00153C39"/>
    <w:rsid w:val="00156EA6"/>
    <w:rsid w:val="00157ED4"/>
    <w:rsid w:val="0016774B"/>
    <w:rsid w:val="001733C1"/>
    <w:rsid w:val="00175B40"/>
    <w:rsid w:val="001865AD"/>
    <w:rsid w:val="00186F39"/>
    <w:rsid w:val="00187D33"/>
    <w:rsid w:val="0019584E"/>
    <w:rsid w:val="00197859"/>
    <w:rsid w:val="001A5FB8"/>
    <w:rsid w:val="001B45EE"/>
    <w:rsid w:val="001C728D"/>
    <w:rsid w:val="001D0B7C"/>
    <w:rsid w:val="001D2CFF"/>
    <w:rsid w:val="001F77C6"/>
    <w:rsid w:val="0020577F"/>
    <w:rsid w:val="0021379D"/>
    <w:rsid w:val="002157DB"/>
    <w:rsid w:val="00221B70"/>
    <w:rsid w:val="00227668"/>
    <w:rsid w:val="00227CAD"/>
    <w:rsid w:val="002340F7"/>
    <w:rsid w:val="00234ABC"/>
    <w:rsid w:val="00237773"/>
    <w:rsid w:val="00242516"/>
    <w:rsid w:val="00250F27"/>
    <w:rsid w:val="002573B8"/>
    <w:rsid w:val="0025746C"/>
    <w:rsid w:val="00261912"/>
    <w:rsid w:val="002669EA"/>
    <w:rsid w:val="0027303A"/>
    <w:rsid w:val="002732BF"/>
    <w:rsid w:val="0027652D"/>
    <w:rsid w:val="00292548"/>
    <w:rsid w:val="00296285"/>
    <w:rsid w:val="002A568B"/>
    <w:rsid w:val="002B1B11"/>
    <w:rsid w:val="002E411C"/>
    <w:rsid w:val="002E6A25"/>
    <w:rsid w:val="002E6BFD"/>
    <w:rsid w:val="002F41EC"/>
    <w:rsid w:val="0030191E"/>
    <w:rsid w:val="0031475D"/>
    <w:rsid w:val="00316542"/>
    <w:rsid w:val="00327B24"/>
    <w:rsid w:val="00327BB9"/>
    <w:rsid w:val="00332AB5"/>
    <w:rsid w:val="00332F23"/>
    <w:rsid w:val="003344B9"/>
    <w:rsid w:val="003415D1"/>
    <w:rsid w:val="00354627"/>
    <w:rsid w:val="00360AB1"/>
    <w:rsid w:val="003651E4"/>
    <w:rsid w:val="00366019"/>
    <w:rsid w:val="00366F38"/>
    <w:rsid w:val="00374163"/>
    <w:rsid w:val="0038164E"/>
    <w:rsid w:val="00383B7D"/>
    <w:rsid w:val="003C7DBA"/>
    <w:rsid w:val="003D0B1E"/>
    <w:rsid w:val="003E0926"/>
    <w:rsid w:val="003E47DB"/>
    <w:rsid w:val="003E57D9"/>
    <w:rsid w:val="003E7087"/>
    <w:rsid w:val="003F25CD"/>
    <w:rsid w:val="003F3164"/>
    <w:rsid w:val="003F3AAE"/>
    <w:rsid w:val="003F55EA"/>
    <w:rsid w:val="00400CF2"/>
    <w:rsid w:val="00405285"/>
    <w:rsid w:val="00405AA6"/>
    <w:rsid w:val="004108CA"/>
    <w:rsid w:val="00437CD8"/>
    <w:rsid w:val="00443436"/>
    <w:rsid w:val="00452554"/>
    <w:rsid w:val="0045269E"/>
    <w:rsid w:val="004550E7"/>
    <w:rsid w:val="00457811"/>
    <w:rsid w:val="00457E28"/>
    <w:rsid w:val="004762A2"/>
    <w:rsid w:val="0048137E"/>
    <w:rsid w:val="00486216"/>
    <w:rsid w:val="0048764D"/>
    <w:rsid w:val="0049206D"/>
    <w:rsid w:val="004958E2"/>
    <w:rsid w:val="00497C97"/>
    <w:rsid w:val="004A0728"/>
    <w:rsid w:val="004A30D2"/>
    <w:rsid w:val="004A6A8F"/>
    <w:rsid w:val="004A77E7"/>
    <w:rsid w:val="004B40B4"/>
    <w:rsid w:val="004B5AAC"/>
    <w:rsid w:val="004C7478"/>
    <w:rsid w:val="004D48CE"/>
    <w:rsid w:val="004D662D"/>
    <w:rsid w:val="004D75DE"/>
    <w:rsid w:val="004E1458"/>
    <w:rsid w:val="004F1FC4"/>
    <w:rsid w:val="004F2C88"/>
    <w:rsid w:val="004F49B5"/>
    <w:rsid w:val="005008DD"/>
    <w:rsid w:val="00503986"/>
    <w:rsid w:val="005160A2"/>
    <w:rsid w:val="005465B4"/>
    <w:rsid w:val="00547A87"/>
    <w:rsid w:val="00554019"/>
    <w:rsid w:val="00555F43"/>
    <w:rsid w:val="00567F83"/>
    <w:rsid w:val="0057087E"/>
    <w:rsid w:val="0057519E"/>
    <w:rsid w:val="0058614F"/>
    <w:rsid w:val="005A029C"/>
    <w:rsid w:val="005B6AA2"/>
    <w:rsid w:val="005C1E1D"/>
    <w:rsid w:val="005D5082"/>
    <w:rsid w:val="005D5929"/>
    <w:rsid w:val="005F3F31"/>
    <w:rsid w:val="005F4397"/>
    <w:rsid w:val="005F74CE"/>
    <w:rsid w:val="006069CD"/>
    <w:rsid w:val="00614ADE"/>
    <w:rsid w:val="00626E2D"/>
    <w:rsid w:val="00631A9E"/>
    <w:rsid w:val="00633986"/>
    <w:rsid w:val="00645652"/>
    <w:rsid w:val="00654022"/>
    <w:rsid w:val="00654A0F"/>
    <w:rsid w:val="00654CB5"/>
    <w:rsid w:val="006677B6"/>
    <w:rsid w:val="00682417"/>
    <w:rsid w:val="00684C3B"/>
    <w:rsid w:val="006920E5"/>
    <w:rsid w:val="006936D4"/>
    <w:rsid w:val="00693973"/>
    <w:rsid w:val="00696360"/>
    <w:rsid w:val="00696B35"/>
    <w:rsid w:val="006A4F72"/>
    <w:rsid w:val="006A731C"/>
    <w:rsid w:val="006B10BF"/>
    <w:rsid w:val="006E3ABF"/>
    <w:rsid w:val="006E6DFE"/>
    <w:rsid w:val="0070225C"/>
    <w:rsid w:val="00703556"/>
    <w:rsid w:val="0070460E"/>
    <w:rsid w:val="00716AF5"/>
    <w:rsid w:val="00716F14"/>
    <w:rsid w:val="00717203"/>
    <w:rsid w:val="00721999"/>
    <w:rsid w:val="00736DCB"/>
    <w:rsid w:val="00765A65"/>
    <w:rsid w:val="00774915"/>
    <w:rsid w:val="00774AB9"/>
    <w:rsid w:val="00790CD5"/>
    <w:rsid w:val="007917EE"/>
    <w:rsid w:val="00791F65"/>
    <w:rsid w:val="00792A09"/>
    <w:rsid w:val="00796EF1"/>
    <w:rsid w:val="007979CF"/>
    <w:rsid w:val="007A247D"/>
    <w:rsid w:val="007A5003"/>
    <w:rsid w:val="007B1C4D"/>
    <w:rsid w:val="007C7D5F"/>
    <w:rsid w:val="007D16EB"/>
    <w:rsid w:val="007D324D"/>
    <w:rsid w:val="007D5CFB"/>
    <w:rsid w:val="007E09B4"/>
    <w:rsid w:val="007E3041"/>
    <w:rsid w:val="007F09BA"/>
    <w:rsid w:val="008064ED"/>
    <w:rsid w:val="0081734C"/>
    <w:rsid w:val="00817EB4"/>
    <w:rsid w:val="008220BE"/>
    <w:rsid w:val="00825FE1"/>
    <w:rsid w:val="00826B86"/>
    <w:rsid w:val="00827FF4"/>
    <w:rsid w:val="00833535"/>
    <w:rsid w:val="00837674"/>
    <w:rsid w:val="00843319"/>
    <w:rsid w:val="0084404E"/>
    <w:rsid w:val="00846931"/>
    <w:rsid w:val="00850EDE"/>
    <w:rsid w:val="00853755"/>
    <w:rsid w:val="00853FF1"/>
    <w:rsid w:val="00855F3F"/>
    <w:rsid w:val="008718D1"/>
    <w:rsid w:val="00880248"/>
    <w:rsid w:val="008854B0"/>
    <w:rsid w:val="00885CAD"/>
    <w:rsid w:val="00891F28"/>
    <w:rsid w:val="00893D57"/>
    <w:rsid w:val="00897DB5"/>
    <w:rsid w:val="00897E6F"/>
    <w:rsid w:val="008B1994"/>
    <w:rsid w:val="008B6B8F"/>
    <w:rsid w:val="008C3A89"/>
    <w:rsid w:val="008D4625"/>
    <w:rsid w:val="008E0405"/>
    <w:rsid w:val="008E0BF4"/>
    <w:rsid w:val="008E1436"/>
    <w:rsid w:val="008E18D7"/>
    <w:rsid w:val="008F2088"/>
    <w:rsid w:val="008F3882"/>
    <w:rsid w:val="00902241"/>
    <w:rsid w:val="00905CB0"/>
    <w:rsid w:val="0092049C"/>
    <w:rsid w:val="00924D3A"/>
    <w:rsid w:val="00926E8D"/>
    <w:rsid w:val="00930C22"/>
    <w:rsid w:val="00933CB5"/>
    <w:rsid w:val="00934D7B"/>
    <w:rsid w:val="00947345"/>
    <w:rsid w:val="00951C7C"/>
    <w:rsid w:val="00956F81"/>
    <w:rsid w:val="0096160B"/>
    <w:rsid w:val="009631FA"/>
    <w:rsid w:val="00975654"/>
    <w:rsid w:val="009805E8"/>
    <w:rsid w:val="00985BE1"/>
    <w:rsid w:val="009945CC"/>
    <w:rsid w:val="009B465C"/>
    <w:rsid w:val="009B6B83"/>
    <w:rsid w:val="009D08B5"/>
    <w:rsid w:val="009D20B8"/>
    <w:rsid w:val="009D26DA"/>
    <w:rsid w:val="009E1DD2"/>
    <w:rsid w:val="009E31B7"/>
    <w:rsid w:val="009E3532"/>
    <w:rsid w:val="009E3707"/>
    <w:rsid w:val="009F0132"/>
    <w:rsid w:val="00A01723"/>
    <w:rsid w:val="00A14400"/>
    <w:rsid w:val="00A20C06"/>
    <w:rsid w:val="00A2503D"/>
    <w:rsid w:val="00A25B22"/>
    <w:rsid w:val="00A31CF1"/>
    <w:rsid w:val="00A44386"/>
    <w:rsid w:val="00A527B0"/>
    <w:rsid w:val="00A67250"/>
    <w:rsid w:val="00A7545F"/>
    <w:rsid w:val="00A7655C"/>
    <w:rsid w:val="00A96E07"/>
    <w:rsid w:val="00AA0BEC"/>
    <w:rsid w:val="00AB6568"/>
    <w:rsid w:val="00AD4927"/>
    <w:rsid w:val="00AE0668"/>
    <w:rsid w:val="00AF3FFC"/>
    <w:rsid w:val="00AF5CC9"/>
    <w:rsid w:val="00B13DCB"/>
    <w:rsid w:val="00B150B7"/>
    <w:rsid w:val="00B1573B"/>
    <w:rsid w:val="00B16CDC"/>
    <w:rsid w:val="00B23536"/>
    <w:rsid w:val="00B2531D"/>
    <w:rsid w:val="00B26C7A"/>
    <w:rsid w:val="00B35182"/>
    <w:rsid w:val="00B35FA0"/>
    <w:rsid w:val="00B36F13"/>
    <w:rsid w:val="00B44CF6"/>
    <w:rsid w:val="00B51D5F"/>
    <w:rsid w:val="00B62AD6"/>
    <w:rsid w:val="00B64D7C"/>
    <w:rsid w:val="00B65CC8"/>
    <w:rsid w:val="00B67CC6"/>
    <w:rsid w:val="00B71822"/>
    <w:rsid w:val="00B72BE5"/>
    <w:rsid w:val="00B7536B"/>
    <w:rsid w:val="00B81EDF"/>
    <w:rsid w:val="00B82167"/>
    <w:rsid w:val="00BA19DA"/>
    <w:rsid w:val="00BA576D"/>
    <w:rsid w:val="00BB2147"/>
    <w:rsid w:val="00BC222D"/>
    <w:rsid w:val="00BC7245"/>
    <w:rsid w:val="00BD49EB"/>
    <w:rsid w:val="00BE10D4"/>
    <w:rsid w:val="00BE423A"/>
    <w:rsid w:val="00C339EB"/>
    <w:rsid w:val="00C36294"/>
    <w:rsid w:val="00C54B01"/>
    <w:rsid w:val="00C932DA"/>
    <w:rsid w:val="00C93449"/>
    <w:rsid w:val="00C95F36"/>
    <w:rsid w:val="00C97F76"/>
    <w:rsid w:val="00CA1A8C"/>
    <w:rsid w:val="00CC41DC"/>
    <w:rsid w:val="00CC430B"/>
    <w:rsid w:val="00CD1DC9"/>
    <w:rsid w:val="00CE3AB9"/>
    <w:rsid w:val="00CE68D6"/>
    <w:rsid w:val="00CF7DC7"/>
    <w:rsid w:val="00D05971"/>
    <w:rsid w:val="00D1011F"/>
    <w:rsid w:val="00D118AA"/>
    <w:rsid w:val="00D1296D"/>
    <w:rsid w:val="00D132E8"/>
    <w:rsid w:val="00D14773"/>
    <w:rsid w:val="00D22B48"/>
    <w:rsid w:val="00D27F51"/>
    <w:rsid w:val="00D31B5D"/>
    <w:rsid w:val="00D47856"/>
    <w:rsid w:val="00D55AE5"/>
    <w:rsid w:val="00D76AC4"/>
    <w:rsid w:val="00D924F4"/>
    <w:rsid w:val="00DB06B1"/>
    <w:rsid w:val="00DB142D"/>
    <w:rsid w:val="00DB6379"/>
    <w:rsid w:val="00DC2E94"/>
    <w:rsid w:val="00DC4C73"/>
    <w:rsid w:val="00DC519F"/>
    <w:rsid w:val="00DE07DB"/>
    <w:rsid w:val="00DE508C"/>
    <w:rsid w:val="00DF0513"/>
    <w:rsid w:val="00E07B62"/>
    <w:rsid w:val="00E16A10"/>
    <w:rsid w:val="00E24D96"/>
    <w:rsid w:val="00E257C7"/>
    <w:rsid w:val="00E26FA3"/>
    <w:rsid w:val="00E56D37"/>
    <w:rsid w:val="00E61867"/>
    <w:rsid w:val="00E62141"/>
    <w:rsid w:val="00E67F82"/>
    <w:rsid w:val="00E71B57"/>
    <w:rsid w:val="00E80DA4"/>
    <w:rsid w:val="00E8231A"/>
    <w:rsid w:val="00E8339D"/>
    <w:rsid w:val="00E8545C"/>
    <w:rsid w:val="00E85888"/>
    <w:rsid w:val="00E873F9"/>
    <w:rsid w:val="00EA3D86"/>
    <w:rsid w:val="00EB666A"/>
    <w:rsid w:val="00EC2668"/>
    <w:rsid w:val="00ED3373"/>
    <w:rsid w:val="00ED65FC"/>
    <w:rsid w:val="00EE51E6"/>
    <w:rsid w:val="00EF1FB7"/>
    <w:rsid w:val="00F00A3F"/>
    <w:rsid w:val="00F02CD4"/>
    <w:rsid w:val="00F26DCC"/>
    <w:rsid w:val="00F42BB2"/>
    <w:rsid w:val="00F43777"/>
    <w:rsid w:val="00F47B4E"/>
    <w:rsid w:val="00F51A81"/>
    <w:rsid w:val="00F558B2"/>
    <w:rsid w:val="00F7093E"/>
    <w:rsid w:val="00F74F93"/>
    <w:rsid w:val="00F849D4"/>
    <w:rsid w:val="00F8633F"/>
    <w:rsid w:val="00F916D8"/>
    <w:rsid w:val="00FA0504"/>
    <w:rsid w:val="00FA1B31"/>
    <w:rsid w:val="00FA42E5"/>
    <w:rsid w:val="00FB2844"/>
    <w:rsid w:val="00FB299D"/>
    <w:rsid w:val="00FB687A"/>
    <w:rsid w:val="00FC2C61"/>
    <w:rsid w:val="00FC5CEE"/>
    <w:rsid w:val="00FE1234"/>
    <w:rsid w:val="00FE21BE"/>
    <w:rsid w:val="00FE6B73"/>
    <w:rsid w:val="00FE785F"/>
    <w:rsid w:val="00FF0372"/>
    <w:rsid w:val="00FF0C80"/>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31771"/>
  <w15:docId w15:val="{AC547C5B-E6FD-4BE1-AFFC-84B3E24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49"/>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 w:type="character" w:styleId="UnresolvedMention">
    <w:name w:val="Unresolved Mention"/>
    <w:basedOn w:val="DefaultParagraphFont"/>
    <w:uiPriority w:val="99"/>
    <w:semiHidden/>
    <w:unhideWhenUsed/>
    <w:rsid w:val="00AF5CC9"/>
    <w:rPr>
      <w:color w:val="605E5C"/>
      <w:shd w:val="clear" w:color="auto" w:fill="E1DFDD"/>
    </w:rPr>
  </w:style>
  <w:style w:type="table" w:customStyle="1" w:styleId="TableGrid1">
    <w:name w:val="Table Grid1"/>
    <w:basedOn w:val="TableNormal"/>
    <w:next w:val="TableGrid"/>
    <w:uiPriority w:val="39"/>
    <w:rsid w:val="00AA0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58002">
      <w:bodyDiv w:val="1"/>
      <w:marLeft w:val="0"/>
      <w:marRight w:val="0"/>
      <w:marTop w:val="0"/>
      <w:marBottom w:val="0"/>
      <w:divBdr>
        <w:top w:val="none" w:sz="0" w:space="0" w:color="auto"/>
        <w:left w:val="none" w:sz="0" w:space="0" w:color="auto"/>
        <w:bottom w:val="none" w:sz="0" w:space="0" w:color="auto"/>
        <w:right w:val="none" w:sz="0" w:space="0" w:color="auto"/>
      </w:divBdr>
    </w:div>
    <w:div w:id="492718263">
      <w:bodyDiv w:val="1"/>
      <w:marLeft w:val="0"/>
      <w:marRight w:val="0"/>
      <w:marTop w:val="0"/>
      <w:marBottom w:val="0"/>
      <w:divBdr>
        <w:top w:val="none" w:sz="0" w:space="0" w:color="auto"/>
        <w:left w:val="none" w:sz="0" w:space="0" w:color="auto"/>
        <w:bottom w:val="none" w:sz="0" w:space="0" w:color="auto"/>
        <w:right w:val="none" w:sz="0" w:space="0" w:color="auto"/>
      </w:divBdr>
    </w:div>
    <w:div w:id="651062353">
      <w:bodyDiv w:val="1"/>
      <w:marLeft w:val="0"/>
      <w:marRight w:val="0"/>
      <w:marTop w:val="0"/>
      <w:marBottom w:val="0"/>
      <w:divBdr>
        <w:top w:val="none" w:sz="0" w:space="0" w:color="auto"/>
        <w:left w:val="none" w:sz="0" w:space="0" w:color="auto"/>
        <w:bottom w:val="none" w:sz="0" w:space="0" w:color="auto"/>
        <w:right w:val="none" w:sz="0" w:space="0" w:color="auto"/>
      </w:divBdr>
    </w:div>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306545897">
      <w:bodyDiv w:val="1"/>
      <w:marLeft w:val="0"/>
      <w:marRight w:val="0"/>
      <w:marTop w:val="0"/>
      <w:marBottom w:val="0"/>
      <w:divBdr>
        <w:top w:val="none" w:sz="0" w:space="0" w:color="auto"/>
        <w:left w:val="none" w:sz="0" w:space="0" w:color="auto"/>
        <w:bottom w:val="none" w:sz="0" w:space="0" w:color="auto"/>
        <w:right w:val="none" w:sz="0" w:space="0" w:color="auto"/>
      </w:divBdr>
    </w:div>
    <w:div w:id="1502308774">
      <w:bodyDiv w:val="1"/>
      <w:marLeft w:val="0"/>
      <w:marRight w:val="0"/>
      <w:marTop w:val="0"/>
      <w:marBottom w:val="0"/>
      <w:divBdr>
        <w:top w:val="none" w:sz="0" w:space="0" w:color="auto"/>
        <w:left w:val="none" w:sz="0" w:space="0" w:color="auto"/>
        <w:bottom w:val="none" w:sz="0" w:space="0" w:color="auto"/>
        <w:right w:val="none" w:sz="0" w:space="0" w:color="auto"/>
      </w:divBdr>
    </w:div>
    <w:div w:id="1655378511">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_balanced_voting_quadrant_segment_descriptions.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urveymonkey.com/r/3TBHY5X" TargetMode="External"/><Relationship Id="rId4" Type="http://schemas.openxmlformats.org/officeDocument/2006/relationships/settings" Target="settings.xml"/><Relationship Id="rId9" Type="http://schemas.openxmlformats.org/officeDocument/2006/relationships/hyperlink" Target="https://www.naesb.org/pdf4/geh071323eligible_voters.doc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91360-6DF9-493C-93AE-21D9602A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181</TotalTime>
  <Pages>5</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15955</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Jonathan Booe</cp:lastModifiedBy>
  <cp:revision>12</cp:revision>
  <cp:lastPrinted>2013-08-02T20:53:00Z</cp:lastPrinted>
  <dcterms:created xsi:type="dcterms:W3CDTF">2023-07-12T21:19:00Z</dcterms:created>
  <dcterms:modified xsi:type="dcterms:W3CDTF">2023-07-13T20:40:00Z</dcterms:modified>
</cp:coreProperties>
</file>