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6673EF45" w:rsidR="004667C2" w:rsidRDefault="004667C2" w:rsidP="00DA472E">
      <w:pPr>
        <w:tabs>
          <w:tab w:val="left" w:pos="900"/>
        </w:tabs>
        <w:spacing w:before="120" w:after="120"/>
        <w:ind w:left="900" w:hanging="900"/>
      </w:pPr>
      <w:r>
        <w:rPr>
          <w:b/>
        </w:rPr>
        <w:t xml:space="preserve">FROM: </w:t>
      </w:r>
      <w:r>
        <w:rPr>
          <w:b/>
        </w:rPr>
        <w:tab/>
      </w:r>
      <w:r w:rsidR="00726F46">
        <w:t>Elizabeth Mallett</w:t>
      </w:r>
      <w:r>
        <w:t>, NAESB</w:t>
      </w:r>
      <w:r w:rsidR="00C131DD">
        <w:t xml:space="preserve"> Director</w:t>
      </w:r>
      <w:r w:rsidR="00DA472E">
        <w:t>,</w:t>
      </w:r>
      <w:r w:rsidR="00C131DD">
        <w:t xml:space="preserve"> Wholesale </w:t>
      </w:r>
      <w:r w:rsidR="00726F46">
        <w:t xml:space="preserve">Gas Quadrant </w:t>
      </w:r>
      <w:r w:rsidR="00DA472E">
        <w:t xml:space="preserve">(WGQ) </w:t>
      </w:r>
      <w:r w:rsidR="00726F46">
        <w:t>and Retail Markets Quadrant</w:t>
      </w:r>
      <w:r w:rsidR="00DA472E">
        <w:t xml:space="preserve"> (RMQ)</w:t>
      </w:r>
    </w:p>
    <w:p w14:paraId="7E208BA2" w14:textId="77B6C126"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4A0BB2">
        <w:t>June 16</w:t>
      </w:r>
      <w:r w:rsidR="00CF4915">
        <w:t>, 2023</w:t>
      </w:r>
    </w:p>
    <w:p w14:paraId="4199B113" w14:textId="54ED6480" w:rsidR="004667C2" w:rsidRDefault="004667C2" w:rsidP="00DC2A77">
      <w:pPr>
        <w:pBdr>
          <w:bottom w:val="single" w:sz="12" w:space="1" w:color="auto"/>
        </w:pBdr>
        <w:tabs>
          <w:tab w:val="left" w:pos="900"/>
        </w:tabs>
        <w:spacing w:before="120" w:after="120"/>
      </w:pPr>
      <w:r>
        <w:rPr>
          <w:b/>
        </w:rPr>
        <w:t>DATE:</w:t>
      </w:r>
      <w:r w:rsidR="009633C3">
        <w:tab/>
      </w:r>
      <w:r w:rsidR="004A0BB2">
        <w:t>June 2</w:t>
      </w:r>
      <w:r w:rsidR="00A33FA3">
        <w:t>2</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1228D252"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4A0BB2">
        <w:t>June 16</w:t>
      </w:r>
      <w:r w:rsidR="00CF4915">
        <w:t>, 202</w:t>
      </w:r>
      <w:r w:rsidR="00C13162">
        <w:t>3</w:t>
      </w:r>
      <w:r w:rsidR="00680D5B">
        <w:t xml:space="preserve"> </w:t>
      </w:r>
      <w:r w:rsidR="00DD1713">
        <w:t xml:space="preserve">at </w:t>
      </w:r>
      <w:r w:rsidR="004A0BB2">
        <w:t>9</w:t>
      </w:r>
      <w:r w:rsidR="00F54D31">
        <w:t xml:space="preserve">:00 </w:t>
      </w:r>
      <w:r w:rsidR="004A0BB2">
        <w:t>A</w:t>
      </w:r>
      <w:r w:rsidR="00D64BC1">
        <w:t>M</w:t>
      </w:r>
      <w:r>
        <w:t xml:space="preserve"> </w:t>
      </w:r>
      <w:r w:rsidR="00554313">
        <w:t>Central</w:t>
      </w:r>
      <w:r>
        <w:t xml:space="preserve">.  </w:t>
      </w:r>
      <w:r w:rsidR="003C4EB7">
        <w:t>Mr. Gee</w:t>
      </w:r>
      <w:r w:rsidR="0090499D">
        <w:t>, Ms. Tierney,</w:t>
      </w:r>
      <w:r w:rsidR="00F54D31">
        <w:t xml:space="preserve"> </w:t>
      </w:r>
      <w:r w:rsidR="00A627B1">
        <w:t>and Mr. Wood</w:t>
      </w:r>
      <w:r w:rsidR="00BA466B">
        <w:t xml:space="preserve"> </w:t>
      </w:r>
      <w:r>
        <w:t xml:space="preserve">presided over the meeting.  </w:t>
      </w:r>
      <w:r w:rsidR="00CD43E9">
        <w:t>The notes below reflect the NAESB staff summary of the meeting.</w:t>
      </w:r>
    </w:p>
    <w:p w14:paraId="4C3A725A" w14:textId="68D136F5" w:rsidR="004667C2" w:rsidRDefault="00774881" w:rsidP="00661401">
      <w:pPr>
        <w:spacing w:before="120" w:after="240"/>
        <w:outlineLvl w:val="2"/>
      </w:pPr>
      <w:r>
        <w:t>A recording of the meeting has been posted on the NAESB GEH Forum webpage:</w:t>
      </w:r>
      <w:r w:rsidR="00BC74DE">
        <w:t xml:space="preserve"> </w:t>
      </w:r>
      <w:hyperlink r:id="rId8" w:history="1">
        <w:r w:rsidR="00F877E2" w:rsidRPr="000C2464">
          <w:rPr>
            <w:rStyle w:val="Hyperlink"/>
          </w:rPr>
          <w:t>https://naesb.org/recordings/geh061623recording.mp4</w:t>
        </w:r>
      </w:hyperlink>
      <w:r w:rsidR="00F877E2">
        <w:t xml:space="preserve">. </w:t>
      </w:r>
    </w:p>
    <w:p w14:paraId="6C8EAA8C" w14:textId="458EE50D" w:rsidR="003C4EB7" w:rsidRDefault="003C4EB7" w:rsidP="00661401">
      <w:pPr>
        <w:spacing w:before="120" w:after="240"/>
        <w:outlineLvl w:val="2"/>
      </w:pPr>
      <w:r>
        <w:t xml:space="preserve">The chat log from the meeting has been posted on the NAESB GEH Forum webpage: </w:t>
      </w:r>
      <w:hyperlink r:id="rId9" w:history="1">
        <w:r w:rsidR="00F877E2" w:rsidRPr="000C2464">
          <w:rPr>
            <w:rStyle w:val="Hyperlink"/>
          </w:rPr>
          <w:t>https://naesb.org/pdf4/geh061623chat.docx</w:t>
        </w:r>
      </w:hyperlink>
      <w:r w:rsidR="00F877E2">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78EB2343" w:rsidR="004667C2" w:rsidRDefault="009633C3" w:rsidP="00680D5B">
            <w:pPr>
              <w:spacing w:before="120" w:after="240"/>
              <w:ind w:left="-108"/>
              <w:jc w:val="center"/>
              <w:outlineLvl w:val="2"/>
              <w:rPr>
                <w:b/>
              </w:rPr>
            </w:pPr>
            <w:r>
              <w:rPr>
                <w:b/>
              </w:rPr>
              <w:t xml:space="preserve">Notes from the </w:t>
            </w:r>
            <w:r w:rsidR="00F877E2">
              <w:rPr>
                <w:b/>
              </w:rPr>
              <w:t>June 16</w:t>
            </w:r>
            <w:r w:rsidR="00CF4915">
              <w:rPr>
                <w:b/>
              </w:rPr>
              <w:t>,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0DFF2209" w:rsidR="00925B09" w:rsidRDefault="00925B09" w:rsidP="00DC2A77">
            <w:pPr>
              <w:spacing w:before="120" w:after="60"/>
              <w:outlineLvl w:val="2"/>
              <w:rPr>
                <w:b/>
              </w:rPr>
            </w:pPr>
            <w:r>
              <w:rPr>
                <w:b/>
              </w:rPr>
              <w:t>Administrative</w:t>
            </w:r>
          </w:p>
        </w:tc>
        <w:tc>
          <w:tcPr>
            <w:tcW w:w="7488" w:type="dxa"/>
            <w:tcBorders>
              <w:top w:val="single" w:sz="4" w:space="0" w:color="auto"/>
            </w:tcBorders>
          </w:tcPr>
          <w:p w14:paraId="4AB3E0D3" w14:textId="7BDE3125" w:rsidR="009731C5" w:rsidRDefault="003C4EB7" w:rsidP="00F54D31">
            <w:pPr>
              <w:widowControl w:val="0"/>
              <w:tabs>
                <w:tab w:val="left" w:pos="6480"/>
              </w:tabs>
              <w:spacing w:before="120" w:after="60"/>
              <w:jc w:val="both"/>
              <w:outlineLvl w:val="2"/>
            </w:pPr>
            <w:r>
              <w:t>Mr. Booe welcomed the participants</w:t>
            </w:r>
            <w:r w:rsidR="00024992">
              <w:t xml:space="preserve"> and provided the antitrust guidance</w:t>
            </w:r>
            <w:r>
              <w:t>.</w:t>
            </w:r>
            <w:r w:rsidR="00BE3FB0">
              <w:t xml:space="preserve">  </w:t>
            </w:r>
            <w:r w:rsidR="0090499D">
              <w:t xml:space="preserve">He stated that </w:t>
            </w:r>
            <w:r w:rsidR="00F877E2">
              <w:t>this is the twelfth meeting of the NAESB GEH Forum over a period of ten and a half months</w:t>
            </w:r>
            <w:r w:rsidR="00A17E66">
              <w:t xml:space="preserve">, resulting in the </w:t>
            </w:r>
            <w:r w:rsidR="009731C5">
              <w:t>development</w:t>
            </w:r>
            <w:r w:rsidR="00A17E66">
              <w:t xml:space="preserve"> of a </w:t>
            </w:r>
            <w:r w:rsidR="00F877E2">
              <w:t xml:space="preserve">significant record.  Mr. Booe stated that the GEH Forum will </w:t>
            </w:r>
            <w:r w:rsidR="00A17E66">
              <w:t xml:space="preserve">now </w:t>
            </w:r>
            <w:r w:rsidR="00F877E2">
              <w:t>move into its next phas</w:t>
            </w:r>
            <w:r w:rsidR="00A33FA3">
              <w:t>e</w:t>
            </w:r>
            <w:r w:rsidR="00F138FD">
              <w:t xml:space="preserve"> and determine the recommendations </w:t>
            </w:r>
            <w:r w:rsidR="00A33FA3">
              <w:t xml:space="preserve">for </w:t>
            </w:r>
            <w:r w:rsidR="00F877E2">
              <w:t>action</w:t>
            </w:r>
            <w:r w:rsidR="00A33FA3">
              <w:t>s</w:t>
            </w:r>
            <w:r w:rsidR="00F877E2">
              <w:t xml:space="preserve"> </w:t>
            </w:r>
            <w:r w:rsidR="00F138FD">
              <w:t>that will be included in a final report that will be submitted to FERC and NERC.</w:t>
            </w:r>
            <w:r w:rsidR="00F877E2">
              <w:t xml:space="preserve">  He stated that, d</w:t>
            </w:r>
            <w:r w:rsidR="0090499D">
              <w:t xml:space="preserve">uring </w:t>
            </w:r>
            <w:r w:rsidR="00F877E2">
              <w:t xml:space="preserve">the meeting and the </w:t>
            </w:r>
            <w:r w:rsidR="00A33FA3">
              <w:t>next two</w:t>
            </w:r>
            <w:r w:rsidR="00F877E2">
              <w:t xml:space="preserve"> meetings</w:t>
            </w:r>
            <w:r w:rsidR="00A17E66">
              <w:t xml:space="preserve"> on June 29</w:t>
            </w:r>
            <w:r w:rsidR="00A17E66" w:rsidRPr="00A17E66">
              <w:rPr>
                <w:vertAlign w:val="superscript"/>
              </w:rPr>
              <w:t>th</w:t>
            </w:r>
            <w:r w:rsidR="00A17E66">
              <w:t xml:space="preserve"> and July 13</w:t>
            </w:r>
            <w:r w:rsidR="00A17E66" w:rsidRPr="00A17E66">
              <w:rPr>
                <w:vertAlign w:val="superscript"/>
              </w:rPr>
              <w:t>th</w:t>
            </w:r>
            <w:r w:rsidR="0090499D">
              <w:t xml:space="preserve">, the </w:t>
            </w:r>
            <w:r w:rsidR="00B955C3">
              <w:t xml:space="preserve">participants will </w:t>
            </w:r>
            <w:r w:rsidR="00D60E3F">
              <w:t xml:space="preserve">discuss </w:t>
            </w:r>
            <w:r w:rsidR="00B955C3">
              <w:t xml:space="preserve">the </w:t>
            </w:r>
            <w:r w:rsidR="00F877E2" w:rsidRPr="00A33FA3">
              <w:t>NAESB GEH Forum Chairs’ Strawman Recommendations</w:t>
            </w:r>
            <w:r w:rsidR="00A17E66">
              <w:rPr>
                <w:i/>
                <w:iCs/>
              </w:rPr>
              <w:t xml:space="preserve"> </w:t>
            </w:r>
            <w:r w:rsidR="00A17E66" w:rsidRPr="00A17E66">
              <w:t>(Strawman).</w:t>
            </w:r>
            <w:r w:rsidR="00F877E2">
              <w:t xml:space="preserve"> </w:t>
            </w:r>
            <w:r w:rsidR="009731C5">
              <w:t xml:space="preserve"> </w:t>
            </w:r>
          </w:p>
          <w:p w14:paraId="1F741A0F" w14:textId="01CF8C0A" w:rsidR="00B955C3" w:rsidRDefault="00D60E3F" w:rsidP="00F54D31">
            <w:pPr>
              <w:widowControl w:val="0"/>
              <w:tabs>
                <w:tab w:val="left" w:pos="6480"/>
              </w:tabs>
              <w:spacing w:before="120" w:after="60"/>
              <w:jc w:val="both"/>
              <w:outlineLvl w:val="2"/>
            </w:pPr>
            <w:r>
              <w:t xml:space="preserve">Mr. Booe thanked Mr. Gee, Ms. Tierney, and Mr. Wood for reviewing the </w:t>
            </w:r>
            <w:r w:rsidR="00F138FD">
              <w:t>r</w:t>
            </w:r>
            <w:r>
              <w:t xml:space="preserve">ecord </w:t>
            </w:r>
            <w:r w:rsidR="00F138FD">
              <w:t>and developing the</w:t>
            </w:r>
            <w:r>
              <w:t xml:space="preserve"> Strawman.  He noted that, at the conclusion of the process, the participants will have an opportunity to vote on the final recommendations that will be included in the report to FERC and NERC.  </w:t>
            </w:r>
            <w:r w:rsidR="00A17E66">
              <w:t>The</w:t>
            </w:r>
            <w:r w:rsidR="00F877E2">
              <w:t xml:space="preserve"> </w:t>
            </w:r>
            <w:r w:rsidR="00A17E66">
              <w:t>Strawman</w:t>
            </w:r>
            <w:r w:rsidR="00F877E2">
              <w:t xml:space="preserve"> contain</w:t>
            </w:r>
            <w:r w:rsidR="00A17E66">
              <w:t>s</w:t>
            </w:r>
            <w:r w:rsidR="00F877E2">
              <w:t xml:space="preserve"> </w:t>
            </w:r>
            <w:r w:rsidR="009731C5">
              <w:t xml:space="preserve">a list of </w:t>
            </w:r>
            <w:r w:rsidR="00A33FA3">
              <w:t>nineteen</w:t>
            </w:r>
            <w:r w:rsidR="00F877E2">
              <w:t xml:space="preserve"> recommendations for action that were tak</w:t>
            </w:r>
            <w:r w:rsidR="009731C5">
              <w:t>en</w:t>
            </w:r>
            <w:r w:rsidR="00F877E2">
              <w:t xml:space="preserve"> from the record of oral and written comments</w:t>
            </w:r>
            <w:r w:rsidR="00A33FA3">
              <w:t>, including the chat logs, that were</w:t>
            </w:r>
            <w:r w:rsidR="00F877E2">
              <w:t xml:space="preserve"> </w:t>
            </w:r>
            <w:r w:rsidR="00A33FA3">
              <w:t xml:space="preserve">produced </w:t>
            </w:r>
            <w:r w:rsidR="00F877E2">
              <w:t>over the last eleven GEH Forum meetings</w:t>
            </w:r>
            <w:r w:rsidR="009731C5">
              <w:t>.  Th</w:t>
            </w:r>
            <w:r>
              <w:t>at</w:t>
            </w:r>
            <w:r w:rsidR="009731C5">
              <w:t xml:space="preserve"> list of </w:t>
            </w:r>
            <w:r w:rsidR="00A33FA3">
              <w:t>nineteen</w:t>
            </w:r>
            <w:r>
              <w:t xml:space="preserve"> </w:t>
            </w:r>
            <w:r w:rsidR="009731C5">
              <w:t xml:space="preserve">recommendations </w:t>
            </w:r>
            <w:r>
              <w:t>is</w:t>
            </w:r>
            <w:r w:rsidR="009731C5">
              <w:t xml:space="preserve"> </w:t>
            </w:r>
            <w:r>
              <w:t xml:space="preserve">followed by summaries of the GEH Forum </w:t>
            </w:r>
            <w:r w:rsidR="009731C5">
              <w:t xml:space="preserve">record </w:t>
            </w:r>
            <w:r>
              <w:t xml:space="preserve">addressing the topic areas relevant to each recommendation.  </w:t>
            </w:r>
            <w:r w:rsidR="00A17E66">
              <w:t xml:space="preserve">Mr. Booe noted that the </w:t>
            </w:r>
            <w:r w:rsidR="00A33FA3">
              <w:t xml:space="preserve">planned </w:t>
            </w:r>
            <w:r w:rsidR="00A17E66">
              <w:t>Argonne National Laborator</w:t>
            </w:r>
            <w:r w:rsidR="0058554C">
              <w:t>y</w:t>
            </w:r>
            <w:r w:rsidR="00A17E66">
              <w:t xml:space="preserve"> presentation </w:t>
            </w:r>
            <w:r>
              <w:t xml:space="preserve">on the </w:t>
            </w:r>
            <w:proofErr w:type="spellStart"/>
            <w:r>
              <w:t>NG</w:t>
            </w:r>
            <w:r w:rsidR="00B422A9">
              <w:t>i</w:t>
            </w:r>
            <w:r>
              <w:t>nsight</w:t>
            </w:r>
            <w:proofErr w:type="spellEnd"/>
            <w:r w:rsidR="00B422A9">
              <w:t xml:space="preserve"> tool</w:t>
            </w:r>
            <w:r>
              <w:t xml:space="preserve"> w</w:t>
            </w:r>
            <w:r w:rsidR="00A17E66">
              <w:t xml:space="preserve">as postponed until the next GEH Forum meeting and, for that reason, the first three recommendations </w:t>
            </w:r>
            <w:r>
              <w:t>in the Strawman</w:t>
            </w:r>
            <w:r w:rsidR="00A33FA3">
              <w:t>,</w:t>
            </w:r>
            <w:r>
              <w:t xml:space="preserve"> which are related to th</w:t>
            </w:r>
            <w:r w:rsidR="00A33FA3">
              <w:t>e tool,</w:t>
            </w:r>
            <w:r>
              <w:t xml:space="preserve"> will not be discussed until the next meeting.</w:t>
            </w:r>
            <w:r w:rsidR="00A17E66">
              <w:t xml:space="preserve"> </w:t>
            </w:r>
          </w:p>
          <w:p w14:paraId="73BB1010" w14:textId="60238134" w:rsidR="005B4B5F" w:rsidRDefault="008E248F" w:rsidP="00915A9F">
            <w:pPr>
              <w:widowControl w:val="0"/>
              <w:tabs>
                <w:tab w:val="left" w:pos="6480"/>
              </w:tabs>
              <w:spacing w:before="120" w:after="60"/>
              <w:jc w:val="both"/>
              <w:outlineLvl w:val="2"/>
            </w:pPr>
            <w:r>
              <w:t xml:space="preserve">Mr. </w:t>
            </w:r>
            <w:r w:rsidR="00A17E66">
              <w:t xml:space="preserve">Wood </w:t>
            </w:r>
            <w:r w:rsidR="00726F46">
              <w:t>stated</w:t>
            </w:r>
            <w:r w:rsidR="00A17E66">
              <w:t xml:space="preserve"> that, during the June 2023 FERC Open Session Meeting, the 2021 report regarding Winter Storm Uri was mentioned </w:t>
            </w:r>
            <w:r w:rsidR="005B4B5F">
              <w:t>in the</w:t>
            </w:r>
            <w:r w:rsidR="00726F46">
              <w:t xml:space="preserve"> </w:t>
            </w:r>
            <w:r w:rsidR="005B4B5F">
              <w:t>presentation</w:t>
            </w:r>
            <w:r w:rsidR="00A17E66">
              <w:t xml:space="preserve"> </w:t>
            </w:r>
            <w:r w:rsidR="005B4B5F">
              <w:t xml:space="preserve">delivered by the FERC, NERC, and Regional Entity Joint Team concerning the December 2022 Winter Storm Elliot inquiry into bulk power system operations.  He stated that the presentation </w:t>
            </w:r>
            <w:r w:rsidR="00A17E66">
              <w:t>contained a lot of familiar information</w:t>
            </w:r>
            <w:r w:rsidR="005B4B5F">
              <w:t xml:space="preserve"> and consistent themes</w:t>
            </w:r>
            <w:r w:rsidR="00A33FA3">
              <w:t xml:space="preserve"> and </w:t>
            </w:r>
            <w:r w:rsidR="00F138FD">
              <w:t xml:space="preserve">expressed </w:t>
            </w:r>
            <w:r w:rsidR="00A17E66">
              <w:t xml:space="preserve">his appreciation </w:t>
            </w:r>
            <w:r w:rsidR="00F138FD">
              <w:t>for the</w:t>
            </w:r>
            <w:r w:rsidR="00A17E66">
              <w:t xml:space="preserve"> current FERC leadership </w:t>
            </w:r>
            <w:r w:rsidR="00F138FD">
              <w:t xml:space="preserve">and </w:t>
            </w:r>
            <w:r w:rsidR="00A17E66">
              <w:t xml:space="preserve">commit </w:t>
            </w:r>
            <w:r w:rsidR="00F138FD">
              <w:t>to resolving these important issues</w:t>
            </w:r>
            <w:r w:rsidR="00A17E66">
              <w:t>.</w:t>
            </w:r>
          </w:p>
          <w:p w14:paraId="30E022DE" w14:textId="07612A19" w:rsidR="00F54D31" w:rsidRPr="00B422A9" w:rsidRDefault="00A17E66" w:rsidP="00915A9F">
            <w:pPr>
              <w:widowControl w:val="0"/>
              <w:tabs>
                <w:tab w:val="left" w:pos="6480"/>
              </w:tabs>
              <w:spacing w:before="120" w:after="60"/>
              <w:jc w:val="both"/>
              <w:outlineLvl w:val="2"/>
            </w:pPr>
            <w:r>
              <w:t xml:space="preserve">Ms. Tierney thanked the NAESB </w:t>
            </w:r>
            <w:r w:rsidR="00A33FA3">
              <w:t>s</w:t>
            </w:r>
            <w:r>
              <w:t xml:space="preserve">taff for organizing the </w:t>
            </w:r>
            <w:r w:rsidR="009731C5">
              <w:t>meeting materials and thanked the GEH Forum participants for their engagement in the process.  Mr. Gee stated that the</w:t>
            </w:r>
            <w:r w:rsidR="005B4B5F">
              <w:t xml:space="preserve"> presentation during the</w:t>
            </w:r>
            <w:r w:rsidR="009731C5">
              <w:t xml:space="preserve"> June FERC Open Session Meeting reflected that the issues now discussed in the GEH Forum regarding Winter Storm Uri are still pervasive throughout the </w:t>
            </w:r>
            <w:r w:rsidR="009731C5">
              <w:lastRenderedPageBreak/>
              <w:t xml:space="preserve">rest of the country.  He stated that the GEH Forum Chairs are open to constructive criticism on the Strawman and asked the participants </w:t>
            </w:r>
            <w:r w:rsidR="009731C5" w:rsidRPr="00B422A9">
              <w:t xml:space="preserve">to comment on any improvements that can be made to the recommendations. </w:t>
            </w:r>
            <w:r w:rsidR="00B422A9" w:rsidRPr="00B422A9">
              <w:t xml:space="preserve"> </w:t>
            </w:r>
            <w:r w:rsidR="009731C5" w:rsidRPr="00B422A9">
              <w:t xml:space="preserve">Mr. Gee suggested that the participants consider </w:t>
            </w:r>
            <w:r w:rsidR="00B422A9" w:rsidRPr="00B422A9">
              <w:t xml:space="preserve">the coming changes to the </w:t>
            </w:r>
            <w:r w:rsidR="0058554C">
              <w:t xml:space="preserve">industry </w:t>
            </w:r>
            <w:r w:rsidR="00B422A9" w:rsidRPr="00B422A9">
              <w:t xml:space="preserve">status quo </w:t>
            </w:r>
            <w:r w:rsidR="009731C5" w:rsidRPr="00B422A9">
              <w:t xml:space="preserve">and urged </w:t>
            </w:r>
            <w:r w:rsidR="00B422A9" w:rsidRPr="00B422A9">
              <w:t>them</w:t>
            </w:r>
            <w:r w:rsidR="009731C5" w:rsidRPr="00B422A9">
              <w:t xml:space="preserve"> to seize this opportunity to influence that change</w:t>
            </w:r>
            <w:r w:rsidR="00F138FD">
              <w:t>.</w:t>
            </w:r>
          </w:p>
          <w:p w14:paraId="569B5C3D" w14:textId="3598A74C" w:rsidR="00A17E66" w:rsidRPr="00DD1713" w:rsidRDefault="00B422A9" w:rsidP="00B96E4D">
            <w:pPr>
              <w:spacing w:after="120"/>
              <w:jc w:val="both"/>
            </w:pPr>
            <w:r w:rsidRPr="00B422A9">
              <w:t xml:space="preserve">Ms. Polzin stated that the NAESB GEH Forum </w:t>
            </w:r>
            <w:r w:rsidR="00F138FD">
              <w:t xml:space="preserve">was mentioned </w:t>
            </w:r>
            <w:r w:rsidRPr="00B422A9">
              <w:t xml:space="preserve">during the June 2023 FERC Open Session Meeting and noted that the FERC is looking forward to the final report.  She explained that FERC Staff has </w:t>
            </w:r>
            <w:r w:rsidR="005B4B5F">
              <w:t xml:space="preserve">observed the GEH Forum meetings and has </w:t>
            </w:r>
            <w:r w:rsidRPr="00B422A9">
              <w:t>been struck by the thoughtfulness in the participation and the comments that have been submitted.</w:t>
            </w:r>
            <w:r>
              <w:t xml:space="preserve">  Mr. Desselle encouraged the GEH Forum participants to also consider the timelines associated with </w:t>
            </w:r>
            <w:r w:rsidR="0058554C">
              <w:t>any</w:t>
            </w:r>
            <w:r>
              <w:t xml:space="preserve"> recommendations.</w:t>
            </w:r>
          </w:p>
        </w:tc>
      </w:tr>
      <w:tr w:rsidR="00772999" w14:paraId="612FEDEA" w14:textId="77777777" w:rsidTr="003C4EB7">
        <w:tc>
          <w:tcPr>
            <w:tcW w:w="2430" w:type="dxa"/>
          </w:tcPr>
          <w:p w14:paraId="0F61AB7C" w14:textId="30C74BE4" w:rsidR="00575FE4" w:rsidRDefault="00723807" w:rsidP="00DC2A77">
            <w:pPr>
              <w:spacing w:before="120" w:after="60"/>
              <w:outlineLvl w:val="2"/>
              <w:rPr>
                <w:b/>
              </w:rPr>
            </w:pPr>
            <w:r>
              <w:rPr>
                <w:bCs/>
              </w:rPr>
              <w:lastRenderedPageBreak/>
              <w:t xml:space="preserve">Review of the </w:t>
            </w:r>
            <w:r w:rsidRPr="00FD3B69">
              <w:rPr>
                <w:bCs/>
                <w:i/>
                <w:iCs/>
              </w:rPr>
              <w:t>NAESB GEH Forum Chairs’ Strawman Recommendations</w:t>
            </w:r>
          </w:p>
        </w:tc>
        <w:tc>
          <w:tcPr>
            <w:tcW w:w="7488" w:type="dxa"/>
          </w:tcPr>
          <w:p w14:paraId="003142BD" w14:textId="191DCD39" w:rsidR="00B422A9" w:rsidRDefault="00B422A9" w:rsidP="00B422A9">
            <w:pPr>
              <w:widowControl w:val="0"/>
              <w:tabs>
                <w:tab w:val="left" w:pos="6480"/>
              </w:tabs>
              <w:spacing w:before="120" w:after="60"/>
              <w:jc w:val="both"/>
              <w:outlineLvl w:val="2"/>
            </w:pPr>
            <w:r>
              <w:t xml:space="preserve">The GEH Forum began its review </w:t>
            </w:r>
            <w:r w:rsidR="00723807">
              <w:rPr>
                <w:bCs/>
              </w:rPr>
              <w:t xml:space="preserve">of the </w:t>
            </w:r>
            <w:r w:rsidR="00723807" w:rsidRPr="00FD3B69">
              <w:rPr>
                <w:bCs/>
                <w:i/>
                <w:iCs/>
              </w:rPr>
              <w:t>NAESB GEH Forum Chairs’ Strawman Recommendations</w:t>
            </w:r>
            <w:r w:rsidR="00723807">
              <w:t xml:space="preserve"> </w:t>
            </w:r>
            <w:r>
              <w:t>with Recommendation 4.</w:t>
            </w:r>
          </w:p>
          <w:p w14:paraId="09AC4675" w14:textId="77777777" w:rsidR="0051002C" w:rsidRDefault="00723807" w:rsidP="002F5806">
            <w:pPr>
              <w:spacing w:before="120" w:after="120"/>
              <w:jc w:val="both"/>
              <w:rPr>
                <w:u w:val="single"/>
              </w:rPr>
            </w:pPr>
            <w:r w:rsidRPr="00723807">
              <w:rPr>
                <w:i/>
                <w:iCs/>
                <w:u w:val="single"/>
              </w:rPr>
              <w:t>Recommendation 4</w:t>
            </w:r>
            <w:r w:rsidRPr="00723807">
              <w:rPr>
                <w:i/>
                <w:iCs/>
              </w:rPr>
              <w:t>: In a manner similar to the FERC NOPR concerning the Coordination of the Scheduling Processes of Interstate Natural Gas Pipelines and Public Utilities issued on March 20, 2014 (Docket No. RM14-2-000), the FERC should direct the natural gas and electric industries to revise the business practice standards developed by NAESB to improve the efficiency and transparency of the processes to report, transact, and facilitate capacity release.</w:t>
            </w:r>
          </w:p>
          <w:p w14:paraId="5FD21172" w14:textId="61D30DD2" w:rsidR="00DA472E" w:rsidRDefault="0051002C" w:rsidP="002F5806">
            <w:pPr>
              <w:spacing w:before="120" w:after="120"/>
              <w:jc w:val="both"/>
            </w:pPr>
            <w:r w:rsidRPr="0051002C">
              <w:t>Mr.</w:t>
            </w:r>
            <w:r>
              <w:t xml:space="preserve"> Smith </w:t>
            </w:r>
            <w:r w:rsidR="00CE7279">
              <w:t>a</w:t>
            </w:r>
            <w:r w:rsidR="00B96E4D">
              <w:t>sked how the recommendation relates to the record summary</w:t>
            </w:r>
            <w:r w:rsidR="00AA1850">
              <w:t xml:space="preserve"> </w:t>
            </w:r>
            <w:r w:rsidR="00B96E4D">
              <w:t xml:space="preserve">and the </w:t>
            </w:r>
            <w:r w:rsidR="00D435A7">
              <w:t xml:space="preserve">future </w:t>
            </w:r>
            <w:r w:rsidR="00AA1850">
              <w:t>GEH Forum voting</w:t>
            </w:r>
            <w:r w:rsidR="00B96E4D">
              <w:t xml:space="preserve">.  He stated that the </w:t>
            </w:r>
            <w:r>
              <w:t xml:space="preserve">recommendation was drafted narrowly, but the </w:t>
            </w:r>
            <w:r w:rsidR="00AA1850">
              <w:t xml:space="preserve">record summary </w:t>
            </w:r>
            <w:r w:rsidR="00B96E4D">
              <w:t xml:space="preserve">touches </w:t>
            </w:r>
            <w:r>
              <w:t xml:space="preserve">upon </w:t>
            </w:r>
            <w:r w:rsidR="00B96E4D">
              <w:t xml:space="preserve">other </w:t>
            </w:r>
            <w:r>
              <w:t xml:space="preserve">topics. Mr. Booe stated that the </w:t>
            </w:r>
            <w:r w:rsidR="00B96E4D">
              <w:t xml:space="preserve">record </w:t>
            </w:r>
            <w:r>
              <w:t xml:space="preserve">summaries </w:t>
            </w:r>
            <w:r w:rsidR="00133574">
              <w:t xml:space="preserve">reflect the comments and discussion that were related to </w:t>
            </w:r>
            <w:r>
              <w:t>the topics</w:t>
            </w:r>
            <w:r w:rsidR="00133574">
              <w:t>/areas</w:t>
            </w:r>
            <w:r>
              <w:t xml:space="preserve"> </w:t>
            </w:r>
            <w:r w:rsidR="00133574">
              <w:t>identified by the Chairs</w:t>
            </w:r>
            <w:r>
              <w:t xml:space="preserve">. </w:t>
            </w:r>
            <w:r w:rsidR="0058554C">
              <w:t xml:space="preserve"> </w:t>
            </w:r>
            <w:r>
              <w:t xml:space="preserve">He explained that </w:t>
            </w:r>
            <w:r w:rsidR="00B96E4D">
              <w:t xml:space="preserve">Mr. Gee, Ms. Tierney, and Mr. Wood </w:t>
            </w:r>
            <w:r w:rsidR="00EC7F2B">
              <w:t xml:space="preserve">asked the NAESB Staff to capture the record around each of the </w:t>
            </w:r>
            <w:r w:rsidR="00133574">
              <w:t>topics/areas in order to develop the Strawman recommendations</w:t>
            </w:r>
            <w:r w:rsidR="00EC7F2B">
              <w:t xml:space="preserve">.  Mr. Booe </w:t>
            </w:r>
            <w:r w:rsidR="00133574">
              <w:t>also noted that</w:t>
            </w:r>
            <w:r w:rsidR="00EC7F2B">
              <w:t xml:space="preserve">, at the end of the process, </w:t>
            </w:r>
            <w:r>
              <w:t>vote</w:t>
            </w:r>
            <w:r w:rsidR="0058554C">
              <w:t>s</w:t>
            </w:r>
            <w:r>
              <w:t xml:space="preserve"> </w:t>
            </w:r>
            <w:r w:rsidR="00133574">
              <w:t xml:space="preserve">will be taken on </w:t>
            </w:r>
            <w:r>
              <w:t>each of the recommendations</w:t>
            </w:r>
            <w:r w:rsidR="00133574">
              <w:t>, not on the final report</w:t>
            </w:r>
            <w:r w:rsidR="004741BA">
              <w:t xml:space="preserve"> or record summaries</w:t>
            </w:r>
            <w:r w:rsidR="00133574">
              <w:t>, and t</w:t>
            </w:r>
            <w:r>
              <w:t>hat the final report will be similar to other NAESB reports</w:t>
            </w:r>
            <w:r w:rsidR="00133574">
              <w:t xml:space="preserve"> drafted </w:t>
            </w:r>
            <w:r w:rsidR="004741BA">
              <w:t>as part of</w:t>
            </w:r>
            <w:r w:rsidR="00133574">
              <w:t xml:space="preserve"> previous efforts</w:t>
            </w:r>
            <w:r>
              <w:t xml:space="preserve">.  Ms. Tierney explained that the summary of the record will be amplified with the meeting minutes and the comments provided.  Mr. Gee stated that the reasoning </w:t>
            </w:r>
            <w:r w:rsidR="00133574">
              <w:t>behind</w:t>
            </w:r>
            <w:r>
              <w:t xml:space="preserve"> the recommendation</w:t>
            </w:r>
            <w:r w:rsidR="00133574">
              <w:t>s</w:t>
            </w:r>
            <w:r w:rsidR="00035840">
              <w:t xml:space="preserve"> </w:t>
            </w:r>
            <w:r w:rsidR="00133574">
              <w:t xml:space="preserve">will </w:t>
            </w:r>
            <w:r w:rsidR="00035840">
              <w:t>be included in the final draft</w:t>
            </w:r>
            <w:r w:rsidR="00133574">
              <w:t xml:space="preserve"> of the report</w:t>
            </w:r>
            <w:r w:rsidR="00035840">
              <w:t xml:space="preserve">.  Mr. Booe stated that the Strawman is merely a work paper that captures the record </w:t>
            </w:r>
            <w:r w:rsidR="00133574">
              <w:t>of comments and discussion on the topic</w:t>
            </w:r>
            <w:r w:rsidR="004741BA">
              <w:t>s/</w:t>
            </w:r>
            <w:r w:rsidR="00133574">
              <w:t>areas noted</w:t>
            </w:r>
            <w:r w:rsidR="00035840">
              <w:t>.  Ms. Tierney explained that the recommendations contained in the Strawman come from the Chairs of the GEH Forum, as NAESB does not offer a point of view.  She stated that the Chairs thought it would be helpful for FERC and NERC to actually hear a point of view coming out of the meetings.</w:t>
            </w:r>
          </w:p>
          <w:p w14:paraId="6AB2BB57" w14:textId="3889F624" w:rsidR="00DA472E" w:rsidRDefault="00035840" w:rsidP="002F5806">
            <w:pPr>
              <w:spacing w:before="120" w:after="120"/>
              <w:jc w:val="both"/>
            </w:pPr>
            <w:r>
              <w:t>Mr. Smith asked whether the recommendations</w:t>
            </w:r>
            <w:r w:rsidR="00A33FA3">
              <w:t>, especially Recommendation 4,</w:t>
            </w:r>
            <w:r>
              <w:t xml:space="preserve"> are intended to apply to interstate, intrastate, or both. </w:t>
            </w:r>
            <w:r w:rsidR="00A33FA3">
              <w:t xml:space="preserve"> </w:t>
            </w:r>
            <w:r>
              <w:t xml:space="preserve">Mr. Wood </w:t>
            </w:r>
            <w:r w:rsidR="0058554C">
              <w:t>no</w:t>
            </w:r>
            <w:r>
              <w:t>ted that Recommendation 12 contains a separate recommendation on capacity release</w:t>
            </w:r>
            <w:r w:rsidR="0066578C">
              <w:t xml:space="preserve"> </w:t>
            </w:r>
            <w:r>
              <w:t xml:space="preserve">from Recommendation 4.  Mr. Glazer </w:t>
            </w:r>
            <w:r w:rsidR="00792473">
              <w:t>asked about</w:t>
            </w:r>
            <w:r w:rsidR="00533A15">
              <w:t xml:space="preserve"> the intent of the word “processes” in the phrase “the processes to report, transact, and facilitate capacity release” is not clear.  Mr. Gee </w:t>
            </w:r>
            <w:r w:rsidR="00792473">
              <w:t>stated his concurrence and noted that he will discuss</w:t>
            </w:r>
            <w:r w:rsidR="00533A15">
              <w:t xml:space="preserve"> delet</w:t>
            </w:r>
            <w:r w:rsidR="00792473">
              <w:t>ing</w:t>
            </w:r>
            <w:r w:rsidR="00533A15">
              <w:t xml:space="preserve"> the phrase “of the processes” from Recommendation 4.  Ms. Tierney agreed with the deletion.</w:t>
            </w:r>
          </w:p>
          <w:p w14:paraId="31E834F1" w14:textId="762DD577" w:rsidR="00DA472E" w:rsidRDefault="00533A15" w:rsidP="002F5806">
            <w:pPr>
              <w:spacing w:before="120" w:after="120"/>
              <w:jc w:val="both"/>
            </w:pPr>
            <w:r>
              <w:t>Ms. Bagot stated that it is not clear that Recommendation 4 is about pipeline capacity release</w:t>
            </w:r>
            <w:r w:rsidR="00105A35">
              <w:t xml:space="preserve"> and asked whether both the gas and electric participants would be participating in the </w:t>
            </w:r>
            <w:r w:rsidR="00DA472E">
              <w:lastRenderedPageBreak/>
              <w:t xml:space="preserve">proposed </w:t>
            </w:r>
            <w:r w:rsidR="00105A35">
              <w:t xml:space="preserve">development of </w:t>
            </w:r>
            <w:r w:rsidR="0066578C">
              <w:t xml:space="preserve">any proposed </w:t>
            </w:r>
            <w:r w:rsidR="00DA472E">
              <w:t>capacity release</w:t>
            </w:r>
            <w:r w:rsidR="00105A35">
              <w:t xml:space="preserve"> standard</w:t>
            </w:r>
            <w:r w:rsidR="0066578C">
              <w:t>s</w:t>
            </w:r>
            <w:r>
              <w:t xml:space="preserve">.  </w:t>
            </w:r>
            <w:r w:rsidR="00105A35">
              <w:t xml:space="preserve">Mr. Booe stated that the capacity release standards are </w:t>
            </w:r>
            <w:r w:rsidR="00DA472E">
              <w:t xml:space="preserve">contained in the NAESB WGQ Business Practice </w:t>
            </w:r>
            <w:r w:rsidR="0066578C">
              <w:t>S</w:t>
            </w:r>
            <w:r w:rsidR="00DA472E">
              <w:t>tandards</w:t>
            </w:r>
            <w:r w:rsidR="00105A35">
              <w:t xml:space="preserve"> and </w:t>
            </w:r>
            <w:r w:rsidR="00DA472E">
              <w:t xml:space="preserve">explained that the NAESB standards development process does allow the electric industry to participate in the development of </w:t>
            </w:r>
            <w:r w:rsidR="00105A35">
              <w:t xml:space="preserve">wholesale gas standards.  Ms. Tierney stated that she read the language of the recommendation to apply to pipeline capacity release, but a clarification </w:t>
            </w:r>
            <w:r w:rsidR="00792473">
              <w:t xml:space="preserve">can </w:t>
            </w:r>
            <w:r w:rsidR="00105A35">
              <w:t>be made, if needed.</w:t>
            </w:r>
          </w:p>
          <w:p w14:paraId="480E6F86" w14:textId="64DB25FD" w:rsidR="00DA472E" w:rsidRDefault="008F0D75" w:rsidP="002F5806">
            <w:pPr>
              <w:spacing w:before="120" w:after="120"/>
              <w:jc w:val="both"/>
            </w:pPr>
            <w:r>
              <w:t xml:space="preserve">Ms. Jagtiani asked </w:t>
            </w:r>
            <w:r w:rsidR="0066578C">
              <w:t xml:space="preserve">for more input on the </w:t>
            </w:r>
            <w:r w:rsidR="00792473">
              <w:t xml:space="preserve">purpose </w:t>
            </w:r>
            <w:r w:rsidR="0066578C">
              <w:t xml:space="preserve">of </w:t>
            </w:r>
            <w:r w:rsidR="00DA472E">
              <w:t>R</w:t>
            </w:r>
            <w:r>
              <w:t>ecommendation 4.  She stated that NGSA members find capacity release flexible and easy to use and consider NAESB standards regarding capacity release as a mechanism for timing issues</w:t>
            </w:r>
            <w:r w:rsidR="00DA472E">
              <w:t>.  Ms. Jagtiani stated that</w:t>
            </w:r>
            <w:r>
              <w:t xml:space="preserve"> the record refers to information transparency and incentivizing those holding capacity to timely release it</w:t>
            </w:r>
            <w:r w:rsidR="00DA472E">
              <w:t>.</w:t>
            </w:r>
            <w:r>
              <w:t xml:space="preserve"> </w:t>
            </w:r>
            <w:r w:rsidR="0066578C">
              <w:t xml:space="preserve"> </w:t>
            </w:r>
            <w:r w:rsidR="00DA472E">
              <w:t>S</w:t>
            </w:r>
            <w:r>
              <w:t xml:space="preserve">he asked whether </w:t>
            </w:r>
            <w:r w:rsidR="00DA472E">
              <w:t xml:space="preserve">those topics </w:t>
            </w:r>
            <w:r w:rsidR="00792473">
              <w:t xml:space="preserve">are intended to be </w:t>
            </w:r>
            <w:r w:rsidR="00DA472E">
              <w:t xml:space="preserve">included </w:t>
            </w:r>
            <w:r w:rsidR="00792473">
              <w:t>as</w:t>
            </w:r>
            <w:r w:rsidR="00DA472E">
              <w:t xml:space="preserve"> </w:t>
            </w:r>
            <w:r>
              <w:t xml:space="preserve">NAESB directive or something broader. </w:t>
            </w:r>
            <w:r w:rsidR="00DA472E">
              <w:t xml:space="preserve"> </w:t>
            </w:r>
            <w:r>
              <w:t xml:space="preserve">Mr. Wood stated that he agreed that the language does seem to invite some changes to how FERC defines the program.  He stated that </w:t>
            </w:r>
            <w:r w:rsidR="0058554C">
              <w:t xml:space="preserve">the phrase </w:t>
            </w:r>
            <w:r>
              <w:t xml:space="preserve">“the improvement of efficiency and transparency” </w:t>
            </w:r>
            <w:r w:rsidR="004741BA">
              <w:t xml:space="preserve">may be too </w:t>
            </w:r>
            <w:r>
              <w:t xml:space="preserve">open ended. </w:t>
            </w:r>
            <w:r w:rsidR="005F7B14">
              <w:t xml:space="preserve"> </w:t>
            </w:r>
            <w:r w:rsidR="000B2C57">
              <w:t>Ms. Chambers asked the participants to keep in mind that there are capacity release rules set forth in the regulations and</w:t>
            </w:r>
            <w:r w:rsidR="005F7B14">
              <w:t>, under the Commission’s capacity release program,</w:t>
            </w:r>
            <w:r w:rsidR="000B2C57">
              <w:t xml:space="preserve"> there are requirements for posting the capacity release and timing requirements as well.  She </w:t>
            </w:r>
            <w:r w:rsidR="00792473">
              <w:t>recommended that</w:t>
            </w:r>
            <w:r w:rsidR="000B2C57">
              <w:t xml:space="preserve"> there be a specific </w:t>
            </w:r>
            <w:r w:rsidR="00792473">
              <w:t xml:space="preserve">definition </w:t>
            </w:r>
            <w:r w:rsidR="000B2C57">
              <w:t xml:space="preserve">of what the </w:t>
            </w:r>
            <w:r w:rsidR="00792473">
              <w:t xml:space="preserve">recommendation </w:t>
            </w:r>
            <w:r w:rsidR="000B2C57">
              <w:t>w</w:t>
            </w:r>
            <w:r w:rsidR="005F7B14">
              <w:t>ould</w:t>
            </w:r>
            <w:r w:rsidR="000B2C57">
              <w:t xml:space="preserve"> change</w:t>
            </w:r>
            <w:r w:rsidR="005F7B14">
              <w:t>, if anything</w:t>
            </w:r>
            <w:r w:rsidR="000B2C57">
              <w:t>.</w:t>
            </w:r>
          </w:p>
          <w:p w14:paraId="043E333C" w14:textId="0530EB1A" w:rsidR="00035840" w:rsidRPr="00644C8C" w:rsidRDefault="000B2C57" w:rsidP="002F5806">
            <w:pPr>
              <w:spacing w:before="120" w:after="120"/>
              <w:jc w:val="both"/>
            </w:pPr>
            <w:r>
              <w:t xml:space="preserve">Mr. Agen </w:t>
            </w:r>
            <w:r w:rsidR="005F7B14">
              <w:t>suggested removing the</w:t>
            </w:r>
            <w:r>
              <w:t xml:space="preserve"> reference </w:t>
            </w:r>
            <w:r w:rsidR="005F7B14">
              <w:t xml:space="preserve">to </w:t>
            </w:r>
            <w:r>
              <w:t>the 2014 FERC Notice of Proposed Rulemaking (NOPR) and suggested that company names be removed from the</w:t>
            </w:r>
            <w:r w:rsidR="00792473">
              <w:t xml:space="preserve"> demand response</w:t>
            </w:r>
            <w:r>
              <w:t xml:space="preserve"> recommendation. </w:t>
            </w:r>
            <w:r w:rsidR="0066578C">
              <w:t xml:space="preserve"> </w:t>
            </w:r>
            <w:r>
              <w:t>Mr. Booe explained that the reference to the NOPR process was added as an example because, in that NOPR, FERC requested that NAESB take action on an effort with</w:t>
            </w:r>
            <w:r w:rsidR="00792473">
              <w:t xml:space="preserve"> </w:t>
            </w:r>
            <w:r>
              <w:t xml:space="preserve">a specific deadline.  Mr. Gee </w:t>
            </w:r>
            <w:r w:rsidRPr="00644C8C">
              <w:t>su</w:t>
            </w:r>
            <w:r w:rsidR="005F7B14">
              <w:t xml:space="preserve">pported </w:t>
            </w:r>
            <w:r w:rsidRPr="00644C8C">
              <w:t xml:space="preserve">deleting the reference to the 2014 NOPR in Recommendation 4.  Mr. Eaton asked whether </w:t>
            </w:r>
            <w:r w:rsidR="0046154A">
              <w:t>R</w:t>
            </w:r>
            <w:r w:rsidRPr="00644C8C">
              <w:t xml:space="preserve">ecommendation </w:t>
            </w:r>
            <w:r w:rsidR="0046154A">
              <w:t xml:space="preserve">4 </w:t>
            </w:r>
            <w:r w:rsidRPr="00644C8C">
              <w:t>applies to extreme weather only.</w:t>
            </w:r>
            <w:r w:rsidR="0046154A">
              <w:t xml:space="preserve">  </w:t>
            </w:r>
            <w:r w:rsidRPr="00644C8C">
              <w:t xml:space="preserve">Ms. Tierney stated that the recommendation was </w:t>
            </w:r>
            <w:r w:rsidR="0066578C">
              <w:t xml:space="preserve">intended to be </w:t>
            </w:r>
            <w:r w:rsidR="00792473">
              <w:t>broad</w:t>
            </w:r>
            <w:r w:rsidR="0066578C">
              <w:t xml:space="preserve">, </w:t>
            </w:r>
            <w:r w:rsidRPr="00644C8C">
              <w:t>not only for extreme weathe</w:t>
            </w:r>
            <w:r w:rsidR="0066578C">
              <w:t>r</w:t>
            </w:r>
            <w:r w:rsidR="0046154A">
              <w:t>.  Mr. Wood stated that there is a</w:t>
            </w:r>
            <w:r w:rsidR="0066578C">
              <w:t xml:space="preserve">nother </w:t>
            </w:r>
            <w:r w:rsidR="0046154A">
              <w:t xml:space="preserve">recommendation that refers to extreme weather.  Mr. Booe </w:t>
            </w:r>
            <w:r w:rsidR="0058554C">
              <w:t>added</w:t>
            </w:r>
            <w:r w:rsidR="0046154A">
              <w:t xml:space="preserve"> that the Chairs developed a few recommendations that applied to extreme weather specifically.</w:t>
            </w:r>
          </w:p>
          <w:p w14:paraId="6B57BF87" w14:textId="678B9EF4" w:rsidR="00644C8C" w:rsidRPr="00644C8C" w:rsidRDefault="00644C8C" w:rsidP="006E29FA">
            <w:pPr>
              <w:spacing w:before="120" w:after="120"/>
              <w:jc w:val="both"/>
            </w:pPr>
            <w:r w:rsidRPr="00644C8C">
              <w:rPr>
                <w:i/>
                <w:iCs/>
                <w:u w:val="single"/>
              </w:rPr>
              <w:t>Recommendation 5</w:t>
            </w:r>
            <w:r w:rsidRPr="00644C8C">
              <w:rPr>
                <w:i/>
                <w:iCs/>
              </w:rPr>
              <w:t>: The FERC should consider policy modifications necessary to better facilitate advanced agreements between end users and providers of natural gas supply and delivery capacity similar to those adopted as part of FERC Order No. 712 to support the use of asset management agreements.</w:t>
            </w:r>
          </w:p>
          <w:p w14:paraId="6B00F667" w14:textId="28695C94" w:rsidR="00D544B8" w:rsidRPr="00200885" w:rsidRDefault="00644C8C" w:rsidP="006E29FA">
            <w:pPr>
              <w:spacing w:before="120" w:after="120"/>
              <w:jc w:val="both"/>
            </w:pPr>
            <w:r>
              <w:t xml:space="preserve">Ms. Jagtiani stated that, </w:t>
            </w:r>
            <w:r w:rsidR="0046154A">
              <w:t xml:space="preserve">recently, </w:t>
            </w:r>
            <w:r>
              <w:t xml:space="preserve">NGSA’s position on the value of </w:t>
            </w:r>
            <w:r w:rsidR="0046154A">
              <w:t>exchange agreements</w:t>
            </w:r>
            <w:r>
              <w:t xml:space="preserve"> in the real world has evolved.  She questioned how many industrials would have a large enough load to meet the needs of a power generator</w:t>
            </w:r>
            <w:r w:rsidR="007F36CF">
              <w:t xml:space="preserve"> and noted </w:t>
            </w:r>
            <w:r w:rsidR="0046154A">
              <w:t xml:space="preserve">that such an arrangement would need to be local and </w:t>
            </w:r>
            <w:r w:rsidR="00EC7F2B">
              <w:t xml:space="preserve">may need to be </w:t>
            </w:r>
            <w:r w:rsidR="0046154A">
              <w:t xml:space="preserve">preauthorized by the pipeline. </w:t>
            </w:r>
            <w:r w:rsidR="00D544B8">
              <w:t xml:space="preserve"> </w:t>
            </w:r>
            <w:r w:rsidR="007F36CF">
              <w:t xml:space="preserve">Ms. Jagtiani stated that, </w:t>
            </w:r>
            <w:r w:rsidR="00D544B8">
              <w:t xml:space="preserve">given </w:t>
            </w:r>
            <w:r w:rsidR="0046154A">
              <w:t xml:space="preserve">the </w:t>
            </w:r>
            <w:r w:rsidR="00D544B8">
              <w:t xml:space="preserve">factors of </w:t>
            </w:r>
            <w:r w:rsidR="0046154A">
              <w:t>localization, capacity, and supply concerns, the occurrence may be rare</w:t>
            </w:r>
            <w:r w:rsidR="007F36CF">
              <w:t xml:space="preserve">.  She suggested that additional feedback on this topic </w:t>
            </w:r>
            <w:r w:rsidR="007F36CF" w:rsidRPr="00200885">
              <w:t xml:space="preserve">from </w:t>
            </w:r>
            <w:r w:rsidR="00D544B8" w:rsidRPr="00200885">
              <w:t>the generators</w:t>
            </w:r>
            <w:r w:rsidR="007E323B">
              <w:t xml:space="preserve"> would be helpful</w:t>
            </w:r>
            <w:r w:rsidR="00AA1850">
              <w:t xml:space="preserve"> before discussing any policy</w:t>
            </w:r>
            <w:r w:rsidR="00D435A7">
              <w:t xml:space="preserve"> recommendations</w:t>
            </w:r>
            <w:r w:rsidR="0046154A" w:rsidRPr="00200885">
              <w:t>.</w:t>
            </w:r>
          </w:p>
          <w:p w14:paraId="0CCFA886" w14:textId="60A77F68" w:rsidR="00644C8C" w:rsidRPr="00726F46" w:rsidRDefault="00644C8C" w:rsidP="006E29FA">
            <w:pPr>
              <w:spacing w:before="120" w:after="120"/>
              <w:jc w:val="both"/>
            </w:pPr>
            <w:r w:rsidRPr="00200885">
              <w:t xml:space="preserve">Ms. Bagot asked whether the “policy modifications” </w:t>
            </w:r>
            <w:r w:rsidR="00200885" w:rsidRPr="00200885">
              <w:t>to encourage</w:t>
            </w:r>
            <w:r w:rsidR="00200885">
              <w:t xml:space="preserve"> </w:t>
            </w:r>
            <w:r>
              <w:t xml:space="preserve">asset </w:t>
            </w:r>
            <w:r w:rsidR="001C1F9A">
              <w:t xml:space="preserve">management </w:t>
            </w:r>
            <w:r>
              <w:t xml:space="preserve">agreements or arrangements </w:t>
            </w:r>
            <w:r w:rsidR="007F36CF">
              <w:t>in Recommendation 5 a</w:t>
            </w:r>
            <w:r>
              <w:t>re directed at industrials</w:t>
            </w:r>
            <w:r w:rsidR="001C1F9A">
              <w:t xml:space="preserve">.  She stated that EPSA has seventeen members who are all </w:t>
            </w:r>
            <w:r>
              <w:t xml:space="preserve">sophisticated </w:t>
            </w:r>
            <w:r w:rsidR="00200885">
              <w:t>generation owners and operators</w:t>
            </w:r>
            <w:r w:rsidR="00B65056">
              <w:t xml:space="preserve"> experienced with arrangements. </w:t>
            </w:r>
            <w:r w:rsidR="001C1F9A">
              <w:t xml:space="preserve"> She stated that she is concerned with the term “policy modifications.”  </w:t>
            </w:r>
            <w:r w:rsidR="002A3457">
              <w:t xml:space="preserve">Ms. Jagtiani stated her support for asset management </w:t>
            </w:r>
            <w:r w:rsidR="001C1F9A">
              <w:t xml:space="preserve">agreements so generators can make total use of the firm capacity they have </w:t>
            </w:r>
            <w:r w:rsidR="002A3457">
              <w:t xml:space="preserve">and noted that her comments </w:t>
            </w:r>
            <w:r w:rsidR="00AA49A8">
              <w:t xml:space="preserve">on the topic </w:t>
            </w:r>
            <w:r w:rsidR="002A3457">
              <w:t>referred to end users and generators.</w:t>
            </w:r>
            <w:r w:rsidR="001C1F9A">
              <w:t xml:space="preserve">  Ms. Tierney stated that she interpreted </w:t>
            </w:r>
            <w:r w:rsidR="001C1F9A">
              <w:lastRenderedPageBreak/>
              <w:t>t</w:t>
            </w:r>
            <w:r w:rsidR="00065D41">
              <w:t>he</w:t>
            </w:r>
            <w:r w:rsidR="001C1F9A">
              <w:t xml:space="preserve"> </w:t>
            </w:r>
            <w:r w:rsidR="00065D41">
              <w:t>r</w:t>
            </w:r>
            <w:r w:rsidR="001C1F9A">
              <w:t xml:space="preserve">ecommendation to modify FERC Order No. 712 and not the overall recommendation and, therefore, it was aimed at the bilateral arrangements between </w:t>
            </w:r>
            <w:r w:rsidR="00D544B8">
              <w:t xml:space="preserve">different </w:t>
            </w:r>
            <w:r w:rsidR="001C1F9A">
              <w:t xml:space="preserve">end users.  She </w:t>
            </w:r>
            <w:r w:rsidR="00065D41">
              <w:t>asked whether</w:t>
            </w:r>
            <w:r w:rsidR="001C1F9A">
              <w:t xml:space="preserve"> further inquiry </w:t>
            </w:r>
            <w:r w:rsidR="00065D41">
              <w:t xml:space="preserve">is needed </w:t>
            </w:r>
            <w:r w:rsidR="001C1F9A">
              <w:t>into industrial users to determine whether it will spur more resource</w:t>
            </w:r>
            <w:r w:rsidR="00065D41">
              <w:t xml:space="preserve"> availability</w:t>
            </w:r>
            <w:r w:rsidR="001C1F9A">
              <w:t xml:space="preserve">. </w:t>
            </w:r>
            <w:r w:rsidR="00065D41">
              <w:t xml:space="preserve"> Ms. Jagtiani </w:t>
            </w:r>
            <w:r w:rsidR="00D544B8">
              <w:t>indicated</w:t>
            </w:r>
            <w:r w:rsidR="00065D41">
              <w:t xml:space="preserve"> that there are likely waivers that would be required to effectuate the exchanges and acknowledged </w:t>
            </w:r>
            <w:r w:rsidR="00D544B8">
              <w:t xml:space="preserve">that </w:t>
            </w:r>
            <w:r w:rsidR="00065D41">
              <w:t xml:space="preserve">FERC </w:t>
            </w:r>
            <w:r w:rsidR="00200885">
              <w:t>instituted</w:t>
            </w:r>
            <w:r w:rsidR="00065D41">
              <w:t xml:space="preserve"> similar waivers for </w:t>
            </w:r>
            <w:r w:rsidR="00D544B8">
              <w:t>natural gas asset management agreements (</w:t>
            </w:r>
            <w:r w:rsidR="00065D41">
              <w:t>AMAs</w:t>
            </w:r>
            <w:r w:rsidR="00D544B8">
              <w:t>)</w:t>
            </w:r>
            <w:r w:rsidR="00065D41">
              <w:t xml:space="preserve"> in FERC Order No. 712.  </w:t>
            </w:r>
            <w:r w:rsidR="002A3457">
              <w:t xml:space="preserve">Ms. Bagot suggested changing the language to address </w:t>
            </w:r>
            <w:r w:rsidR="00065D41">
              <w:t xml:space="preserve">removing </w:t>
            </w:r>
            <w:r w:rsidR="002A3457">
              <w:t>barriers</w:t>
            </w:r>
            <w:r w:rsidR="00065D41">
              <w:t xml:space="preserve">.  Ms. Jagtiani suggested that the waivers should only be available during a critical event or emergency period because there are other mechanisms for </w:t>
            </w:r>
            <w:r w:rsidR="00D544B8">
              <w:t xml:space="preserve">attaining </w:t>
            </w:r>
            <w:r w:rsidR="00065D41">
              <w:t xml:space="preserve">day-to-day </w:t>
            </w:r>
            <w:r w:rsidR="00C7053B">
              <w:t xml:space="preserve">capacity and </w:t>
            </w:r>
            <w:r w:rsidR="00D544B8">
              <w:t xml:space="preserve">supply </w:t>
            </w:r>
            <w:r w:rsidR="00065D41">
              <w:t xml:space="preserve">in </w:t>
            </w:r>
            <w:r w:rsidR="00D544B8">
              <w:t>t</w:t>
            </w:r>
            <w:r w:rsidR="00065D41">
              <w:t xml:space="preserve">he normal market.  </w:t>
            </w:r>
            <w:r w:rsidR="00C7053B">
              <w:t xml:space="preserve">She stated this would take you outside of the normal markets and facilitates the emergency reallocation.  </w:t>
            </w:r>
            <w:r w:rsidR="00065D41">
              <w:t xml:space="preserve">Ms. Chambers stated that the important part of </w:t>
            </w:r>
            <w:r w:rsidR="00726F46">
              <w:t>R</w:t>
            </w:r>
            <w:r w:rsidR="00065D41">
              <w:t xml:space="preserve">ecommendation </w:t>
            </w:r>
            <w:r w:rsidR="00726F46">
              <w:t>5 i</w:t>
            </w:r>
            <w:r w:rsidR="00065D41">
              <w:t>s to have an agreement in advance</w:t>
            </w:r>
            <w:r w:rsidR="00200885">
              <w:t xml:space="preserve"> that could be quickly implemented during an emergency</w:t>
            </w:r>
            <w:r w:rsidR="00065D41">
              <w:t xml:space="preserve">. </w:t>
            </w:r>
            <w:r w:rsidR="00200885">
              <w:t xml:space="preserve"> </w:t>
            </w:r>
            <w:r w:rsidR="00C7053B">
              <w:t xml:space="preserve">She stated that it should not be something that you have to do during the peak emergency period.  Ms. Chambers </w:t>
            </w:r>
            <w:r w:rsidR="00726F46">
              <w:t>stated that removing barriers would be more useful than having to file waivers</w:t>
            </w:r>
            <w:r w:rsidR="007A0C55">
              <w:t xml:space="preserve"> because that takes time and it is not efficient</w:t>
            </w:r>
            <w:r w:rsidR="00726F46">
              <w:t>.</w:t>
            </w:r>
          </w:p>
          <w:p w14:paraId="246AD838" w14:textId="5BA22E5A" w:rsidR="009B7232" w:rsidRDefault="00D544B8" w:rsidP="006E29FA">
            <w:pPr>
              <w:spacing w:before="120" w:after="120"/>
              <w:jc w:val="both"/>
              <w:rPr>
                <w:i/>
                <w:iCs/>
              </w:rPr>
            </w:pPr>
            <w:r>
              <w:rPr>
                <w:u w:val="single"/>
              </w:rPr>
              <w:t>Recommendation 6</w:t>
            </w:r>
            <w:r w:rsidRPr="00D544B8">
              <w:t xml:space="preserve">: </w:t>
            </w:r>
            <w:r w:rsidRPr="00D544B8">
              <w:rPr>
                <w:i/>
                <w:iCs/>
              </w:rPr>
              <w:t>State public utility commissions and applicable state authorities in states with competitive energy markets should engage with producers, marketers and intrastate pipelines to ensure that the natural gas markets are fully functioning on a 24/7 basis in preparation for and during events in which demand is expected to rise sharply for both electricity and natural gas, including weekends and holidays. Per current FERC regulations, interstate pipelines schedule and operate on a 24/7 basis to support the wholesale natural gas market. In instances where state authorities lack enabling authority to take such actions, the FERC should adopt regulations to achieve identical outcomes.</w:t>
            </w:r>
          </w:p>
          <w:p w14:paraId="19D27606" w14:textId="57376D6E" w:rsidR="00FD32F8" w:rsidRPr="00FD32F8" w:rsidRDefault="00D544B8" w:rsidP="00D544B8">
            <w:pPr>
              <w:spacing w:before="120" w:after="120"/>
              <w:jc w:val="both"/>
              <w:rPr>
                <w:strike/>
              </w:rPr>
            </w:pPr>
            <w:r w:rsidRPr="00D544B8">
              <w:t xml:space="preserve">Mr. Glazer </w:t>
            </w:r>
            <w:r w:rsidR="00200885">
              <w:t>asked whether</w:t>
            </w:r>
            <w:r w:rsidRPr="00D544B8">
              <w:t xml:space="preserve"> </w:t>
            </w:r>
            <w:r>
              <w:t>R</w:t>
            </w:r>
            <w:r w:rsidRPr="00D544B8">
              <w:t xml:space="preserve">ecommendation </w:t>
            </w:r>
            <w:r>
              <w:t xml:space="preserve">6 </w:t>
            </w:r>
            <w:r w:rsidR="00BB3DF2">
              <w:t xml:space="preserve">is </w:t>
            </w:r>
            <w:r w:rsidR="00FC3771">
              <w:t>directed</w:t>
            </w:r>
            <w:r w:rsidR="00BB3DF2">
              <w:t xml:space="preserve"> to </w:t>
            </w:r>
            <w:r>
              <w:t>the availability of products</w:t>
            </w:r>
            <w:r w:rsidR="00FB7BD3">
              <w:t xml:space="preserve"> </w:t>
            </w:r>
            <w:r>
              <w:t>on the intrastate</w:t>
            </w:r>
            <w:r w:rsidR="00FB7BD3">
              <w:t>,</w:t>
            </w:r>
            <w:r w:rsidR="00200885">
              <w:t xml:space="preserve"> interstate</w:t>
            </w:r>
            <w:r w:rsidR="00FB7BD3">
              <w:t>, or both</w:t>
            </w:r>
            <w:r w:rsidR="00200885">
              <w:t xml:space="preserve">.  </w:t>
            </w:r>
            <w:r w:rsidRPr="00D544B8">
              <w:t xml:space="preserve">Mr. Wood </w:t>
            </w:r>
            <w:r w:rsidR="00FB7BD3">
              <w:t xml:space="preserve">stated that Recommendation 6 is intrastate </w:t>
            </w:r>
            <w:r w:rsidRPr="00D544B8">
              <w:t>because it</w:t>
            </w:r>
            <w:r w:rsidR="00FB7BD3">
              <w:t xml:space="preserve"> i</w:t>
            </w:r>
            <w:r w:rsidRPr="00D544B8">
              <w:t xml:space="preserve">s production oriented.  Mr. Glazer stated that </w:t>
            </w:r>
            <w:r w:rsidR="00FB7BD3">
              <w:t xml:space="preserve">he would not assign Recommendation 6 solely to the states because </w:t>
            </w:r>
            <w:r w:rsidRPr="00D544B8">
              <w:t>the</w:t>
            </w:r>
            <w:r w:rsidR="00FB7BD3">
              <w:t>y</w:t>
            </w:r>
            <w:r w:rsidRPr="00D544B8">
              <w:t xml:space="preserve"> cannot </w:t>
            </w:r>
            <w:r w:rsidR="00FB7BD3">
              <w:t xml:space="preserve">take on the </w:t>
            </w:r>
            <w:r w:rsidR="00FD32F8">
              <w:t>issue</w:t>
            </w:r>
            <w:r w:rsidR="00FB7BD3">
              <w:t xml:space="preserve"> </w:t>
            </w:r>
            <w:r w:rsidRPr="00D544B8">
              <w:t>alone</w:t>
            </w:r>
            <w:r w:rsidR="00FB7BD3">
              <w:t xml:space="preserve">.  He noted that there are a lot of </w:t>
            </w:r>
            <w:r w:rsidR="00FD32F8">
              <w:t xml:space="preserve">factors </w:t>
            </w:r>
            <w:r w:rsidR="00FB7BD3">
              <w:t>that can help</w:t>
            </w:r>
            <w:r w:rsidRPr="00D544B8">
              <w:t xml:space="preserve"> </w:t>
            </w:r>
            <w:r w:rsidR="00FB7BD3">
              <w:t xml:space="preserve">improve the liquidity, including the RTO tariffs, the end user requirements, and marketer actions.  </w:t>
            </w:r>
            <w:r w:rsidRPr="00D544B8">
              <w:t xml:space="preserve">Mr. Gee stated that there is concern that </w:t>
            </w:r>
            <w:r w:rsidR="00FD32F8">
              <w:t xml:space="preserve">the regulation and oversight of </w:t>
            </w:r>
            <w:r w:rsidRPr="00D544B8">
              <w:t xml:space="preserve">intrastate production and gathering </w:t>
            </w:r>
            <w:r w:rsidR="00FD32F8">
              <w:t>i</w:t>
            </w:r>
            <w:r w:rsidRPr="00D544B8">
              <w:t xml:space="preserve">s not meeting the challenge to sufficiently supply the market with natural gas.  </w:t>
            </w:r>
            <w:r w:rsidR="00FD32F8">
              <w:t>He stated that</w:t>
            </w:r>
            <w:r w:rsidRPr="00D544B8">
              <w:t xml:space="preserve"> there is room for improvement on the interstate </w:t>
            </w:r>
            <w:r w:rsidR="00FD32F8">
              <w:t>level</w:t>
            </w:r>
            <w:r w:rsidRPr="00D544B8">
              <w:t xml:space="preserve">, </w:t>
            </w:r>
            <w:r w:rsidR="00FD32F8">
              <w:t xml:space="preserve">but </w:t>
            </w:r>
            <w:r w:rsidRPr="00D544B8">
              <w:t xml:space="preserve">this </w:t>
            </w:r>
            <w:r w:rsidR="00FD32F8">
              <w:t>recommendation is</w:t>
            </w:r>
            <w:r w:rsidRPr="00D544B8">
              <w:t xml:space="preserve"> primarily focused on state oversight, especially in Texas where most of the state </w:t>
            </w:r>
            <w:r w:rsidR="00BB3DF2">
              <w:t xml:space="preserve">production </w:t>
            </w:r>
            <w:r w:rsidRPr="00D544B8">
              <w:t>is situated.</w:t>
            </w:r>
            <w:r w:rsidR="00BB3DF2">
              <w:t xml:space="preserve">  Mr. Gee stated that the intention was to ask FERC to consider the issue and exerts its jurisdiction, if any exists, in the event that state commissions cannot. </w:t>
            </w:r>
            <w:r w:rsidR="00B96E4D">
              <w:t xml:space="preserve"> </w:t>
            </w:r>
            <w:r w:rsidRPr="00D544B8">
              <w:t>Mr. Glazer suggested a parallel recommendation for</w:t>
            </w:r>
            <w:r w:rsidR="00FD32F8">
              <w:t xml:space="preserve"> the </w:t>
            </w:r>
            <w:r w:rsidRPr="00D544B8">
              <w:t xml:space="preserve">interstate </w:t>
            </w:r>
            <w:r w:rsidR="00FD32F8">
              <w:t>markets</w:t>
            </w:r>
            <w:r w:rsidRPr="00D544B8">
              <w:t xml:space="preserve">.  Mr. Wood </w:t>
            </w:r>
            <w:r w:rsidR="00FD32F8">
              <w:t xml:space="preserve">concurred and </w:t>
            </w:r>
            <w:r w:rsidR="00AA49A8">
              <w:t>no</w:t>
            </w:r>
            <w:r w:rsidR="00FD32F8">
              <w:t xml:space="preserve">ted that </w:t>
            </w:r>
            <w:r w:rsidRPr="00D544B8">
              <w:t>Recommendation 6 is broad</w:t>
            </w:r>
            <w:r w:rsidR="00BB3DF2">
              <w:t xml:space="preserve"> and that </w:t>
            </w:r>
            <w:r w:rsidRPr="00B96E4D">
              <w:t xml:space="preserve">FERC has </w:t>
            </w:r>
            <w:r w:rsidR="00BB3DF2">
              <w:t>potential</w:t>
            </w:r>
            <w:r w:rsidRPr="00B96E4D">
              <w:t xml:space="preserve"> discretionary authority </w:t>
            </w:r>
            <w:r w:rsidR="00BB3DF2">
              <w:t xml:space="preserve">to </w:t>
            </w:r>
            <w:r w:rsidRPr="00B96E4D">
              <w:t xml:space="preserve">backstop </w:t>
            </w:r>
            <w:r w:rsidR="00BB3DF2">
              <w:t>this, if needed</w:t>
            </w:r>
            <w:r w:rsidRPr="00B96E4D">
              <w:t>.</w:t>
            </w:r>
          </w:p>
          <w:p w14:paraId="1C400996" w14:textId="14F8BAD3" w:rsidR="00323C49" w:rsidRDefault="00D544B8" w:rsidP="00D544B8">
            <w:pPr>
              <w:spacing w:before="120" w:after="120"/>
              <w:jc w:val="both"/>
            </w:pPr>
            <w:r w:rsidRPr="00D544B8">
              <w:t>Mr. Wolf</w:t>
            </w:r>
            <w:r w:rsidR="00FD32F8">
              <w:t xml:space="preserve"> stated that Kinder Morgan supports states looking into these recommendations, but</w:t>
            </w:r>
            <w:r w:rsidRPr="00D544B8">
              <w:t xml:space="preserve">, with respect to Recommendations 6, 12, and 13, the </w:t>
            </w:r>
            <w:r w:rsidR="00FD32F8">
              <w:t>language</w:t>
            </w:r>
            <w:r w:rsidRPr="00D544B8">
              <w:t xml:space="preserve"> </w:t>
            </w:r>
            <w:r w:rsidR="00AA49A8">
              <w:t>should be modified</w:t>
            </w:r>
            <w:r w:rsidRPr="00D544B8">
              <w:t xml:space="preserve"> to reflect the limitations of FERC</w:t>
            </w:r>
            <w:r w:rsidR="0058554C">
              <w:t>’</w:t>
            </w:r>
            <w:r w:rsidRPr="00D544B8">
              <w:t xml:space="preserve">s statutory authority.  </w:t>
            </w:r>
            <w:r w:rsidR="00FD32F8">
              <w:t xml:space="preserve">He stated that </w:t>
            </w:r>
            <w:r w:rsidRPr="00D544B8">
              <w:t xml:space="preserve">FERC’s authority </w:t>
            </w:r>
            <w:r w:rsidR="0058554C">
              <w:t xml:space="preserve">over </w:t>
            </w:r>
            <w:r w:rsidRPr="00D544B8">
              <w:t xml:space="preserve">those </w:t>
            </w:r>
            <w:r w:rsidR="00323C49">
              <w:t xml:space="preserve">pipelines </w:t>
            </w:r>
            <w:r w:rsidRPr="00D544B8">
              <w:t xml:space="preserve">not </w:t>
            </w:r>
            <w:r w:rsidR="00FD32F8">
              <w:t xml:space="preserve">offering Section </w:t>
            </w:r>
            <w:r w:rsidRPr="00D544B8">
              <w:t>311</w:t>
            </w:r>
            <w:r w:rsidR="00FD32F8">
              <w:t xml:space="preserve"> service,</w:t>
            </w:r>
            <w:r w:rsidRPr="00D544B8">
              <w:t xml:space="preserve"> is limited</w:t>
            </w:r>
            <w:r w:rsidR="00FD32F8">
              <w:t xml:space="preserve"> and FERC does not have any more authority than what is given to it under the Natural Gas Policy Act</w:t>
            </w:r>
            <w:r w:rsidR="00E46FEC">
              <w:t xml:space="preserve"> of 1978</w:t>
            </w:r>
            <w:r w:rsidRPr="00D544B8">
              <w:t xml:space="preserve"> </w:t>
            </w:r>
            <w:r w:rsidR="00E46FEC">
              <w:t xml:space="preserve">Mr. Wolf stated that Kinder Morgan </w:t>
            </w:r>
            <w:r w:rsidRPr="00D544B8">
              <w:t>recommend</w:t>
            </w:r>
            <w:r w:rsidR="00E46FEC">
              <w:t>s</w:t>
            </w:r>
            <w:r w:rsidRPr="00D544B8">
              <w:t xml:space="preserve"> the deletion of the last sentences</w:t>
            </w:r>
            <w:r w:rsidR="00E46FEC">
              <w:t xml:space="preserve"> of Recommendation</w:t>
            </w:r>
            <w:r w:rsidR="00ED7653">
              <w:t>s</w:t>
            </w:r>
            <w:r w:rsidR="00E46FEC">
              <w:t xml:space="preserve"> 6, </w:t>
            </w:r>
            <w:r w:rsidR="00ED7653">
              <w:t xml:space="preserve">12 and 13, </w:t>
            </w:r>
            <w:r w:rsidR="00E46FEC">
              <w:t xml:space="preserve">or alternatively, the modification of the language to request that </w:t>
            </w:r>
            <w:r w:rsidRPr="00D544B8">
              <w:t xml:space="preserve">FERC consider whether it has the authority to adopt </w:t>
            </w:r>
            <w:r w:rsidR="00ED7653">
              <w:t>the</w:t>
            </w:r>
            <w:r w:rsidRPr="00D544B8">
              <w:t xml:space="preserve"> changes.  Mr. Wood </w:t>
            </w:r>
            <w:r w:rsidR="00ED7653">
              <w:t>noted</w:t>
            </w:r>
            <w:r w:rsidRPr="00D544B8">
              <w:t xml:space="preserve"> that the Texas Railroad Commission has stated that they do not have </w:t>
            </w:r>
            <w:r w:rsidR="00ED7653">
              <w:t>the a</w:t>
            </w:r>
            <w:r w:rsidRPr="00D544B8">
              <w:t xml:space="preserve">uthority </w:t>
            </w:r>
            <w:r w:rsidR="00ED7653">
              <w:t xml:space="preserve">in some of </w:t>
            </w:r>
            <w:r w:rsidR="00ED7653">
              <w:lastRenderedPageBreak/>
              <w:t xml:space="preserve">these areas, even </w:t>
            </w:r>
            <w:r w:rsidRPr="00D544B8">
              <w:t xml:space="preserve">over </w:t>
            </w:r>
            <w:r w:rsidR="00ED7653">
              <w:t xml:space="preserve">the </w:t>
            </w:r>
            <w:r w:rsidR="00E46FEC">
              <w:t xml:space="preserve">basic areas of </w:t>
            </w:r>
            <w:r w:rsidRPr="00D544B8">
              <w:t xml:space="preserve">transparency.  </w:t>
            </w:r>
            <w:r w:rsidR="00E46FEC">
              <w:t>He stated that a</w:t>
            </w:r>
            <w:r w:rsidRPr="00D544B8">
              <w:t>s far as reporting and disclosure, the</w:t>
            </w:r>
            <w:r w:rsidR="00ED7653">
              <w:t xml:space="preserve">re is </w:t>
            </w:r>
            <w:r w:rsidRPr="00D544B8">
              <w:t>broader authority</w:t>
            </w:r>
            <w:r w:rsidR="00ED7653">
              <w:t xml:space="preserve"> than the Natural Gas Policy Act that would apply in some of the recommendations.  Mr. Wolf stated that, if the Texas Railroad </w:t>
            </w:r>
            <w:r w:rsidR="00323C49">
              <w:t xml:space="preserve">Commission </w:t>
            </w:r>
            <w:r w:rsidR="00ED7653">
              <w:t>does not have the authority, that is an issue for the Texas legislature.</w:t>
            </w:r>
          </w:p>
          <w:p w14:paraId="0672E0E4" w14:textId="4B410249" w:rsidR="004271B4" w:rsidRDefault="00ED7653" w:rsidP="00D544B8">
            <w:pPr>
              <w:spacing w:before="120" w:after="120"/>
              <w:jc w:val="both"/>
            </w:pPr>
            <w:r>
              <w:t>Mr. Smith stated that</w:t>
            </w:r>
            <w:r w:rsidR="004271B4">
              <w:t>, in the Strawman,</w:t>
            </w:r>
            <w:r>
              <w:t xml:space="preserve"> the recommendation does not seem to match up with the record summary beca</w:t>
            </w:r>
            <w:r w:rsidR="004271B4">
              <w:t>u</w:t>
            </w:r>
            <w:r>
              <w:t xml:space="preserve">se the recommendation targets intrastate pipelines, but the record summary refers to </w:t>
            </w:r>
            <w:r w:rsidR="00A848DC">
              <w:t xml:space="preserve">nomination cycles and </w:t>
            </w:r>
            <w:r>
              <w:t>modifications to the no bump rule in Intraday 3 of the Gas Day</w:t>
            </w:r>
            <w:r w:rsidR="00D728F0">
              <w:t xml:space="preserve">.  He suggested that </w:t>
            </w:r>
            <w:r w:rsidR="00D728F0" w:rsidRPr="00D544B8">
              <w:t>the record summary</w:t>
            </w:r>
            <w:r w:rsidR="00D728F0">
              <w:t xml:space="preserve"> directly </w:t>
            </w:r>
            <w:r w:rsidR="00D728F0" w:rsidRPr="00D544B8">
              <w:t xml:space="preserve">relate to the </w:t>
            </w:r>
            <w:r w:rsidR="00D728F0">
              <w:t xml:space="preserve">Strawman recommendations without </w:t>
            </w:r>
            <w:r w:rsidR="00D728F0" w:rsidRPr="00D544B8">
              <w:t xml:space="preserve">extraneous </w:t>
            </w:r>
            <w:r w:rsidR="00D728F0">
              <w:t>material which could</w:t>
            </w:r>
            <w:r w:rsidR="00D728F0" w:rsidRPr="00D544B8">
              <w:t xml:space="preserve"> confuse the vote.</w:t>
            </w:r>
            <w:r>
              <w:t xml:space="preserve"> </w:t>
            </w:r>
            <w:r w:rsidR="00D728F0">
              <w:t xml:space="preserve"> </w:t>
            </w:r>
            <w:r w:rsidR="00D544B8" w:rsidRPr="00D544B8">
              <w:t xml:space="preserve">Mr. Booe stated that </w:t>
            </w:r>
            <w:r>
              <w:t xml:space="preserve">the overall </w:t>
            </w:r>
            <w:r w:rsidR="00D544B8" w:rsidRPr="00D544B8">
              <w:t>topic area</w:t>
            </w:r>
            <w:r>
              <w:t xml:space="preserve"> </w:t>
            </w:r>
            <w:r w:rsidR="00D544B8" w:rsidRPr="00D544B8">
              <w:t xml:space="preserve">was </w:t>
            </w:r>
            <w:r w:rsidR="00D728F0">
              <w:t>Natural Gas Market Scheduling Opportunities, Including Weekend, Holiday, and Critical Event</w:t>
            </w:r>
            <w:r w:rsidR="003F19E7">
              <w:t>s and that</w:t>
            </w:r>
            <w:r>
              <w:t xml:space="preserve"> Mr. Gee, Ms. Tierney, and Mr. Wood, </w:t>
            </w:r>
            <w:r w:rsidR="004271B4">
              <w:t xml:space="preserve">reviewed the </w:t>
            </w:r>
            <w:r w:rsidR="00D544B8" w:rsidRPr="00D544B8">
              <w:t>record</w:t>
            </w:r>
            <w:r w:rsidR="004271B4">
              <w:t>,</w:t>
            </w:r>
            <w:r w:rsidR="00D544B8" w:rsidRPr="00D544B8">
              <w:t xml:space="preserve"> which </w:t>
            </w:r>
            <w:r w:rsidR="004271B4">
              <w:t>contained</w:t>
            </w:r>
            <w:r w:rsidR="00D544B8" w:rsidRPr="00D544B8">
              <w:t xml:space="preserve"> a lot of info</w:t>
            </w:r>
            <w:r w:rsidR="004271B4">
              <w:t>rmation</w:t>
            </w:r>
            <w:r w:rsidR="00D544B8" w:rsidRPr="00D544B8">
              <w:t xml:space="preserve"> about interstate pipelines</w:t>
            </w:r>
            <w:r w:rsidR="00F34F7B">
              <w:t xml:space="preserve"> scheduling practices</w:t>
            </w:r>
            <w:r w:rsidR="004271B4">
              <w:t xml:space="preserve">, </w:t>
            </w:r>
            <w:r w:rsidR="00D544B8" w:rsidRPr="00D544B8">
              <w:t>and</w:t>
            </w:r>
            <w:r w:rsidR="003F19E7">
              <w:t xml:space="preserve"> determined to </w:t>
            </w:r>
            <w:r w:rsidR="004271B4">
              <w:t>isolate the</w:t>
            </w:r>
            <w:r w:rsidR="00D544B8" w:rsidRPr="00D544B8">
              <w:t xml:space="preserve"> issue</w:t>
            </w:r>
            <w:r w:rsidR="00F34F7B">
              <w:t xml:space="preserve"> of getting access to the natural gas markets</w:t>
            </w:r>
            <w:r w:rsidR="00D544B8" w:rsidRPr="00D544B8">
              <w:t xml:space="preserve"> </w:t>
            </w:r>
            <w:r w:rsidR="00F34F7B">
              <w:t>during</w:t>
            </w:r>
            <w:r w:rsidR="00D544B8" w:rsidRPr="00D544B8">
              <w:t xml:space="preserve"> weekends, holidays, and critical events</w:t>
            </w:r>
            <w:r w:rsidR="00F34F7B">
              <w:t xml:space="preserve"> as</w:t>
            </w:r>
            <w:r w:rsidR="003F19E7">
              <w:t xml:space="preserve"> identified in the recommendation</w:t>
            </w:r>
            <w:r w:rsidR="00D544B8" w:rsidRPr="00D544B8">
              <w:t xml:space="preserve">.  </w:t>
            </w:r>
            <w:r w:rsidR="004271B4">
              <w:t xml:space="preserve">Mr. Booe </w:t>
            </w:r>
            <w:r w:rsidR="00D544B8" w:rsidRPr="00D544B8">
              <w:t>encourage</w:t>
            </w:r>
            <w:r w:rsidR="004271B4">
              <w:t xml:space="preserve">d the participants to </w:t>
            </w:r>
            <w:r w:rsidR="00D544B8" w:rsidRPr="00D544B8">
              <w:t>read the</w:t>
            </w:r>
            <w:r w:rsidR="004271B4">
              <w:t xml:space="preserve"> </w:t>
            </w:r>
            <w:r w:rsidR="003F19E7">
              <w:t>recommendations</w:t>
            </w:r>
            <w:r w:rsidR="003F19E7" w:rsidRPr="00D544B8">
              <w:t xml:space="preserve"> </w:t>
            </w:r>
            <w:r w:rsidR="00D544B8" w:rsidRPr="00D544B8">
              <w:t>in the context of the larger conversations</w:t>
            </w:r>
            <w:r w:rsidR="004271B4">
              <w:t xml:space="preserve"> of all of the GEH Forum meetings </w:t>
            </w:r>
            <w:r w:rsidR="00D728F0">
              <w:t>on the summary topic</w:t>
            </w:r>
            <w:r w:rsidR="00F34F7B">
              <w:t>/area</w:t>
            </w:r>
            <w:r w:rsidR="003F19E7">
              <w:t>, not just what was included in the record summaries of the Strawman</w:t>
            </w:r>
            <w:r w:rsidR="00D728F0">
              <w:t xml:space="preserve">.  </w:t>
            </w:r>
            <w:r w:rsidR="004271B4">
              <w:t>He noted that the final</w:t>
            </w:r>
            <w:r w:rsidR="00D544B8" w:rsidRPr="00D544B8">
              <w:t xml:space="preserve"> report will not </w:t>
            </w:r>
            <w:r w:rsidR="00F34F7B">
              <w:t>include</w:t>
            </w:r>
            <w:r w:rsidR="00D544B8" w:rsidRPr="00D544B8">
              <w:t xml:space="preserve"> updated record summar</w:t>
            </w:r>
            <w:r w:rsidR="00F34F7B">
              <w:t>ies</w:t>
            </w:r>
            <w:r w:rsidR="003F19E7">
              <w:t>.</w:t>
            </w:r>
          </w:p>
          <w:p w14:paraId="4109B175" w14:textId="1863A7CD" w:rsidR="00D544B8" w:rsidRPr="00D544B8" w:rsidRDefault="00D544B8" w:rsidP="00D544B8">
            <w:pPr>
              <w:spacing w:before="120" w:after="120"/>
              <w:jc w:val="both"/>
            </w:pPr>
            <w:r w:rsidRPr="00D544B8">
              <w:t>Ms. Chambers stated that</w:t>
            </w:r>
            <w:r w:rsidR="00A848DC">
              <w:t xml:space="preserve"> the pipeline participants </w:t>
            </w:r>
            <w:r w:rsidRPr="00D544B8">
              <w:t xml:space="preserve">are not convinced that </w:t>
            </w:r>
            <w:r w:rsidR="00A848DC">
              <w:t xml:space="preserve">24/7 </w:t>
            </w:r>
            <w:r w:rsidRPr="00D544B8">
              <w:t xml:space="preserve">nominations </w:t>
            </w:r>
            <w:r w:rsidR="00522BB6">
              <w:t>will</w:t>
            </w:r>
            <w:r w:rsidRPr="00D544B8">
              <w:t xml:space="preserve"> fix the problems because people would nom</w:t>
            </w:r>
            <w:r w:rsidR="00A848DC">
              <w:t>inate</w:t>
            </w:r>
            <w:r w:rsidRPr="00D544B8">
              <w:t xml:space="preserve"> at a time whe</w:t>
            </w:r>
            <w:r w:rsidR="00522BB6">
              <w:t>n</w:t>
            </w:r>
            <w:r w:rsidRPr="00D544B8">
              <w:t xml:space="preserve"> there is a shortage of pipeline capacity</w:t>
            </w:r>
            <w:r w:rsidR="00A848DC">
              <w:t xml:space="preserve"> and</w:t>
            </w:r>
            <w:r w:rsidR="00522BB6">
              <w:t>, if th</w:t>
            </w:r>
            <w:r w:rsidR="00323C49">
              <w:t xml:space="preserve">ose nominating do not </w:t>
            </w:r>
            <w:r w:rsidR="00522BB6">
              <w:t>have firm supply,</w:t>
            </w:r>
            <w:r w:rsidR="00A848DC">
              <w:t xml:space="preserve"> the product </w:t>
            </w:r>
            <w:r w:rsidR="00522BB6">
              <w:t>will not</w:t>
            </w:r>
            <w:r w:rsidR="00A848DC">
              <w:t xml:space="preserve"> be delivered</w:t>
            </w:r>
            <w:r w:rsidRPr="00D544B8">
              <w:t xml:space="preserve">.  </w:t>
            </w:r>
            <w:r w:rsidR="00522BB6">
              <w:t xml:space="preserve">She stated </w:t>
            </w:r>
            <w:r w:rsidR="00323C49">
              <w:t>that deleting</w:t>
            </w:r>
            <w:r w:rsidRPr="00D544B8">
              <w:t xml:space="preserve"> the language </w:t>
            </w:r>
            <w:r w:rsidR="0058554C">
              <w:t>referring to the</w:t>
            </w:r>
            <w:r w:rsidRPr="00D544B8">
              <w:t xml:space="preserve"> interstate</w:t>
            </w:r>
            <w:r w:rsidR="0058554C">
              <w:t xml:space="preserve"> pipelines</w:t>
            </w:r>
            <w:r w:rsidRPr="00D544B8">
              <w:t xml:space="preserve"> would </w:t>
            </w:r>
            <w:r w:rsidR="0058554C">
              <w:t xml:space="preserve">provide clarity to </w:t>
            </w:r>
            <w:r w:rsidR="00522BB6">
              <w:t>Recommendation 6</w:t>
            </w:r>
            <w:r w:rsidRPr="00D544B8">
              <w:t>.</w:t>
            </w:r>
          </w:p>
          <w:p w14:paraId="06508CE9" w14:textId="407E7B91" w:rsidR="00D544B8" w:rsidRPr="00A848DC" w:rsidRDefault="00A848DC" w:rsidP="006E29FA">
            <w:pPr>
              <w:spacing w:before="120" w:after="120"/>
              <w:jc w:val="both"/>
            </w:pPr>
            <w:r>
              <w:rPr>
                <w:u w:val="single"/>
              </w:rPr>
              <w:t>Recommendation 7</w:t>
            </w:r>
            <w:r>
              <w:t xml:space="preserve">: </w:t>
            </w:r>
            <w:r w:rsidRPr="00A848DC">
              <w:rPr>
                <w:i/>
                <w:iCs/>
              </w:rPr>
              <w:t>The Independent System Operators (ISOs) and Regional Transmission Organizations (RTOs), through stakeholder processes, or the FERC, through initiating and conducting proceedings, should adopt changes to align day-ahead electric scheduling practices with the natural gas day, including earlier notification of successful bids, to ensure that schedules are known and made available to allow natural gas-fired generators to procure natural gas and pipeline capacity in periods when the market is most liquid.</w:t>
            </w:r>
          </w:p>
          <w:p w14:paraId="4B4C1AAF" w14:textId="2C0D584B" w:rsidR="00CE7279" w:rsidRDefault="00522BB6" w:rsidP="00522BB6">
            <w:pPr>
              <w:spacing w:before="120" w:after="120"/>
              <w:jc w:val="both"/>
            </w:pPr>
            <w:r w:rsidRPr="00522BB6">
              <w:t>Ms. Bagot s</w:t>
            </w:r>
            <w:r w:rsidR="00A30AF2">
              <w:t>uggested</w:t>
            </w:r>
            <w:r w:rsidRPr="00522BB6">
              <w:t xml:space="preserve"> that </w:t>
            </w:r>
            <w:r w:rsidR="00A30AF2">
              <w:t xml:space="preserve">Recommendation 7 reflect the need for analysis </w:t>
            </w:r>
            <w:r w:rsidRPr="00522BB6">
              <w:t xml:space="preserve">on the improvements that </w:t>
            </w:r>
            <w:r w:rsidR="00A30AF2">
              <w:t xml:space="preserve">could be attained by better aligning the gas or power days </w:t>
            </w:r>
            <w:r w:rsidR="00666AB8">
              <w:t xml:space="preserve">or both, </w:t>
            </w:r>
            <w:r w:rsidR="009E7282">
              <w:t>while avoiding unintended consequences</w:t>
            </w:r>
            <w:r w:rsidR="00666AB8">
              <w:t xml:space="preserve">.  She stated that </w:t>
            </w:r>
            <w:r w:rsidRPr="00522BB6">
              <w:t xml:space="preserve">it could be </w:t>
            </w:r>
            <w:r w:rsidR="00666AB8">
              <w:t xml:space="preserve">as simple as </w:t>
            </w:r>
            <w:r w:rsidRPr="00522BB6">
              <w:t>moving the power</w:t>
            </w:r>
            <w:r w:rsidR="007F1111">
              <w:t xml:space="preserve"> day</w:t>
            </w:r>
            <w:r w:rsidRPr="00522BB6">
              <w:t xml:space="preserve"> time</w:t>
            </w:r>
            <w:r w:rsidR="00666AB8">
              <w:t>, rather than the full schedul</w:t>
            </w:r>
            <w:r w:rsidR="00CE7279">
              <w:t>ing process</w:t>
            </w:r>
            <w:r w:rsidR="00666AB8">
              <w:t xml:space="preserve">, and noted that the operations vary by region.  </w:t>
            </w:r>
            <w:r w:rsidR="00CE7279">
              <w:t>For example, New York has a much earlier timeline then the other Eastern RTOs.</w:t>
            </w:r>
          </w:p>
          <w:p w14:paraId="4A9EF0DE" w14:textId="703884FB" w:rsidR="006D1EAE" w:rsidRDefault="00522BB6" w:rsidP="00522BB6">
            <w:pPr>
              <w:spacing w:before="120" w:after="120"/>
              <w:jc w:val="both"/>
            </w:pPr>
            <w:r w:rsidRPr="00522BB6">
              <w:t xml:space="preserve">Mr. Glazer stated that some </w:t>
            </w:r>
            <w:r w:rsidR="00A30AF2">
              <w:t xml:space="preserve">generation </w:t>
            </w:r>
            <w:r w:rsidRPr="00522BB6">
              <w:t xml:space="preserve">units </w:t>
            </w:r>
            <w:r w:rsidR="009E7282">
              <w:t xml:space="preserve">that </w:t>
            </w:r>
            <w:r w:rsidR="00C85DEB">
              <w:t>showed</w:t>
            </w:r>
            <w:r w:rsidR="009E7282">
              <w:t xml:space="preserve"> availability in real time, </w:t>
            </w:r>
            <w:r w:rsidR="00C85DEB">
              <w:t>were not available</w:t>
            </w:r>
            <w:r w:rsidRPr="00522BB6">
              <w:t xml:space="preserve">. </w:t>
            </w:r>
            <w:r w:rsidR="009E7282">
              <w:t xml:space="preserve"> </w:t>
            </w:r>
            <w:r w:rsidR="00666AB8">
              <w:t xml:space="preserve">He stated that multi-day unit commitments should be considered </w:t>
            </w:r>
            <w:r w:rsidR="00CE7279">
              <w:t xml:space="preserve">along with the </w:t>
            </w:r>
            <w:r w:rsidR="00666AB8">
              <w:t>with pros and cons</w:t>
            </w:r>
            <w:r w:rsidR="009E7282">
              <w:t xml:space="preserve">; however, </w:t>
            </w:r>
            <w:r w:rsidR="00666AB8">
              <w:t>it would be hard to draft a set of universal recommendations</w:t>
            </w:r>
            <w:r w:rsidR="00CE7279">
              <w:t xml:space="preserve"> due to regional differences.</w:t>
            </w:r>
            <w:r w:rsidR="00666AB8">
              <w:t xml:space="preserve"> </w:t>
            </w:r>
            <w:r w:rsidR="00AC3974">
              <w:t xml:space="preserve"> </w:t>
            </w:r>
            <w:r w:rsidR="00CE7279">
              <w:t xml:space="preserve">Mr. Glazer </w:t>
            </w:r>
            <w:r w:rsidR="00AC3974">
              <w:t xml:space="preserve">stated that these are active topics being discussed in each region.  He </w:t>
            </w:r>
            <w:r w:rsidR="00666AB8">
              <w:t>suggested that the recommendation be drafted at a high</w:t>
            </w:r>
            <w:r w:rsidR="0058554C">
              <w:t>er</w:t>
            </w:r>
            <w:r w:rsidR="00666AB8">
              <w:t xml:space="preserve"> level that recognizes regional differences.  </w:t>
            </w:r>
            <w:r w:rsidR="00F24B79">
              <w:t xml:space="preserve">Ms. Tierney stated that she supports further analysis, as proposed by Ms. Bagot, and, in light of Mr. Glazer’s comments, she asked the participants if they believe there is an entity that should conduct the analyses.  Mr. Glazer stated that FERC could drive </w:t>
            </w:r>
            <w:proofErr w:type="spellStart"/>
            <w:r w:rsidR="00AC3974">
              <w:t>teh</w:t>
            </w:r>
            <w:proofErr w:type="spellEnd"/>
            <w:r w:rsidR="00AC3974">
              <w:t xml:space="preserve"> discussion forward</w:t>
            </w:r>
            <w:r w:rsidR="00F24B79">
              <w:t xml:space="preserve">, </w:t>
            </w:r>
            <w:r w:rsidR="00AC3974">
              <w:t>but the data</w:t>
            </w:r>
            <w:r w:rsidR="00F24B79">
              <w:t xml:space="preserve"> is tied up with tariffs, clearing, and compensation to generators.  </w:t>
            </w:r>
            <w:r w:rsidRPr="00522BB6">
              <w:t>Mr. Gee</w:t>
            </w:r>
            <w:r w:rsidR="00C85DEB">
              <w:t xml:space="preserve"> noted</w:t>
            </w:r>
            <w:r w:rsidRPr="00522BB6">
              <w:t xml:space="preserve"> that </w:t>
            </w:r>
            <w:r w:rsidR="00F24B79">
              <w:t xml:space="preserve">this recommendation is purposely broad to recognize the regional differences.  He </w:t>
            </w:r>
            <w:r w:rsidR="00AA1850">
              <w:t xml:space="preserve">noted </w:t>
            </w:r>
            <w:r w:rsidR="00F24B79">
              <w:t xml:space="preserve">that state utility commissioners have continuously asked why the </w:t>
            </w:r>
            <w:r w:rsidRPr="00522BB6">
              <w:t xml:space="preserve">gas and electric </w:t>
            </w:r>
            <w:r w:rsidR="00F24B79">
              <w:t>days are different</w:t>
            </w:r>
            <w:r w:rsidR="00AC3974">
              <w:t xml:space="preserve"> and </w:t>
            </w:r>
            <w:r w:rsidR="00924577">
              <w:t>explained that</w:t>
            </w:r>
            <w:r w:rsidR="00F24B79">
              <w:t xml:space="preserve"> the</w:t>
            </w:r>
            <w:r w:rsidR="00924577">
              <w:t>ir</w:t>
            </w:r>
            <w:r w:rsidR="00F24B79">
              <w:t xml:space="preserve"> </w:t>
            </w:r>
            <w:r w:rsidR="00F24B79">
              <w:lastRenderedPageBreak/>
              <w:t xml:space="preserve">perception is that the days have not </w:t>
            </w:r>
            <w:r w:rsidR="00924577">
              <w:t xml:space="preserve">yet </w:t>
            </w:r>
            <w:r w:rsidR="00F24B79">
              <w:t>been</w:t>
            </w:r>
            <w:r w:rsidR="00924577">
              <w:t xml:space="preserve"> aligned.</w:t>
            </w:r>
            <w:r w:rsidR="00F24B79">
              <w:t xml:space="preserve"> He added that the solution is probably not a one size fits all answer, but the issue of alignment should be discussed. </w:t>
            </w:r>
            <w:r w:rsidR="00C85DEB">
              <w:t xml:space="preserve"> </w:t>
            </w:r>
            <w:r w:rsidR="00F24B79">
              <w:t xml:space="preserve">Mr. Glazer stated that both Recommendations 7 and 8 use the phrase “should adopt” and suggested that </w:t>
            </w:r>
            <w:r w:rsidR="00C85DEB">
              <w:t xml:space="preserve">the phrase be replaced with </w:t>
            </w:r>
            <w:r w:rsidR="00F24B79">
              <w:t>“should analyze.</w:t>
            </w:r>
            <w:r w:rsidR="00C85DEB">
              <w:t>”</w:t>
            </w:r>
            <w:r w:rsidR="001041D2">
              <w:t xml:space="preserve">  Mr. Gee stated that “should consider” could be inserted in place of “should adopt.”</w:t>
            </w:r>
          </w:p>
          <w:p w14:paraId="5D734C9B" w14:textId="6FE31FBD" w:rsidR="00522BB6" w:rsidRPr="00522BB6" w:rsidRDefault="00522BB6" w:rsidP="00522BB6">
            <w:pPr>
              <w:spacing w:before="120" w:after="120"/>
              <w:jc w:val="both"/>
            </w:pPr>
            <w:r w:rsidRPr="00522BB6">
              <w:t xml:space="preserve">Mr. Desselle stated </w:t>
            </w:r>
            <w:r w:rsidR="00A30AF2">
              <w:t>his support for the language</w:t>
            </w:r>
            <w:r w:rsidRPr="00522BB6">
              <w:t xml:space="preserve"> </w:t>
            </w:r>
            <w:r w:rsidR="00F24B79">
              <w:t xml:space="preserve">of the recommendation including the phrase </w:t>
            </w:r>
            <w:r w:rsidR="00A30AF2">
              <w:t>“</w:t>
            </w:r>
            <w:r w:rsidRPr="00522BB6">
              <w:t>through stakeholder process</w:t>
            </w:r>
            <w:r w:rsidR="00A30AF2">
              <w:t>,</w:t>
            </w:r>
            <w:r w:rsidRPr="00522BB6">
              <w:t xml:space="preserve"> or </w:t>
            </w:r>
            <w:r w:rsidR="00A30AF2">
              <w:t xml:space="preserve">the </w:t>
            </w:r>
            <w:r w:rsidRPr="00522BB6">
              <w:t>FERC</w:t>
            </w:r>
            <w:r w:rsidR="00A30AF2">
              <w:t>.”</w:t>
            </w:r>
            <w:r w:rsidR="001041D2">
              <w:t xml:space="preserve"> </w:t>
            </w:r>
            <w:r w:rsidR="00A30AF2">
              <w:t xml:space="preserve"> He stated that NAESB </w:t>
            </w:r>
            <w:r w:rsidRPr="00522BB6">
              <w:t>did this many years ago and there</w:t>
            </w:r>
            <w:r w:rsidR="00A30AF2">
              <w:t xml:space="preserve"> is</w:t>
            </w:r>
            <w:r w:rsidRPr="00522BB6">
              <w:t xml:space="preserve"> no reason why </w:t>
            </w:r>
            <w:r w:rsidR="00A30AF2">
              <w:t>the industries should not</w:t>
            </w:r>
            <w:r w:rsidRPr="00522BB6">
              <w:t xml:space="preserve"> sit </w:t>
            </w:r>
            <w:r w:rsidR="00A30AF2">
              <w:t xml:space="preserve">down </w:t>
            </w:r>
            <w:r w:rsidRPr="00522BB6">
              <w:t xml:space="preserve">at the table </w:t>
            </w:r>
            <w:r w:rsidR="00A30AF2">
              <w:t xml:space="preserve">and look </w:t>
            </w:r>
            <w:r w:rsidR="00F24B79">
              <w:t xml:space="preserve">at realignment again.  </w:t>
            </w:r>
            <w:r w:rsidR="00C85DEB">
              <w:t>Mr. Desselle stated that</w:t>
            </w:r>
            <w:r w:rsidR="0058554C">
              <w:t>,</w:t>
            </w:r>
            <w:r w:rsidR="00C85DEB">
              <w:t xml:space="preserve"> if </w:t>
            </w:r>
            <w:r w:rsidR="00F24B79">
              <w:t>state regulators perceive this as a problem</w:t>
            </w:r>
            <w:r w:rsidR="0058554C">
              <w:t>,</w:t>
            </w:r>
            <w:r w:rsidR="00F24B79">
              <w:t xml:space="preserve"> it should be analyzed.  </w:t>
            </w:r>
            <w:r w:rsidRPr="00522BB6">
              <w:t>Ms. Bagot stated that FERC can direct one-time reports on the issue</w:t>
            </w:r>
            <w:r w:rsidR="00F24B79">
              <w:t xml:space="preserve">, which would </w:t>
            </w:r>
            <w:r w:rsidRPr="00522BB6">
              <w:t>require RTOs and ISOs to do the analysis</w:t>
            </w:r>
            <w:r w:rsidR="00C85DEB">
              <w:t>,</w:t>
            </w:r>
            <w:r w:rsidRPr="00522BB6">
              <w:t xml:space="preserve"> show that their current practice works</w:t>
            </w:r>
            <w:r w:rsidR="001041D2">
              <w:t xml:space="preserve"> best for their market</w:t>
            </w:r>
            <w:r w:rsidR="00C85DEB">
              <w:t>,</w:t>
            </w:r>
            <w:r w:rsidRPr="00522BB6">
              <w:t xml:space="preserve"> and </w:t>
            </w:r>
            <w:r w:rsidR="00C85DEB">
              <w:t>that the practices are</w:t>
            </w:r>
            <w:r w:rsidRPr="00522BB6">
              <w:t xml:space="preserve"> just and reasonable</w:t>
            </w:r>
            <w:r w:rsidR="00C85DEB">
              <w:t xml:space="preserve">.  She stated that the analyses and report </w:t>
            </w:r>
            <w:r w:rsidR="001041D2">
              <w:t>could, alternatively,</w:t>
            </w:r>
            <w:r w:rsidRPr="00522BB6">
              <w:t xml:space="preserve"> start </w:t>
            </w:r>
            <w:r w:rsidR="00F24B79">
              <w:t xml:space="preserve">a </w:t>
            </w:r>
            <w:r w:rsidRPr="00522BB6">
              <w:t>conversation</w:t>
            </w:r>
            <w:r w:rsidR="00F24B79">
              <w:t xml:space="preserve"> </w:t>
            </w:r>
            <w:r w:rsidR="001041D2">
              <w:t>to consider</w:t>
            </w:r>
            <w:r w:rsidR="00C85DEB">
              <w:t xml:space="preserve"> </w:t>
            </w:r>
            <w:r w:rsidR="00F24B79">
              <w:t>changes</w:t>
            </w:r>
            <w:r w:rsidRPr="00522BB6">
              <w:t xml:space="preserve">.  </w:t>
            </w:r>
            <w:r w:rsidR="00C85DEB">
              <w:t>Ms. Bagot</w:t>
            </w:r>
            <w:r w:rsidR="00F24B79">
              <w:t xml:space="preserve"> stated that i</w:t>
            </w:r>
            <w:r w:rsidRPr="00522BB6">
              <w:t>t</w:t>
            </w:r>
            <w:r w:rsidR="00A30AF2">
              <w:t xml:space="preserve"> is</w:t>
            </w:r>
            <w:r w:rsidRPr="00522BB6">
              <w:t xml:space="preserve"> important to include the concept of the power day itself</w:t>
            </w:r>
            <w:r w:rsidR="00F24B79">
              <w:t xml:space="preserve">, </w:t>
            </w:r>
            <w:r w:rsidRPr="00522BB6">
              <w:t xml:space="preserve">not just the </w:t>
            </w:r>
            <w:r w:rsidR="00F24B79">
              <w:t>scheduling timeline.</w:t>
            </w:r>
            <w:r w:rsidR="006D1EAE">
              <w:t xml:space="preserve">  </w:t>
            </w:r>
            <w:r w:rsidRPr="00522BB6">
              <w:t xml:space="preserve">Mr. Spencer </w:t>
            </w:r>
            <w:r w:rsidR="001041D2">
              <w:t xml:space="preserve">stated that LS Power agrees with the recommendation and stated that the broader question is </w:t>
            </w:r>
            <w:r w:rsidRPr="00522BB6">
              <w:t xml:space="preserve">what the </w:t>
            </w:r>
            <w:r w:rsidR="00A30AF2">
              <w:t>GEH F</w:t>
            </w:r>
            <w:r w:rsidRPr="00522BB6">
              <w:t xml:space="preserve">orum is trying to achieve </w:t>
            </w:r>
            <w:r w:rsidR="00A30AF2">
              <w:t>because</w:t>
            </w:r>
            <w:r w:rsidRPr="00522BB6">
              <w:t xml:space="preserve"> it deescalate</w:t>
            </w:r>
            <w:r w:rsidR="006D1EAE">
              <w:t>s</w:t>
            </w:r>
            <w:r w:rsidRPr="00522BB6">
              <w:t xml:space="preserve"> the financial risk </w:t>
            </w:r>
            <w:r w:rsidR="006D1EAE">
              <w:t>to</w:t>
            </w:r>
            <w:r w:rsidRPr="00522BB6">
              <w:t xml:space="preserve"> the generators</w:t>
            </w:r>
            <w:r w:rsidR="006D1EAE">
              <w:t xml:space="preserve">, but may not </w:t>
            </w:r>
            <w:r w:rsidR="00D4012B">
              <w:t xml:space="preserve">take a material step towards </w:t>
            </w:r>
            <w:r w:rsidR="006D1EAE">
              <w:t>enhanc</w:t>
            </w:r>
            <w:r w:rsidR="00D4012B">
              <w:t>ing</w:t>
            </w:r>
            <w:r w:rsidR="006D1EAE">
              <w:t xml:space="preserve"> electric reliability because </w:t>
            </w:r>
            <w:r w:rsidR="00A30AF2">
              <w:t>the</w:t>
            </w:r>
            <w:r w:rsidRPr="00522BB6">
              <w:t xml:space="preserve"> problem </w:t>
            </w:r>
            <w:r w:rsidR="00A30AF2">
              <w:t>s</w:t>
            </w:r>
            <w:r w:rsidRPr="00522BB6">
              <w:t>ee</w:t>
            </w:r>
            <w:r w:rsidR="00A30AF2">
              <w:t>n</w:t>
            </w:r>
            <w:r w:rsidRPr="00522BB6">
              <w:t xml:space="preserve"> in the markets is the lack of day ahead </w:t>
            </w:r>
            <w:r w:rsidR="0058554C">
              <w:t>a</w:t>
            </w:r>
            <w:r w:rsidRPr="00522BB6">
              <w:t>wards</w:t>
            </w:r>
            <w:r w:rsidR="006D1EAE">
              <w:t xml:space="preserve">.  </w:t>
            </w:r>
            <w:r w:rsidR="00924577">
              <w:t xml:space="preserve">He stated that </w:t>
            </w:r>
            <w:r w:rsidR="006B4290">
              <w:t xml:space="preserve">LS Power does not consider the recommendation a high priority item, as it </w:t>
            </w:r>
            <w:r w:rsidR="00924577">
              <w:t>will not address the RTO</w:t>
            </w:r>
            <w:r w:rsidR="00B11A4B">
              <w:t xml:space="preserve"> problems with </w:t>
            </w:r>
            <w:r w:rsidR="00924577">
              <w:t xml:space="preserve">attempting to procure gas in real time. </w:t>
            </w:r>
          </w:p>
          <w:p w14:paraId="16057B78" w14:textId="0A13DFB2" w:rsidR="00D544B8" w:rsidRDefault="00522BB6" w:rsidP="004361B6">
            <w:pPr>
              <w:spacing w:before="120" w:after="120"/>
              <w:jc w:val="both"/>
            </w:pPr>
            <w:r>
              <w:rPr>
                <w:u w:val="single"/>
              </w:rPr>
              <w:t>Recommendation 8</w:t>
            </w:r>
            <w:r>
              <w:t xml:space="preserve">: </w:t>
            </w:r>
            <w:r w:rsidRPr="00522BB6">
              <w:rPr>
                <w:i/>
                <w:iCs/>
              </w:rPr>
              <w:t>If not already under consideration through stakeholder processes, ISOs and RTOs or the FERC, through initiating and conducting proceedings, should adopt multiday unit commitment processes to better enable the industry to prepare for and provide reliable service during events in which demand is expected to rise sharply for both electricity and natural gas.</w:t>
            </w:r>
          </w:p>
          <w:p w14:paraId="712B4A24" w14:textId="77752909" w:rsidR="00522BB6" w:rsidRPr="00522BB6" w:rsidRDefault="00522BB6" w:rsidP="00522BB6">
            <w:pPr>
              <w:spacing w:before="120" w:after="120"/>
              <w:jc w:val="both"/>
            </w:pPr>
            <w:r w:rsidRPr="00522BB6">
              <w:t>Mr. Spencer stated that without load participation</w:t>
            </w:r>
            <w:r w:rsidR="006D1EAE">
              <w:t>,</w:t>
            </w:r>
            <w:r w:rsidRPr="00522BB6">
              <w:t xml:space="preserve"> it would be very difficult</w:t>
            </w:r>
            <w:r w:rsidR="006D1EAE">
              <w:t>, particularly in a cost-capped market</w:t>
            </w:r>
            <w:r w:rsidR="00423D94">
              <w:t>s,</w:t>
            </w:r>
            <w:r w:rsidRPr="00522BB6">
              <w:t xml:space="preserve"> for sufficient price</w:t>
            </w:r>
            <w:r w:rsidR="006D1EAE">
              <w:t xml:space="preserve"> signals</w:t>
            </w:r>
            <w:r w:rsidRPr="00522BB6">
              <w:t xml:space="preserve"> to carry through th</w:t>
            </w:r>
            <w:r w:rsidR="00C85DEB">
              <w:t>e</w:t>
            </w:r>
            <w:r w:rsidRPr="00522BB6">
              <w:t xml:space="preserve"> weekend</w:t>
            </w:r>
            <w:r w:rsidR="006D1EAE">
              <w:t xml:space="preserve"> or incentives for generators to carry a weekend package.  </w:t>
            </w:r>
            <w:r w:rsidR="00D4012B">
              <w:t>He explained</w:t>
            </w:r>
            <w:r w:rsidR="00631F24">
              <w:t xml:space="preserve"> that,</w:t>
            </w:r>
            <w:r w:rsidRPr="00522BB6">
              <w:t xml:space="preserve"> for every Winter Storm Elliot weekend, there are other weekends where the forecast sho</w:t>
            </w:r>
            <w:r w:rsidR="00631F24">
              <w:t>ws</w:t>
            </w:r>
            <w:r w:rsidRPr="00522BB6">
              <w:t xml:space="preserve"> </w:t>
            </w:r>
            <w:r w:rsidR="00631F24">
              <w:t>extreme weather</w:t>
            </w:r>
            <w:r w:rsidR="00C85DEB">
              <w:t xml:space="preserve">, but </w:t>
            </w:r>
            <w:r w:rsidRPr="00522BB6">
              <w:t>calms down later</w:t>
            </w:r>
            <w:r w:rsidR="00C85DEB">
              <w:t xml:space="preserve">, which </w:t>
            </w:r>
            <w:r w:rsidR="00631F24">
              <w:t xml:space="preserve">sets up a loss-making situation for the generator.  </w:t>
            </w:r>
            <w:r w:rsidR="00423D94">
              <w:t>He</w:t>
            </w:r>
            <w:r w:rsidR="00631F24">
              <w:t xml:space="preserve"> suggested </w:t>
            </w:r>
            <w:r w:rsidR="00D4012B">
              <w:t xml:space="preserve">considering cost mitigation within the markets and </w:t>
            </w:r>
            <w:r w:rsidR="00631F24">
              <w:t xml:space="preserve">evaluating </w:t>
            </w:r>
            <w:r w:rsidRPr="00522BB6">
              <w:t>risk premium for gen</w:t>
            </w:r>
            <w:r w:rsidR="00631F24">
              <w:t>erator</w:t>
            </w:r>
            <w:r w:rsidRPr="00522BB6">
              <w:t xml:space="preserve"> offers to socialize</w:t>
            </w:r>
            <w:r w:rsidR="00631F24">
              <w:t>,</w:t>
            </w:r>
            <w:r w:rsidRPr="00522BB6">
              <w:t xml:space="preserve"> not only the </w:t>
            </w:r>
            <w:r w:rsidR="00631F24">
              <w:t>losses,</w:t>
            </w:r>
            <w:r w:rsidRPr="00522BB6">
              <w:t xml:space="preserve"> but also the benefits across </w:t>
            </w:r>
            <w:r w:rsidR="00631F24">
              <w:t xml:space="preserve">multiple </w:t>
            </w:r>
            <w:r w:rsidRPr="00522BB6">
              <w:t>weekends.</w:t>
            </w:r>
            <w:r w:rsidR="00D4012B">
              <w:t xml:space="preserve">  </w:t>
            </w:r>
            <w:r w:rsidRPr="00522BB6">
              <w:t xml:space="preserve">Mr. Gee stated that </w:t>
            </w:r>
            <w:r w:rsidR="00631F24">
              <w:t>R</w:t>
            </w:r>
            <w:r w:rsidRPr="00522BB6">
              <w:t xml:space="preserve">ecommendation 11 seems to address the latter half of </w:t>
            </w:r>
            <w:r w:rsidR="00631F24">
              <w:t>Mr. Spencer’s</w:t>
            </w:r>
            <w:r w:rsidRPr="00522BB6">
              <w:t xml:space="preserve"> comment. </w:t>
            </w:r>
            <w:r w:rsidR="00C85DEB">
              <w:t xml:space="preserve"> </w:t>
            </w:r>
            <w:r w:rsidRPr="00522BB6">
              <w:t xml:space="preserve">Mr. Spencer stated that </w:t>
            </w:r>
            <w:r w:rsidR="00631F24">
              <w:t>the “</w:t>
            </w:r>
            <w:r w:rsidRPr="00522BB6">
              <w:t>funding mechanism</w:t>
            </w:r>
            <w:r w:rsidR="00631F24">
              <w:t>”</w:t>
            </w:r>
            <w:r w:rsidRPr="00522BB6">
              <w:t xml:space="preserve"> </w:t>
            </w:r>
            <w:r w:rsidR="00631F24">
              <w:t xml:space="preserve">referred to in Recommendation 11 </w:t>
            </w:r>
            <w:r w:rsidRPr="00522BB6">
              <w:t xml:space="preserve">seems </w:t>
            </w:r>
            <w:r w:rsidR="00631F24">
              <w:t xml:space="preserve">to imply </w:t>
            </w:r>
            <w:r w:rsidR="0058554C">
              <w:t>non-</w:t>
            </w:r>
            <w:r w:rsidRPr="00522BB6">
              <w:t>market or cost recovery</w:t>
            </w:r>
            <w:r w:rsidR="00631F24">
              <w:t xml:space="preserve"> and LS Power would like to </w:t>
            </w:r>
            <w:r w:rsidRPr="00522BB6">
              <w:t>adhere to market principles</w:t>
            </w:r>
            <w:r w:rsidR="00631F24">
              <w:t xml:space="preserve"> and set the right risk and reward </w:t>
            </w:r>
            <w:r w:rsidRPr="00522BB6">
              <w:t xml:space="preserve">balance for the situation.  Mr. Gee stated that </w:t>
            </w:r>
            <w:r w:rsidR="00631F24">
              <w:t xml:space="preserve">Recommendation 11 </w:t>
            </w:r>
            <w:r w:rsidR="00EC534F">
              <w:t>considers</w:t>
            </w:r>
            <w:r w:rsidR="00AA1850">
              <w:t xml:space="preserve"> </w:t>
            </w:r>
            <w:r w:rsidR="00631F24">
              <w:t xml:space="preserve">generator </w:t>
            </w:r>
            <w:r w:rsidR="00AA1850">
              <w:t xml:space="preserve">losses when </w:t>
            </w:r>
            <w:r w:rsidRPr="00522BB6">
              <w:t>the weather is not as severe as forecasted.</w:t>
            </w:r>
            <w:r w:rsidR="00631F24">
              <w:t xml:space="preserve">  </w:t>
            </w:r>
            <w:r w:rsidRPr="00522BB6">
              <w:t xml:space="preserve">Ms. Bagot stated that it is a difficult process, </w:t>
            </w:r>
            <w:r w:rsidR="00631F24">
              <w:t xml:space="preserve">due to the implementation, specifically the </w:t>
            </w:r>
            <w:r w:rsidRPr="00522BB6">
              <w:t>voluntary nature of the load offers.  Ms. Chambers stated tha</w:t>
            </w:r>
            <w:r w:rsidR="00631F24">
              <w:t>t the recommendation</w:t>
            </w:r>
            <w:r w:rsidRPr="00522BB6">
              <w:t xml:space="preserve"> could be more direct and </w:t>
            </w:r>
            <w:r w:rsidR="00631F24">
              <w:t xml:space="preserve">state that the generator should be able to </w:t>
            </w:r>
            <w:r w:rsidRPr="00522BB6">
              <w:t>recover the cost of the supply</w:t>
            </w:r>
            <w:r w:rsidR="00631F24">
              <w:t xml:space="preserve"> for multiday commitments</w:t>
            </w:r>
            <w:r w:rsidRPr="00522BB6">
              <w:t>.</w:t>
            </w:r>
            <w:r w:rsidR="00631F24">
              <w:t xml:space="preserve">  Mr. Glazer stated that </w:t>
            </w:r>
            <w:r w:rsidR="000F4FF1">
              <w:t>this is a major issue that needs to be fixed,</w:t>
            </w:r>
            <w:r w:rsidR="00C85DEB">
              <w:t xml:space="preserve"> and, while</w:t>
            </w:r>
            <w:r w:rsidR="000F4FF1">
              <w:t xml:space="preserve"> multiday unit commitment</w:t>
            </w:r>
            <w:r w:rsidR="008316A0">
              <w:t xml:space="preserve"> processes </w:t>
            </w:r>
            <w:r w:rsidR="000F4FF1">
              <w:t>are one solution, there are other</w:t>
            </w:r>
            <w:r w:rsidR="00D4012B">
              <w:t>s</w:t>
            </w:r>
            <w:r w:rsidR="001C6C9F">
              <w:t xml:space="preserve"> and flexibility should be maintained</w:t>
            </w:r>
            <w:r w:rsidR="000F4FF1">
              <w:t>.</w:t>
            </w:r>
          </w:p>
          <w:p w14:paraId="19D28B97" w14:textId="6B13CAF8" w:rsidR="00522BB6" w:rsidRDefault="00522BB6" w:rsidP="00522BB6">
            <w:pPr>
              <w:spacing w:before="120" w:after="120"/>
              <w:jc w:val="both"/>
            </w:pPr>
            <w:r w:rsidRPr="00522BB6">
              <w:t xml:space="preserve">Mr. Wood stated </w:t>
            </w:r>
            <w:r w:rsidR="000F4FF1">
              <w:t xml:space="preserve">that the recommendation should focus on critical periods, but those periods are </w:t>
            </w:r>
            <w:r w:rsidR="001C6C9F">
              <w:t xml:space="preserve">vaguely </w:t>
            </w:r>
            <w:r w:rsidR="000F4FF1">
              <w:t xml:space="preserve">defined and differ from one state to </w:t>
            </w:r>
            <w:r w:rsidR="0058554C">
              <w:t>an</w:t>
            </w:r>
            <w:r w:rsidR="000F4FF1">
              <w:t xml:space="preserve">other.  </w:t>
            </w:r>
            <w:r w:rsidRPr="00522BB6">
              <w:t xml:space="preserve">Mr. Booe stated that NAESB </w:t>
            </w:r>
            <w:r w:rsidR="000F4FF1">
              <w:t xml:space="preserve">held </w:t>
            </w:r>
            <w:r w:rsidR="000F4FF1">
              <w:lastRenderedPageBreak/>
              <w:t xml:space="preserve">several meetings </w:t>
            </w:r>
            <w:r w:rsidR="008316A0">
              <w:t xml:space="preserve">this year </w:t>
            </w:r>
            <w:r w:rsidR="000F4FF1">
              <w:t>to discuss the definition of</w:t>
            </w:r>
            <w:r w:rsidRPr="00522BB6">
              <w:t xml:space="preserve"> </w:t>
            </w:r>
            <w:r w:rsidR="0058554C">
              <w:t xml:space="preserve">the term </w:t>
            </w:r>
            <w:r w:rsidR="000F4FF1">
              <w:t>“E</w:t>
            </w:r>
            <w:r w:rsidRPr="00522BB6">
              <w:t xml:space="preserve">xtreme </w:t>
            </w:r>
            <w:r w:rsidR="000F4FF1">
              <w:t>W</w:t>
            </w:r>
            <w:r w:rsidRPr="00522BB6">
              <w:t xml:space="preserve">eather </w:t>
            </w:r>
            <w:r w:rsidR="000F4FF1">
              <w:t>O</w:t>
            </w:r>
            <w:r w:rsidRPr="00522BB6">
              <w:t xml:space="preserve">perating </w:t>
            </w:r>
            <w:r w:rsidR="000F4FF1">
              <w:t>C</w:t>
            </w:r>
            <w:r w:rsidRPr="00522BB6">
              <w:t>onditions</w:t>
            </w:r>
            <w:r w:rsidR="008316A0">
              <w:t>,</w:t>
            </w:r>
            <w:r w:rsidR="000F4FF1">
              <w:t xml:space="preserve">” but did not come </w:t>
            </w:r>
            <w:r w:rsidR="008316A0">
              <w:t>to a conclusion</w:t>
            </w:r>
            <w:r w:rsidRPr="00522BB6">
              <w:t xml:space="preserve">.  Mr. Gee </w:t>
            </w:r>
            <w:r w:rsidR="00D4012B">
              <w:t xml:space="preserve">stated that high level plain English language </w:t>
            </w:r>
            <w:r w:rsidR="001C6C9F">
              <w:t xml:space="preserve">should </w:t>
            </w:r>
            <w:r w:rsidR="00D4012B">
              <w:t xml:space="preserve">be used in the report to </w:t>
            </w:r>
            <w:r w:rsidR="001C6C9F">
              <w:t xml:space="preserve">limit the protocol </w:t>
            </w:r>
            <w:r w:rsidR="00D4012B">
              <w:t>to extreme weather</w:t>
            </w:r>
            <w:r w:rsidR="001C6C9F">
              <w:t xml:space="preserve"> events, however that term is defined.</w:t>
            </w:r>
          </w:p>
          <w:p w14:paraId="78AFD33D" w14:textId="6B4204E2" w:rsidR="00522BB6" w:rsidRDefault="00522BB6" w:rsidP="00522BB6">
            <w:pPr>
              <w:spacing w:before="120" w:after="120"/>
              <w:jc w:val="both"/>
              <w:rPr>
                <w:i/>
                <w:iCs/>
              </w:rPr>
            </w:pPr>
            <w:r>
              <w:rPr>
                <w:u w:val="single"/>
              </w:rPr>
              <w:t>Recommendation 9</w:t>
            </w:r>
            <w:r>
              <w:t xml:space="preserve">: </w:t>
            </w:r>
            <w:r w:rsidRPr="00522BB6">
              <w:rPr>
                <w:i/>
                <w:iCs/>
              </w:rPr>
              <w:t>State public utility commissions should encourage local distribution companies within their jurisdictions to structure incentives for the development of natural gas demand response programs, such as those being piloted by National Grid USA and Southern California Gas Company, and/or voluntary natural gas conservation public service announcements for residential, commercial and industrial customers in preparation for and during events in which demand is expected to rise sharply for both electricity and natural gas.</w:t>
            </w:r>
          </w:p>
          <w:p w14:paraId="0DEA1726" w14:textId="4F3370A5" w:rsidR="00A82980" w:rsidRDefault="001C6C9F" w:rsidP="00522BB6">
            <w:pPr>
              <w:spacing w:before="120" w:after="120"/>
              <w:jc w:val="both"/>
            </w:pPr>
            <w:r>
              <w:t xml:space="preserve">Mr. Booe </w:t>
            </w:r>
            <w:r w:rsidR="000A1EDB">
              <w:t xml:space="preserve">stated that </w:t>
            </w:r>
            <w:r w:rsidR="00F34F7B">
              <w:t>the record included</w:t>
            </w:r>
            <w:r w:rsidR="000A1EDB">
              <w:t xml:space="preserve"> feedback </w:t>
            </w:r>
            <w:r w:rsidR="00F34F7B">
              <w:t>related to the</w:t>
            </w:r>
            <w:r w:rsidR="000A1EDB">
              <w:t xml:space="preserve"> development of natural gas demand programs.  </w:t>
            </w:r>
            <w:r w:rsidR="00522BB6" w:rsidRPr="00522BB6">
              <w:t xml:space="preserve">Mr. Glazer stated that </w:t>
            </w:r>
            <w:r w:rsidR="00A82980">
              <w:t>Recommendation 9</w:t>
            </w:r>
            <w:r w:rsidR="00522BB6" w:rsidRPr="00522BB6">
              <w:t xml:space="preserve"> should</w:t>
            </w:r>
            <w:r w:rsidR="008316A0">
              <w:t xml:space="preserve"> </w:t>
            </w:r>
            <w:r w:rsidR="00A82980">
              <w:t>include electricity conservation, not just natural gas</w:t>
            </w:r>
            <w:r w:rsidR="00522BB6" w:rsidRPr="00522BB6">
              <w:t xml:space="preserve">.  </w:t>
            </w:r>
            <w:r w:rsidR="00A82980">
              <w:t xml:space="preserve">He explained that he is </w:t>
            </w:r>
            <w:r w:rsidR="00522BB6" w:rsidRPr="00522BB6">
              <w:t xml:space="preserve">trying to work with state emergency </w:t>
            </w:r>
            <w:r w:rsidR="00A82980">
              <w:t xml:space="preserve">announcement </w:t>
            </w:r>
            <w:r w:rsidR="00522BB6" w:rsidRPr="00522BB6">
              <w:t>systems</w:t>
            </w:r>
            <w:r w:rsidR="000A1EDB">
              <w:t xml:space="preserve"> similar to that used effectively within California.  He stated that it is a state-by-state effort</w:t>
            </w:r>
            <w:r w:rsidR="00A82980">
              <w:t xml:space="preserve"> and would appreciate any support</w:t>
            </w:r>
            <w:r w:rsidR="000A1EDB">
              <w:t xml:space="preserve"> in this process to achieve uniformity</w:t>
            </w:r>
            <w:r w:rsidR="00522BB6" w:rsidRPr="00522BB6">
              <w:t xml:space="preserve">.  Mr. Glazer </w:t>
            </w:r>
            <w:r w:rsidR="00A82980">
              <w:t>agreed to</w:t>
            </w:r>
            <w:r w:rsidR="00522BB6" w:rsidRPr="00522BB6">
              <w:t xml:space="preserve"> send some language for the </w:t>
            </w:r>
            <w:r w:rsidR="00A82980">
              <w:t>C</w:t>
            </w:r>
            <w:r w:rsidR="00522BB6" w:rsidRPr="00522BB6">
              <w:t>hairs to consider.</w:t>
            </w:r>
          </w:p>
          <w:p w14:paraId="67579F60" w14:textId="1704CC9B" w:rsidR="00522BB6" w:rsidRPr="00522BB6" w:rsidRDefault="00522BB6" w:rsidP="00522BB6">
            <w:pPr>
              <w:spacing w:before="120" w:after="120"/>
              <w:jc w:val="both"/>
            </w:pPr>
            <w:r w:rsidRPr="00522BB6">
              <w:t xml:space="preserve">Mr. </w:t>
            </w:r>
            <w:proofErr w:type="spellStart"/>
            <w:r w:rsidRPr="00522BB6">
              <w:t>Agen</w:t>
            </w:r>
            <w:proofErr w:type="spellEnd"/>
            <w:r w:rsidRPr="00522BB6">
              <w:t xml:space="preserve"> stated that the main feedback </w:t>
            </w:r>
            <w:r w:rsidR="00D27EB1">
              <w:t xml:space="preserve">from AGA members on Recommendation 9 </w:t>
            </w:r>
            <w:r w:rsidRPr="00522BB6">
              <w:t xml:space="preserve">was </w:t>
            </w:r>
            <w:r w:rsidR="00D27EB1">
              <w:t xml:space="preserve">that </w:t>
            </w:r>
            <w:r w:rsidRPr="00522BB6">
              <w:t>this should apply to electric companies as well</w:t>
            </w:r>
            <w:r w:rsidR="00D27EB1">
              <w:t>, to respond to overall energy demand</w:t>
            </w:r>
            <w:r w:rsidRPr="00522BB6">
              <w:t xml:space="preserve">.  Ms. Jagtiani stated that there have been a lot of calls to </w:t>
            </w:r>
            <w:r w:rsidR="00A82980">
              <w:t>determine whether local distribution companies</w:t>
            </w:r>
            <w:r w:rsidRPr="00522BB6">
              <w:t xml:space="preserve"> w</w:t>
            </w:r>
            <w:r w:rsidR="00A82980">
              <w:t>ill</w:t>
            </w:r>
            <w:r w:rsidRPr="00522BB6">
              <w:t xml:space="preserve"> release their capacity. </w:t>
            </w:r>
            <w:r w:rsidR="00A82980">
              <w:t xml:space="preserve"> </w:t>
            </w:r>
            <w:r w:rsidR="008316A0">
              <w:t xml:space="preserve">She stated that </w:t>
            </w:r>
            <w:r w:rsidR="00A82980">
              <w:t xml:space="preserve">the language could include the fact that </w:t>
            </w:r>
            <w:r w:rsidRPr="00522BB6">
              <w:t>some state</w:t>
            </w:r>
            <w:r w:rsidR="00A82980">
              <w:t xml:space="preserve">s </w:t>
            </w:r>
            <w:r w:rsidR="00910B61">
              <w:t xml:space="preserve">allow for </w:t>
            </w:r>
            <w:r w:rsidRPr="00522BB6">
              <w:t>shar</w:t>
            </w:r>
            <w:r w:rsidR="00910B61">
              <w:t>ing</w:t>
            </w:r>
            <w:r w:rsidRPr="00522BB6">
              <w:t xml:space="preserve"> revenues associated with releasing capacity.  </w:t>
            </w:r>
            <w:r w:rsidR="00AC0B06">
              <w:t xml:space="preserve">She stated that there might be a way to encourage more releases through revenue sharing.  </w:t>
            </w:r>
            <w:r w:rsidR="00A82980">
              <w:t xml:space="preserve">Ms. Jagtiani stated </w:t>
            </w:r>
            <w:r w:rsidR="00910B61">
              <w:t xml:space="preserve">that </w:t>
            </w:r>
            <w:r w:rsidR="0058554C">
              <w:t>d</w:t>
            </w:r>
            <w:r w:rsidR="00A82980">
              <w:t xml:space="preserve">emand </w:t>
            </w:r>
            <w:r w:rsidR="0058554C">
              <w:t>r</w:t>
            </w:r>
            <w:r w:rsidR="00A82980">
              <w:t>esponse during constrained periods may not make a substantial difference</w:t>
            </w:r>
            <w:r w:rsidR="00AC0B06">
              <w:t>, but having sufficient infrastructure will</w:t>
            </w:r>
            <w:r w:rsidR="00A82980">
              <w:t>.  She noted that a</w:t>
            </w:r>
            <w:r w:rsidRPr="00522BB6">
              <w:t xml:space="preserve"> lot o</w:t>
            </w:r>
            <w:r w:rsidR="00A82980">
              <w:t>f</w:t>
            </w:r>
            <w:r w:rsidRPr="00522BB6">
              <w:t xml:space="preserve"> the recommendations have sufficient infrastructure interwoven in</w:t>
            </w:r>
            <w:r w:rsidR="00A82980">
              <w:t>to the language</w:t>
            </w:r>
            <w:r w:rsidRPr="00522BB6">
              <w:t>.  For example, fund</w:t>
            </w:r>
            <w:r w:rsidR="00A82980">
              <w:t>ing</w:t>
            </w:r>
            <w:r w:rsidRPr="00522BB6">
              <w:t xml:space="preserve"> capacity and storage is an important issue</w:t>
            </w:r>
            <w:r w:rsidR="00A82980">
              <w:t xml:space="preserve">, </w:t>
            </w:r>
            <w:r w:rsidRPr="00522BB6">
              <w:t>the infrastructure is not disregarded, but more woven throughout the recommendations.</w:t>
            </w:r>
          </w:p>
          <w:p w14:paraId="1A81F031" w14:textId="3BA51099" w:rsidR="00522BB6" w:rsidRDefault="00522BB6" w:rsidP="00522BB6">
            <w:pPr>
              <w:spacing w:before="120" w:after="120"/>
              <w:jc w:val="both"/>
              <w:rPr>
                <w:i/>
                <w:iCs/>
              </w:rPr>
            </w:pPr>
            <w:r>
              <w:rPr>
                <w:u w:val="single"/>
              </w:rPr>
              <w:t>Recommendation 10</w:t>
            </w:r>
            <w:r>
              <w:t xml:space="preserve">: </w:t>
            </w:r>
            <w:r w:rsidRPr="00522BB6">
              <w:rPr>
                <w:i/>
                <w:iCs/>
              </w:rPr>
              <w:t>State public utility commissions with integrated resource planning or equivalent planning requirements should consider ways to improve upon cross-market, long-term planning by expanding collaboration requirements by relevant gas and electric market parties and considering an increased focus on fuel adequacy.</w:t>
            </w:r>
          </w:p>
          <w:p w14:paraId="1D93FA20" w14:textId="502B2257" w:rsidR="00522BB6" w:rsidRPr="00522BB6" w:rsidRDefault="00522BB6" w:rsidP="00522BB6">
            <w:pPr>
              <w:spacing w:before="120" w:after="120"/>
              <w:jc w:val="both"/>
            </w:pPr>
            <w:r w:rsidRPr="00522BB6">
              <w:t>Mr. Booe stated this recommendation is specific to the states and concerns cross</w:t>
            </w:r>
            <w:r w:rsidR="0058554C">
              <w:t>-</w:t>
            </w:r>
            <w:r w:rsidRPr="00522BB6">
              <w:t>market communication</w:t>
            </w:r>
            <w:r w:rsidR="00A65198">
              <w:t xml:space="preserve"> concerning</w:t>
            </w:r>
            <w:r w:rsidRPr="00522BB6">
              <w:t xml:space="preserve"> long term planning.  Mr. Gee stated that </w:t>
            </w:r>
            <w:r w:rsidR="00A65198">
              <w:t>much of Recommendation 10</w:t>
            </w:r>
            <w:r w:rsidRPr="00522BB6">
              <w:t xml:space="preserve"> came from </w:t>
            </w:r>
            <w:r w:rsidR="00A65198">
              <w:t xml:space="preserve">Mr. </w:t>
            </w:r>
            <w:r w:rsidRPr="00522BB6">
              <w:t xml:space="preserve">Glazer’s comments on </w:t>
            </w:r>
            <w:r w:rsidR="00A65198">
              <w:t xml:space="preserve">the need for </w:t>
            </w:r>
            <w:r w:rsidRPr="00522BB6">
              <w:t xml:space="preserve">joint planning.  Mr. Glazer stated </w:t>
            </w:r>
            <w:r w:rsidR="00A65198" w:rsidRPr="00522BB6">
              <w:t>that</w:t>
            </w:r>
            <w:r w:rsidRPr="00522BB6">
              <w:t xml:space="preserve"> the planning is </w:t>
            </w:r>
            <w:r w:rsidR="00A65198">
              <w:t xml:space="preserve">actually </w:t>
            </w:r>
            <w:r w:rsidRPr="00522BB6">
              <w:t xml:space="preserve">under FERC authority and the </w:t>
            </w:r>
            <w:r w:rsidR="00A65198" w:rsidRPr="00522BB6">
              <w:t>idea</w:t>
            </w:r>
            <w:r w:rsidRPr="00522BB6">
              <w:t xml:space="preserve"> </w:t>
            </w:r>
            <w:r w:rsidR="00A65198">
              <w:t>i</w:t>
            </w:r>
            <w:r w:rsidRPr="00522BB6">
              <w:t>s to integrate better RTO long term planning with pipe</w:t>
            </w:r>
            <w:r w:rsidR="00A65198">
              <w:t>line</w:t>
            </w:r>
            <w:r w:rsidRPr="00522BB6">
              <w:t xml:space="preserve"> long term planning</w:t>
            </w:r>
            <w:r w:rsidR="00A65198">
              <w:t>,</w:t>
            </w:r>
            <w:r w:rsidRPr="00522BB6">
              <w:t xml:space="preserve"> as well as </w:t>
            </w:r>
            <w:r w:rsidR="00A65198">
              <w:t xml:space="preserve">in </w:t>
            </w:r>
            <w:r w:rsidRPr="00522BB6">
              <w:t>the interconnection</w:t>
            </w:r>
            <w:r w:rsidR="00A65198">
              <w:t xml:space="preserve"> process</w:t>
            </w:r>
            <w:r w:rsidRPr="00522BB6">
              <w:t xml:space="preserve">.  Mr. Gee </w:t>
            </w:r>
            <w:r w:rsidR="00A65198">
              <w:t xml:space="preserve">stated that </w:t>
            </w:r>
            <w:r w:rsidRPr="00522BB6">
              <w:t>that sounds more federal than state</w:t>
            </w:r>
            <w:r w:rsidR="00A65198">
              <w:t xml:space="preserve"> oriented</w:t>
            </w:r>
            <w:r w:rsidRPr="00522BB6">
              <w:t xml:space="preserve">.  Mr. Glazer stated </w:t>
            </w:r>
            <w:r w:rsidR="00A65198">
              <w:t xml:space="preserve">that the phrase </w:t>
            </w:r>
            <w:r w:rsidRPr="00522BB6">
              <w:t xml:space="preserve">“equivalent planning requirements” was code for including federal </w:t>
            </w:r>
            <w:r w:rsidR="00A65198">
              <w:t xml:space="preserve">jurisdictional requirements </w:t>
            </w:r>
            <w:r w:rsidRPr="00522BB6">
              <w:t>as well.</w:t>
            </w:r>
          </w:p>
          <w:p w14:paraId="39C9B934" w14:textId="41EAE2F0" w:rsidR="00522BB6" w:rsidRDefault="00522BB6" w:rsidP="00522BB6">
            <w:pPr>
              <w:spacing w:before="120" w:after="120"/>
              <w:jc w:val="both"/>
              <w:rPr>
                <w:i/>
                <w:iCs/>
              </w:rPr>
            </w:pPr>
            <w:r>
              <w:rPr>
                <w:u w:val="single"/>
              </w:rPr>
              <w:t>Recommendation 11</w:t>
            </w:r>
            <w:r>
              <w:t xml:space="preserve">: </w:t>
            </w:r>
            <w:bookmarkStart w:id="2" w:name="_Hlk137202681"/>
            <w:r w:rsidRPr="00522BB6">
              <w:rPr>
                <w:i/>
                <w:iCs/>
              </w:rPr>
              <w:t xml:space="preserve">FERC, state public utility commissions and applicable state authorities in states with competitive energy markets should consider whether market mechanisms are adequate to ensure that jurisdictional generators have the necessary arrangements for secure firm transportation and supply service and/or storage to avoid and/or mitigate natural gas supply shortfalls during extreme cold weather events, and if </w:t>
            </w:r>
            <w:r w:rsidRPr="00522BB6">
              <w:rPr>
                <w:i/>
                <w:iCs/>
              </w:rPr>
              <w:lastRenderedPageBreak/>
              <w:t>not, determine whether non-market solutions are warranted, including funding mechanisms borne or shared by customers.</w:t>
            </w:r>
            <w:bookmarkEnd w:id="2"/>
          </w:p>
          <w:p w14:paraId="562B190D" w14:textId="431F5165" w:rsidR="00C762AC" w:rsidRDefault="00522BB6" w:rsidP="00522BB6">
            <w:pPr>
              <w:spacing w:before="120" w:after="120"/>
              <w:jc w:val="both"/>
            </w:pPr>
            <w:r w:rsidRPr="00522BB6">
              <w:t>Ms. Bagot stated that</w:t>
            </w:r>
            <w:r w:rsidR="00A65198">
              <w:t>, in Recommendation 11,</w:t>
            </w:r>
            <w:r w:rsidRPr="00522BB6">
              <w:t xml:space="preserve"> the inclusion of </w:t>
            </w:r>
            <w:r w:rsidR="00A65198">
              <w:t>the final clause “</w:t>
            </w:r>
            <w:r w:rsidRPr="00522BB6">
              <w:t>funding mechanisms</w:t>
            </w:r>
            <w:r w:rsidR="00A65198">
              <w:t xml:space="preserve"> borne or shared by customers”</w:t>
            </w:r>
            <w:r w:rsidRPr="00522BB6">
              <w:t xml:space="preserve"> directly follows the non-market solution</w:t>
            </w:r>
            <w:r w:rsidR="00A65198">
              <w:t>s</w:t>
            </w:r>
            <w:r w:rsidRPr="00522BB6">
              <w:t xml:space="preserve">.  </w:t>
            </w:r>
            <w:r w:rsidR="00A65198">
              <w:t xml:space="preserve">She noted that </w:t>
            </w:r>
            <w:r w:rsidRPr="00522BB6">
              <w:t xml:space="preserve">Mr. Spencer was referring to a market </w:t>
            </w:r>
            <w:r w:rsidR="00A65198">
              <w:t>solution earlier in the meeting</w:t>
            </w:r>
            <w:r w:rsidRPr="00522BB6">
              <w:t xml:space="preserve">.  </w:t>
            </w:r>
            <w:r w:rsidR="00A65198">
              <w:t xml:space="preserve">Ms. Bagot stated that she read the language to mean, for example, an </w:t>
            </w:r>
            <w:r w:rsidRPr="00522BB6">
              <w:t xml:space="preserve">RTO </w:t>
            </w:r>
            <w:r w:rsidR="00A65198">
              <w:t xml:space="preserve">will </w:t>
            </w:r>
            <w:r w:rsidRPr="00522BB6">
              <w:t>procure pipe</w:t>
            </w:r>
            <w:r w:rsidR="00A65198">
              <w:t>line</w:t>
            </w:r>
            <w:r w:rsidRPr="00522BB6">
              <w:t xml:space="preserve"> capacity </w:t>
            </w:r>
            <w:r w:rsidR="00A65198">
              <w:t xml:space="preserve">on behalf of ratepayers.  She stated it was specifically tied to non-market solutions. Ms. Bagot stated that market mechanisms should be assessed and </w:t>
            </w:r>
            <w:r w:rsidRPr="00522BB6">
              <w:t>non</w:t>
            </w:r>
            <w:r w:rsidR="0058554C">
              <w:t>-</w:t>
            </w:r>
            <w:r w:rsidRPr="00522BB6">
              <w:t xml:space="preserve">market approaches are a </w:t>
            </w:r>
            <w:r w:rsidR="00C762AC" w:rsidRPr="00522BB6">
              <w:t>second-best</w:t>
            </w:r>
            <w:r w:rsidRPr="00522BB6">
              <w:t xml:space="preserve"> approach</w:t>
            </w:r>
            <w:r w:rsidR="00A65198">
              <w:t xml:space="preserve"> that should be kept on the table.</w:t>
            </w:r>
          </w:p>
          <w:p w14:paraId="37E16DA3" w14:textId="78AA9110" w:rsidR="00EC519F" w:rsidRDefault="00522BB6" w:rsidP="00522BB6">
            <w:pPr>
              <w:spacing w:before="120" w:after="120"/>
              <w:jc w:val="both"/>
            </w:pPr>
            <w:r w:rsidRPr="00522BB6">
              <w:t xml:space="preserve">Mr. Gee </w:t>
            </w:r>
            <w:r w:rsidR="00EC534F">
              <w:t xml:space="preserve">and Mr. Wood agreed that non-market mechanisms should be considered </w:t>
            </w:r>
            <w:r w:rsidR="00924577">
              <w:t xml:space="preserve">by the industry along with market mechanisms. </w:t>
            </w:r>
            <w:r w:rsidR="00C762AC">
              <w:t xml:space="preserve"> </w:t>
            </w:r>
            <w:r w:rsidRPr="00522BB6">
              <w:t>Ms. Bagot state</w:t>
            </w:r>
            <w:r w:rsidR="00C762AC">
              <w:t>d that, in the PJM Interconnection analyses on fuel supply, the</w:t>
            </w:r>
            <w:r w:rsidRPr="00522BB6">
              <w:t xml:space="preserve"> generators with a day ahead commitment </w:t>
            </w:r>
            <w:r w:rsidR="00C762AC">
              <w:t xml:space="preserve">had much lower </w:t>
            </w:r>
            <w:r w:rsidRPr="00522BB6">
              <w:t>fuel supply concerns than those with</w:t>
            </w:r>
            <w:r w:rsidR="00C762AC">
              <w:t xml:space="preserve">out the day ahead </w:t>
            </w:r>
            <w:r w:rsidRPr="00522BB6">
              <w:t xml:space="preserve">commitments.  </w:t>
            </w:r>
            <w:r w:rsidR="00C762AC">
              <w:t xml:space="preserve">She stated that to assume a firm supply arrangement is mostly a day ahead issue.  </w:t>
            </w:r>
            <w:r w:rsidR="0058554C">
              <w:t>Ms. B</w:t>
            </w:r>
            <w:r w:rsidR="00910B61">
              <w:t>a</w:t>
            </w:r>
            <w:r w:rsidR="0058554C">
              <w:t>got explained</w:t>
            </w:r>
            <w:r w:rsidR="00C762AC">
              <w:t xml:space="preserve">, in that case, the generators can </w:t>
            </w:r>
            <w:r w:rsidRPr="00522BB6">
              <w:t xml:space="preserve">say with certainty </w:t>
            </w:r>
            <w:r w:rsidR="00C762AC">
              <w:t>that they</w:t>
            </w:r>
            <w:r w:rsidRPr="00522BB6">
              <w:t xml:space="preserve"> had a firm supply arrangement</w:t>
            </w:r>
            <w:r w:rsidR="00C762AC">
              <w:t xml:space="preserve"> because they were committed on a timely basis</w:t>
            </w:r>
            <w:r w:rsidRPr="00522BB6">
              <w:t>.</w:t>
            </w:r>
            <w:r w:rsidR="004118C1">
              <w:t xml:space="preserve">  </w:t>
            </w:r>
            <w:r w:rsidRPr="00522BB6">
              <w:t xml:space="preserve">Mr. Gee </w:t>
            </w:r>
            <w:r w:rsidR="00C762AC">
              <w:t>stated that the language of Recommendation</w:t>
            </w:r>
            <w:r w:rsidR="004118C1">
              <w:t xml:space="preserve"> 11</w:t>
            </w:r>
            <w:r w:rsidR="00C762AC">
              <w:t xml:space="preserve"> state</w:t>
            </w:r>
            <w:r w:rsidR="004118C1">
              <w:t>s</w:t>
            </w:r>
            <w:r w:rsidR="00C762AC">
              <w:t xml:space="preserve"> that FERC should</w:t>
            </w:r>
            <w:r w:rsidRPr="00522BB6">
              <w:t xml:space="preserve"> consider whether market solutions are adequate</w:t>
            </w:r>
            <w:r w:rsidR="00C762AC">
              <w:t xml:space="preserve"> and, if not, </w:t>
            </w:r>
            <w:r w:rsidR="009404C4">
              <w:t xml:space="preserve">determine whether </w:t>
            </w:r>
            <w:r w:rsidR="00C762AC">
              <w:t>non-market solutions</w:t>
            </w:r>
            <w:r w:rsidR="009404C4">
              <w:t xml:space="preserve"> are warranted</w:t>
            </w:r>
            <w:r w:rsidR="00C762AC">
              <w:t xml:space="preserve">.  </w:t>
            </w:r>
            <w:r w:rsidR="009404C4">
              <w:t xml:space="preserve">Ms. Bagot stated that she would work on potential suggestions to the language.  Mr. Gee encouraged the participants to submit written comments.  </w:t>
            </w:r>
            <w:r w:rsidRPr="00522BB6">
              <w:t xml:space="preserve">Mr. Wood stated that the </w:t>
            </w:r>
            <w:r w:rsidR="00924577">
              <w:t>term “</w:t>
            </w:r>
            <w:r w:rsidR="00C762AC" w:rsidRPr="00522BB6">
              <w:t>non-market</w:t>
            </w:r>
            <w:r w:rsidR="00924577">
              <w:t>”</w:t>
            </w:r>
            <w:r w:rsidRPr="00522BB6">
              <w:t xml:space="preserve"> </w:t>
            </w:r>
            <w:r w:rsidR="00924577">
              <w:t xml:space="preserve">may be a </w:t>
            </w:r>
            <w:r w:rsidR="00924577" w:rsidRPr="00924577">
              <w:t xml:space="preserve">mischaracterization </w:t>
            </w:r>
            <w:r w:rsidRPr="00924577">
              <w:t>because</w:t>
            </w:r>
            <w:r w:rsidR="00924577" w:rsidRPr="002D1041">
              <w:t xml:space="preserve">, </w:t>
            </w:r>
            <w:r w:rsidR="009404C4" w:rsidRPr="00924577">
              <w:t xml:space="preserve">even the surgical subsidies that ERCOT is working on for the PUC have competitive bids.  </w:t>
            </w:r>
          </w:p>
          <w:p w14:paraId="78C022C1" w14:textId="07969BBE" w:rsidR="004118C1" w:rsidRDefault="009404C4" w:rsidP="00522BB6">
            <w:pPr>
              <w:spacing w:before="120" w:after="120"/>
              <w:jc w:val="both"/>
            </w:pPr>
            <w:r w:rsidRPr="00924577">
              <w:t xml:space="preserve">Mr. Glazer stated that </w:t>
            </w:r>
            <w:r w:rsidR="00E06FF7" w:rsidRPr="00924577">
              <w:t xml:space="preserve">Recommendation 11 is helpful </w:t>
            </w:r>
            <w:r w:rsidR="00924577" w:rsidRPr="002D1041">
              <w:t>and</w:t>
            </w:r>
            <w:r w:rsidR="00E06FF7" w:rsidRPr="00924577">
              <w:t xml:space="preserve"> that he views the recommendation as a three-tiered process.  First, ask “Are the existing market mechanisms adequate?”</w:t>
            </w:r>
            <w:r w:rsidR="00E06FF7">
              <w:t xml:space="preserve">  If not, then ask “What can you do within the market mechanisms to improve those mechanisms?”  Mr. Glazer stated that the third step, if the first two do not work, is considering the non-market solutions.  He provided an example with capacity performance.  Mr. Glazer stated that when it was clear that just relying on penalties alone did not work, a combination of penalties and upfront requirements were considered.  He noted that there is still competitive bidding and it is still a market mechanism.</w:t>
            </w:r>
          </w:p>
          <w:p w14:paraId="2938B534" w14:textId="43528134" w:rsidR="00522BB6" w:rsidRPr="00522BB6" w:rsidRDefault="00522BB6" w:rsidP="00522BB6">
            <w:pPr>
              <w:spacing w:before="120" w:after="120"/>
              <w:jc w:val="both"/>
            </w:pPr>
            <w:r w:rsidRPr="00522BB6">
              <w:t>Ms. Jagtiani stated that</w:t>
            </w:r>
            <w:r w:rsidR="004118C1">
              <w:t xml:space="preserve"> PJM </w:t>
            </w:r>
            <w:r w:rsidR="008D1E72">
              <w:t xml:space="preserve">Interconnection </w:t>
            </w:r>
            <w:r w:rsidR="004118C1">
              <w:t xml:space="preserve">did show </w:t>
            </w:r>
            <w:r w:rsidR="008D0612">
              <w:t xml:space="preserve">that, on one day during Winter Storm Elliot, </w:t>
            </w:r>
            <w:r w:rsidR="004118C1">
              <w:t xml:space="preserve">generators </w:t>
            </w:r>
            <w:r w:rsidR="008D0612">
              <w:t xml:space="preserve">that had </w:t>
            </w:r>
            <w:r w:rsidR="004118C1">
              <w:t xml:space="preserve">fuel supply issues </w:t>
            </w:r>
            <w:r w:rsidR="008D0612">
              <w:t>and outages</w:t>
            </w:r>
            <w:r w:rsidR="007F45E4">
              <w:t xml:space="preserve"> </w:t>
            </w:r>
            <w:r w:rsidR="004118C1">
              <w:t xml:space="preserve">had not cleared the day ahead market.  She stated that </w:t>
            </w:r>
            <w:r w:rsidR="008D0612">
              <w:t xml:space="preserve">Recommendation 11 refers to </w:t>
            </w:r>
            <w:r w:rsidR="008D0612" w:rsidRPr="007F45E4">
              <w:t>secure firm transportation and supply service and/or storage</w:t>
            </w:r>
            <w:r w:rsidR="008D0612" w:rsidRPr="008D0612">
              <w:rPr>
                <w:i/>
                <w:iCs/>
              </w:rPr>
              <w:t xml:space="preserve"> </w:t>
            </w:r>
            <w:r w:rsidR="008D0612">
              <w:t xml:space="preserve">which is building the portfolio and setting up tools for buying.  Ms. Jagtiani stated that </w:t>
            </w:r>
            <w:r w:rsidRPr="00522BB6">
              <w:t xml:space="preserve">if </w:t>
            </w:r>
            <w:r w:rsidR="008D1E72">
              <w:t>a generator has not</w:t>
            </w:r>
            <w:r w:rsidRPr="00522BB6">
              <w:t xml:space="preserve"> cleared the day ahead, but </w:t>
            </w:r>
            <w:r w:rsidR="008D1E72">
              <w:t>is then</w:t>
            </w:r>
            <w:r w:rsidR="004118C1">
              <w:t xml:space="preserve"> called </w:t>
            </w:r>
            <w:r w:rsidR="008D1E72">
              <w:t xml:space="preserve">on </w:t>
            </w:r>
            <w:r w:rsidR="004118C1">
              <w:t xml:space="preserve">the day of, it becomes a </w:t>
            </w:r>
            <w:r w:rsidR="006B4290">
              <w:t>challenge</w:t>
            </w:r>
            <w:r w:rsidRPr="00522BB6">
              <w:t xml:space="preserve">. </w:t>
            </w:r>
            <w:r w:rsidR="004118C1">
              <w:t xml:space="preserve"> </w:t>
            </w:r>
            <w:r w:rsidR="008D0612">
              <w:t>She</w:t>
            </w:r>
            <w:r w:rsidR="004118C1">
              <w:t xml:space="preserve"> </w:t>
            </w:r>
            <w:r w:rsidR="0058554C">
              <w:t>explained</w:t>
            </w:r>
            <w:r w:rsidR="004118C1">
              <w:t xml:space="preserve"> that the </w:t>
            </w:r>
            <w:r w:rsidR="008D1E72">
              <w:t xml:space="preserve">two </w:t>
            </w:r>
            <w:r w:rsidR="004118C1">
              <w:t xml:space="preserve">issues are </w:t>
            </w:r>
            <w:r w:rsidRPr="00522BB6">
              <w:t>separate</w:t>
            </w:r>
            <w:r w:rsidR="004118C1">
              <w:t xml:space="preserve">, the generators </w:t>
            </w:r>
            <w:r w:rsidRPr="00522BB6">
              <w:t xml:space="preserve">need to </w:t>
            </w:r>
            <w:r w:rsidR="00EC534F">
              <w:t xml:space="preserve">make appropriate </w:t>
            </w:r>
            <w:r w:rsidR="00924577">
              <w:t>prior arrangements, but</w:t>
            </w:r>
            <w:r w:rsidRPr="00522BB6">
              <w:t xml:space="preserve"> </w:t>
            </w:r>
            <w:r w:rsidR="006B4290">
              <w:t xml:space="preserve">they </w:t>
            </w:r>
            <w:r w:rsidR="00924577">
              <w:t xml:space="preserve">also </w:t>
            </w:r>
            <w:r w:rsidR="006B4290">
              <w:t>need the ability to</w:t>
            </w:r>
            <w:r w:rsidR="00924577">
              <w:t xml:space="preserve"> purchase gas before it </w:t>
            </w:r>
            <w:r w:rsidR="006B4290">
              <w:t>becomes</w:t>
            </w:r>
            <w:r w:rsidR="00924577">
              <w:t xml:space="preserve"> unavailable</w:t>
            </w:r>
            <w:r w:rsidR="004118C1">
              <w:t xml:space="preserve">.  </w:t>
            </w:r>
            <w:r w:rsidRPr="00522BB6">
              <w:t xml:space="preserve">Mr. Glazer </w:t>
            </w:r>
            <w:r w:rsidR="008D1E72">
              <w:t xml:space="preserve">stated that generator </w:t>
            </w:r>
            <w:r w:rsidRPr="00522BB6">
              <w:t xml:space="preserve">units </w:t>
            </w:r>
            <w:r w:rsidR="008D1E72">
              <w:t xml:space="preserve">that are flagged as </w:t>
            </w:r>
            <w:r w:rsidRPr="00522BB6">
              <w:t>available and</w:t>
            </w:r>
            <w:r w:rsidR="008D1E72">
              <w:t xml:space="preserve">, then suddenly are not, leads to </w:t>
            </w:r>
            <w:r w:rsidR="008D0612">
              <w:t xml:space="preserve">a </w:t>
            </w:r>
            <w:r w:rsidR="008D1E72">
              <w:t>scramble.  He stated that it is</w:t>
            </w:r>
            <w:r w:rsidRPr="00522BB6">
              <w:t xml:space="preserve"> more complicated than </w:t>
            </w:r>
            <w:r w:rsidR="008D1E72">
              <w:t xml:space="preserve">just </w:t>
            </w:r>
            <w:r w:rsidRPr="00522BB6">
              <w:t xml:space="preserve">the day ahead.  Mr. Spencer stated that the challenge is </w:t>
            </w:r>
            <w:r w:rsidR="008D1E72">
              <w:t xml:space="preserve">that </w:t>
            </w:r>
            <w:r w:rsidRPr="00522BB6">
              <w:t>the gas is available the day ahead</w:t>
            </w:r>
            <w:r w:rsidR="008D1E72">
              <w:t>,</w:t>
            </w:r>
            <w:r w:rsidRPr="00522BB6">
              <w:t xml:space="preserve"> but becomes </w:t>
            </w:r>
            <w:r w:rsidR="00910B61">
              <w:t xml:space="preserve">less </w:t>
            </w:r>
            <w:r w:rsidRPr="00522BB6">
              <w:t>liquid as you get closer to real time</w:t>
            </w:r>
            <w:r w:rsidR="008D1E72">
              <w:t>.  He explained that,</w:t>
            </w:r>
            <w:r w:rsidRPr="00522BB6">
              <w:t xml:space="preserve"> as the day unfolds</w:t>
            </w:r>
            <w:r w:rsidR="008D1E72">
              <w:t xml:space="preserve">, </w:t>
            </w:r>
            <w:r w:rsidRPr="00522BB6">
              <w:t>it is less predictabl</w:t>
            </w:r>
            <w:r w:rsidR="008541EA">
              <w:t>e</w:t>
            </w:r>
            <w:r w:rsidRPr="00522BB6">
              <w:t>.  Ms. Chambers stated that</w:t>
            </w:r>
            <w:r w:rsidR="008541EA">
              <w:t>, i</w:t>
            </w:r>
            <w:r w:rsidRPr="00522BB6">
              <w:t xml:space="preserve">n </w:t>
            </w:r>
            <w:r w:rsidR="007F45E4">
              <w:t xml:space="preserve">Winter Storm </w:t>
            </w:r>
            <w:r w:rsidRPr="00522BB6">
              <w:t>Elliot, demand was higher th</w:t>
            </w:r>
            <w:r w:rsidR="008541EA">
              <w:t>a</w:t>
            </w:r>
            <w:r w:rsidRPr="00522BB6">
              <w:t>n</w:t>
            </w:r>
            <w:r w:rsidR="008541EA">
              <w:t xml:space="preserve"> </w:t>
            </w:r>
            <w:r w:rsidRPr="00522BB6">
              <w:t>what was forecasted</w:t>
            </w:r>
            <w:r w:rsidR="008541EA">
              <w:t xml:space="preserve"> and a more conservative forecast would have helped.  She </w:t>
            </w:r>
            <w:r w:rsidR="0058554C">
              <w:t>no</w:t>
            </w:r>
            <w:r w:rsidR="008541EA">
              <w:t>ted that s</w:t>
            </w:r>
            <w:r w:rsidRPr="00522BB6">
              <w:t xml:space="preserve">ome of the generators </w:t>
            </w:r>
            <w:r w:rsidR="00AC0B06">
              <w:t>were unavailable</w:t>
            </w:r>
            <w:r w:rsidR="00EC519F">
              <w:t xml:space="preserve"> </w:t>
            </w:r>
            <w:r w:rsidR="00EC534F">
              <w:t>and</w:t>
            </w:r>
            <w:r w:rsidR="00EC534F" w:rsidRPr="00522BB6">
              <w:t xml:space="preserve"> </w:t>
            </w:r>
            <w:r w:rsidRPr="00522BB6">
              <w:t xml:space="preserve">others were dispatched </w:t>
            </w:r>
            <w:r w:rsidR="00924577">
              <w:t>at a time</w:t>
            </w:r>
            <w:r w:rsidRPr="00522BB6">
              <w:t xml:space="preserve"> </w:t>
            </w:r>
            <w:r w:rsidR="00EC534F">
              <w:t xml:space="preserve">when gas was unavailable.  </w:t>
            </w:r>
            <w:r w:rsidR="00EC519F">
              <w:t xml:space="preserve">Also, </w:t>
            </w:r>
            <w:r w:rsidR="00EC534F">
              <w:t xml:space="preserve">some generators </w:t>
            </w:r>
            <w:r w:rsidRPr="00522BB6">
              <w:t>may not have had firm transport</w:t>
            </w:r>
            <w:r w:rsidR="00EC534F">
              <w:t xml:space="preserve"> arrangements</w:t>
            </w:r>
            <w:r w:rsidRPr="00522BB6">
              <w:t>.</w:t>
            </w:r>
          </w:p>
          <w:p w14:paraId="30FC7C0E" w14:textId="33A2B453" w:rsidR="00465045" w:rsidRPr="00B44CF5" w:rsidRDefault="00522BB6" w:rsidP="008541EA">
            <w:pPr>
              <w:spacing w:before="120" w:after="120"/>
              <w:jc w:val="both"/>
            </w:pPr>
            <w:r w:rsidRPr="00522BB6">
              <w:lastRenderedPageBreak/>
              <w:t>Mr. Wood stated that</w:t>
            </w:r>
            <w:r w:rsidR="008541EA">
              <w:t xml:space="preserve"> the insufficiency of infrastructure is a </w:t>
            </w:r>
            <w:r w:rsidR="002E0C32">
              <w:t>substantial</w:t>
            </w:r>
            <w:r w:rsidR="008541EA">
              <w:t xml:space="preserve"> issue, but power generation is starting to </w:t>
            </w:r>
            <w:r w:rsidR="007F45E4">
              <w:t xml:space="preserve">utilize </w:t>
            </w:r>
            <w:r w:rsidR="008541EA">
              <w:t xml:space="preserve">less </w:t>
            </w:r>
            <w:r w:rsidR="002E0C32">
              <w:t xml:space="preserve">natural </w:t>
            </w:r>
            <w:r w:rsidR="008541EA">
              <w:t xml:space="preserve">gas, leading to </w:t>
            </w:r>
            <w:r w:rsidR="0041577E">
              <w:t>increased</w:t>
            </w:r>
            <w:r w:rsidR="008541EA">
              <w:t xml:space="preserve"> risk with additional infrastructure costs.  He asked h</w:t>
            </w:r>
            <w:r w:rsidRPr="00522BB6">
              <w:t xml:space="preserve">ow much </w:t>
            </w:r>
            <w:r w:rsidR="008541EA">
              <w:t xml:space="preserve">companies </w:t>
            </w:r>
            <w:r w:rsidR="002E0C32">
              <w:t xml:space="preserve">will invest </w:t>
            </w:r>
            <w:r w:rsidR="008541EA">
              <w:t xml:space="preserve">to alleviate these crunch days when it may only be a </w:t>
            </w:r>
            <w:r w:rsidR="00910B61">
              <w:t>limited</w:t>
            </w:r>
            <w:r w:rsidR="008541EA">
              <w:t xml:space="preserve"> phenomenon. </w:t>
            </w:r>
            <w:r w:rsidRPr="00522BB6">
              <w:t xml:space="preserve"> Ms. Chambers </w:t>
            </w:r>
            <w:r w:rsidR="008541EA">
              <w:t>stated that the</w:t>
            </w:r>
            <w:r w:rsidR="002E0C32">
              <w:t>re is a big gap between the</w:t>
            </w:r>
            <w:r w:rsidRPr="00522BB6">
              <w:t xml:space="preserve"> rate at which coal is retiring v</w:t>
            </w:r>
            <w:r w:rsidR="008541EA">
              <w:t>ersus the rate that</w:t>
            </w:r>
            <w:r w:rsidRPr="00522BB6">
              <w:t xml:space="preserve"> renewables </w:t>
            </w:r>
            <w:r w:rsidR="008541EA">
              <w:t xml:space="preserve">are </w:t>
            </w:r>
            <w:r w:rsidRPr="00522BB6">
              <w:t xml:space="preserve">coming on line.  </w:t>
            </w:r>
            <w:r w:rsidR="008541EA">
              <w:t xml:space="preserve">She </w:t>
            </w:r>
            <w:r w:rsidR="002E0C32">
              <w:t>explained</w:t>
            </w:r>
            <w:r w:rsidR="008541EA">
              <w:t xml:space="preserve"> that there is a reliability issue because there are not enough resources coming on line quick enough.  </w:t>
            </w:r>
            <w:r w:rsidR="002E0C32">
              <w:t xml:space="preserve">Ms. Chambers added </w:t>
            </w:r>
            <w:r w:rsidR="008541EA">
              <w:t xml:space="preserve">that it may not be just </w:t>
            </w:r>
            <w:r w:rsidR="002E0C32">
              <w:t>a five-</w:t>
            </w:r>
            <w:r w:rsidR="008541EA">
              <w:t>to</w:t>
            </w:r>
            <w:r w:rsidR="002E0C32">
              <w:t>-</w:t>
            </w:r>
            <w:r w:rsidR="008541EA">
              <w:t>ten</w:t>
            </w:r>
            <w:r w:rsidR="002E0C32">
              <w:t>-</w:t>
            </w:r>
            <w:r w:rsidR="008541EA">
              <w:t>year</w:t>
            </w:r>
            <w:r w:rsidR="002E0C32">
              <w:t xml:space="preserve"> issue</w:t>
            </w:r>
            <w:r w:rsidR="008541EA">
              <w:t xml:space="preserve">, as </w:t>
            </w:r>
            <w:r w:rsidRPr="00522BB6">
              <w:t>EI</w:t>
            </w:r>
            <w:r w:rsidR="008541EA">
              <w:t>A</w:t>
            </w:r>
            <w:r w:rsidRPr="00522BB6">
              <w:t xml:space="preserve"> has </w:t>
            </w:r>
            <w:r w:rsidR="008541EA">
              <w:t xml:space="preserve">just </w:t>
            </w:r>
            <w:r w:rsidRPr="00522BB6">
              <w:t xml:space="preserve">changed </w:t>
            </w:r>
            <w:r w:rsidR="008541EA">
              <w:t xml:space="preserve">their </w:t>
            </w:r>
            <w:r w:rsidRPr="00522BB6">
              <w:t xml:space="preserve">natural gas projections </w:t>
            </w:r>
            <w:r w:rsidR="002E0C32">
              <w:t>to reflect the usage of</w:t>
            </w:r>
            <w:r w:rsidRPr="00522BB6">
              <w:t xml:space="preserve"> more gas for a longer period of time</w:t>
            </w:r>
            <w:r w:rsidR="008541EA">
              <w:t xml:space="preserve">.  </w:t>
            </w:r>
            <w:r w:rsidR="002E0C32">
              <w:t>She</w:t>
            </w:r>
            <w:r w:rsidR="008541EA">
              <w:t xml:space="preserve"> stated that the industry is also looking at converting these pipelines to hydrogen, so it will not be a waste of infrastructure</w:t>
            </w:r>
            <w:r w:rsidR="002E0C32">
              <w:t>.</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63D72A22" w14:textId="0BE4D323" w:rsidR="00CD6162" w:rsidRDefault="00A30AF2" w:rsidP="00A54037">
            <w:pPr>
              <w:spacing w:before="120" w:after="120"/>
              <w:jc w:val="both"/>
            </w:pPr>
            <w:r w:rsidRPr="00522BB6">
              <w:t xml:space="preserve">Mr. Booe thanked the </w:t>
            </w:r>
            <w:r w:rsidR="002E0C32">
              <w:t xml:space="preserve">Chairs and the </w:t>
            </w:r>
            <w:r w:rsidRPr="00522BB6">
              <w:t xml:space="preserve">participants for their time </w:t>
            </w:r>
            <w:r w:rsidR="0041577E">
              <w:t xml:space="preserve">and </w:t>
            </w:r>
            <w:r w:rsidR="002E0C32">
              <w:t>comments</w:t>
            </w:r>
            <w:r w:rsidRPr="00522BB6">
              <w:t xml:space="preserve">. </w:t>
            </w:r>
            <w:r w:rsidR="007F45E4">
              <w:t xml:space="preserve"> </w:t>
            </w:r>
            <w:r w:rsidR="0041577E">
              <w:t>D</w:t>
            </w:r>
            <w:r w:rsidR="002E0C32">
              <w:t xml:space="preserve">uring the next meeting, </w:t>
            </w:r>
            <w:r w:rsidR="002E0C32" w:rsidRPr="00522BB6">
              <w:t xml:space="preserve">Argonne </w:t>
            </w:r>
            <w:r w:rsidR="002E0C32">
              <w:t>N</w:t>
            </w:r>
            <w:r w:rsidR="002E0C32" w:rsidRPr="00522BB6">
              <w:t xml:space="preserve">ational </w:t>
            </w:r>
            <w:r w:rsidR="002E0C32">
              <w:t>L</w:t>
            </w:r>
            <w:r w:rsidR="002E0C32" w:rsidRPr="00522BB6">
              <w:t>aborator</w:t>
            </w:r>
            <w:r w:rsidR="002E0C32">
              <w:t>y</w:t>
            </w:r>
            <w:r w:rsidR="002E0C32" w:rsidRPr="00522BB6">
              <w:t xml:space="preserve"> will </w:t>
            </w:r>
            <w:r w:rsidR="002E0C32">
              <w:t xml:space="preserve">provide a presentation on the </w:t>
            </w:r>
            <w:proofErr w:type="spellStart"/>
            <w:r w:rsidR="002E0C32">
              <w:t>NGinsights</w:t>
            </w:r>
            <w:proofErr w:type="spellEnd"/>
            <w:r w:rsidR="002E0C32">
              <w:t xml:space="preserve"> tool</w:t>
            </w:r>
            <w:r w:rsidR="002E0C32" w:rsidRPr="00522BB6">
              <w:t xml:space="preserve"> and</w:t>
            </w:r>
            <w:r w:rsidR="002E0C32">
              <w:t xml:space="preserve"> discussion will begin on the first three recommendations in the Strawman and </w:t>
            </w:r>
            <w:r w:rsidR="0041577E">
              <w:t xml:space="preserve">then </w:t>
            </w:r>
            <w:r w:rsidR="002E0C32">
              <w:t xml:space="preserve">return to Recommendation 12. </w:t>
            </w:r>
            <w:r w:rsidR="007F45E4">
              <w:t xml:space="preserve"> Mr. Booe encouraged the participants to submit written comments on the recommendations.</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58CAABFD" w:rsidR="004667C2" w:rsidRDefault="004667C2" w:rsidP="00C67A5F">
            <w:pPr>
              <w:tabs>
                <w:tab w:val="left" w:pos="360"/>
              </w:tabs>
              <w:spacing w:before="120" w:after="120"/>
            </w:pPr>
            <w:r>
              <w:t xml:space="preserve">The meeting was </w:t>
            </w:r>
            <w:r w:rsidRPr="002E0C32">
              <w:t>adjourned at</w:t>
            </w:r>
            <w:r w:rsidR="00D83C07" w:rsidRPr="002E0C32">
              <w:t xml:space="preserve"> </w:t>
            </w:r>
            <w:r w:rsidR="002E0C32" w:rsidRPr="002E0C32">
              <w:t>12</w:t>
            </w:r>
            <w:r w:rsidR="00EA083E" w:rsidRPr="002E0C32">
              <w:t>:</w:t>
            </w:r>
            <w:r w:rsidR="002E0C32" w:rsidRPr="002E0C32">
              <w:t>00</w:t>
            </w:r>
            <w:r w:rsidR="00931E68" w:rsidRPr="002E0C32">
              <w:t xml:space="preserve"> </w:t>
            </w:r>
            <w:r w:rsidR="00B83365" w:rsidRPr="002E0C32">
              <w:t>P</w:t>
            </w:r>
            <w:r w:rsidR="00931E68" w:rsidRPr="002E0C32">
              <w:t>M</w:t>
            </w:r>
            <w:r w:rsidR="000A2BB9" w:rsidRPr="002E0C32">
              <w:t xml:space="preserve"> Central.</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471D08DA" w:rsidR="004667C2" w:rsidRPr="002E0C32" w:rsidRDefault="004667C2" w:rsidP="00C220B1">
            <w:pPr>
              <w:spacing w:before="120" w:after="60"/>
              <w:rPr>
                <w:b/>
              </w:rPr>
            </w:pPr>
            <w:r w:rsidRPr="002E0C32">
              <w:rPr>
                <w:b/>
              </w:rPr>
              <w:t>Meeting Related Documents</w:t>
            </w:r>
          </w:p>
          <w:p w14:paraId="443F86C2" w14:textId="56EDD889" w:rsidR="00324F5F" w:rsidRPr="002E0C32" w:rsidRDefault="004667C2" w:rsidP="00681780">
            <w:pPr>
              <w:pStyle w:val="ListParagraph"/>
              <w:numPr>
                <w:ilvl w:val="0"/>
                <w:numId w:val="1"/>
              </w:numPr>
              <w:spacing w:before="60" w:after="60"/>
              <w:rPr>
                <w:rFonts w:ascii="Times New Roman" w:hAnsi="Times New Roman" w:cs="Times New Roman"/>
                <w:sz w:val="20"/>
                <w:szCs w:val="20"/>
              </w:rPr>
            </w:pPr>
            <w:r w:rsidRPr="002E0C32">
              <w:rPr>
                <w:rFonts w:ascii="Times New Roman" w:hAnsi="Times New Roman" w:cs="Times New Roman"/>
                <w:color w:val="000000"/>
                <w:sz w:val="20"/>
                <w:szCs w:val="20"/>
              </w:rPr>
              <w:t>Announcement</w:t>
            </w:r>
            <w:r w:rsidR="00747227" w:rsidRPr="002E0C32">
              <w:rPr>
                <w:rFonts w:ascii="Times New Roman" w:hAnsi="Times New Roman" w:cs="Times New Roman"/>
                <w:color w:val="000000"/>
                <w:sz w:val="20"/>
                <w:szCs w:val="20"/>
              </w:rPr>
              <w:t xml:space="preserve"> and Agenda</w:t>
            </w:r>
            <w:r w:rsidR="009871F9" w:rsidRPr="002E0C32">
              <w:rPr>
                <w:rFonts w:ascii="Times New Roman" w:hAnsi="Times New Roman" w:cs="Times New Roman"/>
                <w:color w:val="000000"/>
                <w:sz w:val="20"/>
                <w:szCs w:val="20"/>
              </w:rPr>
              <w:t xml:space="preserve">: </w:t>
            </w:r>
          </w:p>
          <w:p w14:paraId="54219BE3" w14:textId="0C973CE0" w:rsidR="00503991" w:rsidRPr="002E0C32"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2E0C32">
              <w:rPr>
                <w:rFonts w:ascii="Times New Roman" w:hAnsi="Times New Roman" w:cs="Times New Roman"/>
                <w:color w:val="000000"/>
                <w:sz w:val="20"/>
                <w:szCs w:val="20"/>
              </w:rPr>
              <w:t xml:space="preserve">Antitrust Guidance and Other Meeting Policies:  </w:t>
            </w:r>
            <w:hyperlink r:id="rId10" w:history="1">
              <w:r w:rsidRPr="002E0C32">
                <w:rPr>
                  <w:rStyle w:val="Hyperlink"/>
                  <w:rFonts w:ascii="Times New Roman" w:hAnsi="Times New Roman"/>
                  <w:sz w:val="20"/>
                  <w:szCs w:val="20"/>
                </w:rPr>
                <w:t>http://www.naesb.org/misc/antitrust_guidance.doc</w:t>
              </w:r>
            </w:hyperlink>
            <w:r w:rsidR="00EC519F" w:rsidRPr="00EC519F">
              <w:rPr>
                <w:rStyle w:val="Hyperlink"/>
                <w:rFonts w:ascii="Times New Roman" w:hAnsi="Times New Roman"/>
                <w:sz w:val="20"/>
                <w:szCs w:val="20"/>
                <w:u w:val="none"/>
              </w:rPr>
              <w:t>.</w:t>
            </w:r>
          </w:p>
          <w:p w14:paraId="28664462" w14:textId="77777777" w:rsidR="00AD146C" w:rsidRPr="002E0C32" w:rsidRDefault="00835207" w:rsidP="00C220B1">
            <w:pPr>
              <w:spacing w:before="60" w:after="60"/>
              <w:rPr>
                <w:rStyle w:val="Hyperlink"/>
                <w:b/>
                <w:color w:val="auto"/>
                <w:u w:val="none"/>
              </w:rPr>
            </w:pPr>
            <w:r w:rsidRPr="002E0C32">
              <w:rPr>
                <w:rStyle w:val="Hyperlink"/>
                <w:b/>
                <w:color w:val="auto"/>
                <w:u w:val="none"/>
              </w:rPr>
              <w:t>Meeting Materials</w:t>
            </w:r>
          </w:p>
          <w:p w14:paraId="14976AC4" w14:textId="7D30E6F4" w:rsidR="002E0C32" w:rsidRPr="002E0C32" w:rsidRDefault="002E0C32" w:rsidP="002E0C32">
            <w:pPr>
              <w:pStyle w:val="ListParagraph"/>
              <w:numPr>
                <w:ilvl w:val="0"/>
                <w:numId w:val="1"/>
              </w:numPr>
              <w:spacing w:before="60" w:after="60"/>
              <w:rPr>
                <w:rFonts w:ascii="Times New Roman" w:hAnsi="Times New Roman" w:cs="Times New Roman"/>
                <w:color w:val="000000"/>
                <w:sz w:val="20"/>
                <w:szCs w:val="20"/>
              </w:rPr>
            </w:pPr>
            <w:r w:rsidRPr="002E0C32">
              <w:rPr>
                <w:rFonts w:ascii="Times New Roman" w:hAnsi="Times New Roman" w:cs="Times New Roman"/>
                <w:color w:val="000000"/>
                <w:sz w:val="20"/>
                <w:szCs w:val="20"/>
              </w:rPr>
              <w:t>Argonne National Laboratory Presentation:</w:t>
            </w:r>
            <w:r w:rsidRPr="002E0C32">
              <w:rPr>
                <w:rFonts w:ascii="Times New Roman" w:hAnsi="Times New Roman" w:cs="Times New Roman"/>
              </w:rPr>
              <w:t xml:space="preserve"> </w:t>
            </w:r>
            <w:hyperlink r:id="rId11" w:history="1">
              <w:r w:rsidRPr="002E0C32">
                <w:rPr>
                  <w:rStyle w:val="Hyperlink"/>
                  <w:rFonts w:ascii="Times New Roman" w:hAnsi="Times New Roman"/>
                  <w:sz w:val="20"/>
                  <w:szCs w:val="20"/>
                </w:rPr>
                <w:t>https://naesb.org/pdf4/geh061623w2.pdf</w:t>
              </w:r>
            </w:hyperlink>
            <w:r w:rsidR="00EC519F" w:rsidRPr="00EC519F">
              <w:t>.</w:t>
            </w:r>
          </w:p>
          <w:p w14:paraId="1E1AF9D1" w14:textId="2953A909" w:rsidR="00B83365" w:rsidRPr="002E0C32" w:rsidRDefault="002E0C32" w:rsidP="002E0C32">
            <w:pPr>
              <w:pStyle w:val="ListParagraph"/>
              <w:numPr>
                <w:ilvl w:val="0"/>
                <w:numId w:val="1"/>
              </w:numPr>
              <w:spacing w:before="60" w:after="60"/>
              <w:rPr>
                <w:rFonts w:ascii="Times New Roman" w:hAnsi="Times New Roman" w:cs="Times New Roman"/>
                <w:color w:val="000000"/>
                <w:sz w:val="20"/>
                <w:szCs w:val="20"/>
              </w:rPr>
            </w:pPr>
            <w:r w:rsidRPr="002E0C32">
              <w:rPr>
                <w:rFonts w:ascii="Times New Roman" w:hAnsi="Times New Roman" w:cs="Times New Roman"/>
                <w:color w:val="000000"/>
                <w:sz w:val="20"/>
                <w:szCs w:val="20"/>
              </w:rPr>
              <w:t xml:space="preserve">NAESB GEH Forum Chairs’ Strawman Recommendation: </w:t>
            </w:r>
            <w:hyperlink r:id="rId12" w:history="1">
              <w:r w:rsidRPr="002E0C32">
                <w:rPr>
                  <w:rStyle w:val="Hyperlink"/>
                  <w:rFonts w:ascii="Times New Roman" w:hAnsi="Times New Roman"/>
                  <w:sz w:val="20"/>
                  <w:szCs w:val="20"/>
                </w:rPr>
                <w:t>https://naesb.org/pdf4/geh061623w1.doc</w:t>
              </w:r>
            </w:hyperlink>
            <w:r w:rsidRPr="00EC519F">
              <w:rPr>
                <w:rFonts w:ascii="Times New Roman" w:hAnsi="Times New Roman" w:cs="Times New Roman"/>
                <w:sz w:val="20"/>
                <w:szCs w:val="20"/>
              </w:rPr>
              <w:t>.</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65FBF37A" w:rsidR="000858F5" w:rsidRPr="002E0C32" w:rsidRDefault="000858F5" w:rsidP="002E0C32">
            <w:pPr>
              <w:pStyle w:val="ListParagraph"/>
              <w:numPr>
                <w:ilvl w:val="0"/>
                <w:numId w:val="14"/>
              </w:numPr>
              <w:spacing w:before="120" w:after="60"/>
              <w:rPr>
                <w:rFonts w:ascii="Times New Roman" w:hAnsi="Times New Roman" w:cs="Times New Roman"/>
                <w:b/>
                <w:sz w:val="20"/>
                <w:szCs w:val="20"/>
              </w:rPr>
            </w:pPr>
            <w:r w:rsidRPr="002E0C32">
              <w:rPr>
                <w:rFonts w:ascii="Times New Roman" w:hAnsi="Times New Roman" w:cs="Times New Roman"/>
                <w:bCs/>
                <w:sz w:val="20"/>
                <w:szCs w:val="20"/>
              </w:rPr>
              <w:t>Please see the posted participant attendance record:</w:t>
            </w:r>
            <w:r w:rsidRPr="00EC519F">
              <w:rPr>
                <w:rFonts w:ascii="Times New Roman" w:hAnsi="Times New Roman" w:cs="Times New Roman"/>
                <w:bCs/>
                <w:sz w:val="20"/>
                <w:szCs w:val="20"/>
              </w:rPr>
              <w:t xml:space="preserve"> </w:t>
            </w:r>
            <w:hyperlink r:id="rId13" w:history="1">
              <w:r w:rsidR="002E0C32" w:rsidRPr="002E0C32">
                <w:rPr>
                  <w:rStyle w:val="Hyperlink"/>
                  <w:rFonts w:ascii="Times New Roman" w:hAnsi="Times New Roman"/>
                  <w:sz w:val="20"/>
                  <w:szCs w:val="20"/>
                </w:rPr>
                <w:t>https://naesb.org/pdf4/geh061623a2.docx</w:t>
              </w:r>
            </w:hyperlink>
            <w:r w:rsidR="002E0C32" w:rsidRPr="00EC519F">
              <w:rPr>
                <w:rFonts w:ascii="Times New Roman" w:hAnsi="Times New Roman" w:cs="Times New Roman"/>
                <w:sz w:val="20"/>
                <w:szCs w:val="20"/>
              </w:rPr>
              <w:t>.</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14"/>
      <w:footerReference w:type="default" r:id="rId15"/>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36F1" w14:textId="77777777" w:rsidR="00E92EED" w:rsidRDefault="00E92EED">
      <w:r>
        <w:separator/>
      </w:r>
    </w:p>
  </w:endnote>
  <w:endnote w:type="continuationSeparator" w:id="0">
    <w:p w14:paraId="300999FE" w14:textId="77777777" w:rsidR="00E92EED" w:rsidRDefault="00E9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7C96AC5B" w:rsidR="00680D5B" w:rsidRDefault="00680D5B">
    <w:pPr>
      <w:pStyle w:val="Footer"/>
      <w:pBdr>
        <w:top w:val="single" w:sz="18" w:space="1" w:color="auto"/>
      </w:pBdr>
      <w:jc w:val="right"/>
    </w:pPr>
    <w:r>
      <w:t xml:space="preserve">NAESB Gas-Electric Harmonization Forum Staff Notes – </w:t>
    </w:r>
    <w:r w:rsidR="004A0BB2">
      <w:t>June 16,</w:t>
    </w:r>
    <w:r w:rsidR="007A5CB9">
      <w:t xml:space="preserve">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BC6CA" w14:textId="77777777" w:rsidR="00E92EED" w:rsidRDefault="00E92EED">
      <w:r>
        <w:separator/>
      </w:r>
    </w:p>
  </w:footnote>
  <w:footnote w:type="continuationSeparator" w:id="0">
    <w:p w14:paraId="4EE3BC5D" w14:textId="77777777" w:rsidR="00E92EED" w:rsidRDefault="00E92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r>
      <w:rPr>
        <w:lang w:val="fr-FR"/>
      </w:rPr>
      <w:t>Phone: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5029A"/>
    <w:multiLevelType w:val="hybridMultilevel"/>
    <w:tmpl w:val="18B4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A27B8"/>
    <w:multiLevelType w:val="hybridMultilevel"/>
    <w:tmpl w:val="ACCEFE7A"/>
    <w:lvl w:ilvl="0" w:tplc="B8CA9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716110">
    <w:abstractNumId w:val="6"/>
  </w:num>
  <w:num w:numId="2" w16cid:durableId="1902211424">
    <w:abstractNumId w:val="4"/>
  </w:num>
  <w:num w:numId="3" w16cid:durableId="726270858">
    <w:abstractNumId w:val="9"/>
  </w:num>
  <w:num w:numId="4" w16cid:durableId="1875074418">
    <w:abstractNumId w:val="0"/>
  </w:num>
  <w:num w:numId="5" w16cid:durableId="875770794">
    <w:abstractNumId w:val="11"/>
  </w:num>
  <w:num w:numId="6" w16cid:durableId="1578591644">
    <w:abstractNumId w:val="5"/>
  </w:num>
  <w:num w:numId="7" w16cid:durableId="933325856">
    <w:abstractNumId w:val="8"/>
  </w:num>
  <w:num w:numId="8" w16cid:durableId="891191007">
    <w:abstractNumId w:val="2"/>
  </w:num>
  <w:num w:numId="9" w16cid:durableId="1624116844">
    <w:abstractNumId w:val="5"/>
  </w:num>
  <w:num w:numId="10" w16cid:durableId="387150634">
    <w:abstractNumId w:val="10"/>
  </w:num>
  <w:num w:numId="11" w16cid:durableId="5533207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7799966">
    <w:abstractNumId w:val="3"/>
  </w:num>
  <w:num w:numId="13" w16cid:durableId="658653268">
    <w:abstractNumId w:val="7"/>
  </w:num>
  <w:num w:numId="14" w16cid:durableId="70641610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057DE"/>
    <w:rsid w:val="0001185A"/>
    <w:rsid w:val="00011FA5"/>
    <w:rsid w:val="00012167"/>
    <w:rsid w:val="00013647"/>
    <w:rsid w:val="000145AA"/>
    <w:rsid w:val="00014FC5"/>
    <w:rsid w:val="00015484"/>
    <w:rsid w:val="00017B56"/>
    <w:rsid w:val="00017E73"/>
    <w:rsid w:val="0002033B"/>
    <w:rsid w:val="00021729"/>
    <w:rsid w:val="00021933"/>
    <w:rsid w:val="00024992"/>
    <w:rsid w:val="00025DA9"/>
    <w:rsid w:val="000261AD"/>
    <w:rsid w:val="000268CC"/>
    <w:rsid w:val="000278BF"/>
    <w:rsid w:val="00030643"/>
    <w:rsid w:val="00030FC1"/>
    <w:rsid w:val="0003195C"/>
    <w:rsid w:val="00032477"/>
    <w:rsid w:val="000341BD"/>
    <w:rsid w:val="00034719"/>
    <w:rsid w:val="00035840"/>
    <w:rsid w:val="00035B92"/>
    <w:rsid w:val="0003649B"/>
    <w:rsid w:val="00040E7D"/>
    <w:rsid w:val="000418F5"/>
    <w:rsid w:val="00041F48"/>
    <w:rsid w:val="00042E6E"/>
    <w:rsid w:val="00044F62"/>
    <w:rsid w:val="00047687"/>
    <w:rsid w:val="00050256"/>
    <w:rsid w:val="0005030F"/>
    <w:rsid w:val="00050526"/>
    <w:rsid w:val="00051A97"/>
    <w:rsid w:val="00053050"/>
    <w:rsid w:val="000539F6"/>
    <w:rsid w:val="00054F75"/>
    <w:rsid w:val="00060AE3"/>
    <w:rsid w:val="00061FFA"/>
    <w:rsid w:val="00062835"/>
    <w:rsid w:val="000635AC"/>
    <w:rsid w:val="00065D41"/>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157C"/>
    <w:rsid w:val="000A1EDB"/>
    <w:rsid w:val="000A29E9"/>
    <w:rsid w:val="000A2BB9"/>
    <w:rsid w:val="000A43B2"/>
    <w:rsid w:val="000A5B50"/>
    <w:rsid w:val="000A7F4B"/>
    <w:rsid w:val="000B0498"/>
    <w:rsid w:val="000B22ED"/>
    <w:rsid w:val="000B2C38"/>
    <w:rsid w:val="000B2C57"/>
    <w:rsid w:val="000B3411"/>
    <w:rsid w:val="000B4D0C"/>
    <w:rsid w:val="000B67BE"/>
    <w:rsid w:val="000B68BD"/>
    <w:rsid w:val="000C0418"/>
    <w:rsid w:val="000C23A9"/>
    <w:rsid w:val="000C2A69"/>
    <w:rsid w:val="000C3BC5"/>
    <w:rsid w:val="000C6C9B"/>
    <w:rsid w:val="000D08BD"/>
    <w:rsid w:val="000D1F0F"/>
    <w:rsid w:val="000D3E29"/>
    <w:rsid w:val="000D48DB"/>
    <w:rsid w:val="000D583E"/>
    <w:rsid w:val="000E0E94"/>
    <w:rsid w:val="000E3A30"/>
    <w:rsid w:val="000E48C0"/>
    <w:rsid w:val="000F03C7"/>
    <w:rsid w:val="000F09A0"/>
    <w:rsid w:val="000F272E"/>
    <w:rsid w:val="000F40B0"/>
    <w:rsid w:val="000F4DE5"/>
    <w:rsid w:val="000F4FF1"/>
    <w:rsid w:val="001041D2"/>
    <w:rsid w:val="001047AA"/>
    <w:rsid w:val="00105A35"/>
    <w:rsid w:val="001103A3"/>
    <w:rsid w:val="00112476"/>
    <w:rsid w:val="00113465"/>
    <w:rsid w:val="00113B87"/>
    <w:rsid w:val="0011578A"/>
    <w:rsid w:val="00115B4D"/>
    <w:rsid w:val="00116B25"/>
    <w:rsid w:val="00116ECA"/>
    <w:rsid w:val="00120A8F"/>
    <w:rsid w:val="00121496"/>
    <w:rsid w:val="00125ECC"/>
    <w:rsid w:val="00131C5F"/>
    <w:rsid w:val="00133574"/>
    <w:rsid w:val="00137DD9"/>
    <w:rsid w:val="00137EA8"/>
    <w:rsid w:val="00147FC4"/>
    <w:rsid w:val="001502B0"/>
    <w:rsid w:val="001505E2"/>
    <w:rsid w:val="00153A24"/>
    <w:rsid w:val="00153E34"/>
    <w:rsid w:val="0015424D"/>
    <w:rsid w:val="00154A7F"/>
    <w:rsid w:val="00156E6B"/>
    <w:rsid w:val="0015761F"/>
    <w:rsid w:val="001600D7"/>
    <w:rsid w:val="00160C0D"/>
    <w:rsid w:val="001625A8"/>
    <w:rsid w:val="00163192"/>
    <w:rsid w:val="00163632"/>
    <w:rsid w:val="0016475B"/>
    <w:rsid w:val="00167F92"/>
    <w:rsid w:val="00171035"/>
    <w:rsid w:val="00176CE9"/>
    <w:rsid w:val="001776AF"/>
    <w:rsid w:val="00180238"/>
    <w:rsid w:val="0018331A"/>
    <w:rsid w:val="001859E4"/>
    <w:rsid w:val="00185C2B"/>
    <w:rsid w:val="00186A29"/>
    <w:rsid w:val="001913CF"/>
    <w:rsid w:val="001922F4"/>
    <w:rsid w:val="00192D62"/>
    <w:rsid w:val="001949E6"/>
    <w:rsid w:val="00194A0D"/>
    <w:rsid w:val="001953C9"/>
    <w:rsid w:val="001954EE"/>
    <w:rsid w:val="001A096A"/>
    <w:rsid w:val="001A33E6"/>
    <w:rsid w:val="001A48EC"/>
    <w:rsid w:val="001A5DA6"/>
    <w:rsid w:val="001A7B94"/>
    <w:rsid w:val="001A7C85"/>
    <w:rsid w:val="001B143B"/>
    <w:rsid w:val="001B4079"/>
    <w:rsid w:val="001B4F19"/>
    <w:rsid w:val="001B5683"/>
    <w:rsid w:val="001C1F9A"/>
    <w:rsid w:val="001C6C9F"/>
    <w:rsid w:val="001C739C"/>
    <w:rsid w:val="001D1865"/>
    <w:rsid w:val="001D37DD"/>
    <w:rsid w:val="001D4819"/>
    <w:rsid w:val="001D57C6"/>
    <w:rsid w:val="001D6675"/>
    <w:rsid w:val="001E0F44"/>
    <w:rsid w:val="001E69D9"/>
    <w:rsid w:val="001E7AC3"/>
    <w:rsid w:val="001F050F"/>
    <w:rsid w:val="001F0D87"/>
    <w:rsid w:val="001F1FFF"/>
    <w:rsid w:val="001F4C45"/>
    <w:rsid w:val="0020040C"/>
    <w:rsid w:val="00200674"/>
    <w:rsid w:val="00200885"/>
    <w:rsid w:val="00201C76"/>
    <w:rsid w:val="002056BF"/>
    <w:rsid w:val="002062CB"/>
    <w:rsid w:val="002066E7"/>
    <w:rsid w:val="00206CE5"/>
    <w:rsid w:val="00207501"/>
    <w:rsid w:val="00207710"/>
    <w:rsid w:val="00207796"/>
    <w:rsid w:val="00213FCF"/>
    <w:rsid w:val="002140EE"/>
    <w:rsid w:val="002172FF"/>
    <w:rsid w:val="00217A94"/>
    <w:rsid w:val="00220A7E"/>
    <w:rsid w:val="00221984"/>
    <w:rsid w:val="002223D6"/>
    <w:rsid w:val="00223F42"/>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64765"/>
    <w:rsid w:val="00271C81"/>
    <w:rsid w:val="0027443D"/>
    <w:rsid w:val="002800A7"/>
    <w:rsid w:val="00285298"/>
    <w:rsid w:val="002876AC"/>
    <w:rsid w:val="00290071"/>
    <w:rsid w:val="002902D6"/>
    <w:rsid w:val="002915F2"/>
    <w:rsid w:val="00292647"/>
    <w:rsid w:val="00292731"/>
    <w:rsid w:val="002934F0"/>
    <w:rsid w:val="0029383C"/>
    <w:rsid w:val="00294263"/>
    <w:rsid w:val="00294E14"/>
    <w:rsid w:val="00297A25"/>
    <w:rsid w:val="002A0E29"/>
    <w:rsid w:val="002A0F1D"/>
    <w:rsid w:val="002A1232"/>
    <w:rsid w:val="002A1981"/>
    <w:rsid w:val="002A3457"/>
    <w:rsid w:val="002A467E"/>
    <w:rsid w:val="002A5287"/>
    <w:rsid w:val="002A5C6D"/>
    <w:rsid w:val="002A6E68"/>
    <w:rsid w:val="002B167C"/>
    <w:rsid w:val="002B527F"/>
    <w:rsid w:val="002B7DAF"/>
    <w:rsid w:val="002C0C09"/>
    <w:rsid w:val="002C3B25"/>
    <w:rsid w:val="002C501A"/>
    <w:rsid w:val="002C5BEF"/>
    <w:rsid w:val="002C61DC"/>
    <w:rsid w:val="002C7D7E"/>
    <w:rsid w:val="002D081F"/>
    <w:rsid w:val="002D1041"/>
    <w:rsid w:val="002D1DCE"/>
    <w:rsid w:val="002D23D1"/>
    <w:rsid w:val="002D243E"/>
    <w:rsid w:val="002D2537"/>
    <w:rsid w:val="002D2CC2"/>
    <w:rsid w:val="002D418A"/>
    <w:rsid w:val="002D49A3"/>
    <w:rsid w:val="002E0C32"/>
    <w:rsid w:val="002E13A8"/>
    <w:rsid w:val="002E1CB5"/>
    <w:rsid w:val="002E272A"/>
    <w:rsid w:val="002E29EC"/>
    <w:rsid w:val="002E59B1"/>
    <w:rsid w:val="002E7122"/>
    <w:rsid w:val="002F0E1E"/>
    <w:rsid w:val="002F1F4B"/>
    <w:rsid w:val="002F5806"/>
    <w:rsid w:val="002F6EB2"/>
    <w:rsid w:val="002F77BF"/>
    <w:rsid w:val="00300040"/>
    <w:rsid w:val="003072A5"/>
    <w:rsid w:val="00312863"/>
    <w:rsid w:val="00314982"/>
    <w:rsid w:val="00316A19"/>
    <w:rsid w:val="00323C49"/>
    <w:rsid w:val="00324CB5"/>
    <w:rsid w:val="00324F5F"/>
    <w:rsid w:val="00325CC6"/>
    <w:rsid w:val="00327E92"/>
    <w:rsid w:val="00330EE1"/>
    <w:rsid w:val="003310C6"/>
    <w:rsid w:val="003339B1"/>
    <w:rsid w:val="003353C3"/>
    <w:rsid w:val="00335F4F"/>
    <w:rsid w:val="00337F42"/>
    <w:rsid w:val="00341B8B"/>
    <w:rsid w:val="0034301B"/>
    <w:rsid w:val="00344DF3"/>
    <w:rsid w:val="00345E46"/>
    <w:rsid w:val="0034639B"/>
    <w:rsid w:val="003468F9"/>
    <w:rsid w:val="00350889"/>
    <w:rsid w:val="00357A17"/>
    <w:rsid w:val="003621CC"/>
    <w:rsid w:val="00365EF0"/>
    <w:rsid w:val="00367B36"/>
    <w:rsid w:val="00367D5C"/>
    <w:rsid w:val="00375C3F"/>
    <w:rsid w:val="00376F58"/>
    <w:rsid w:val="003835A6"/>
    <w:rsid w:val="003843F1"/>
    <w:rsid w:val="00385998"/>
    <w:rsid w:val="0038645F"/>
    <w:rsid w:val="003869FA"/>
    <w:rsid w:val="003879F2"/>
    <w:rsid w:val="0039157F"/>
    <w:rsid w:val="003925E5"/>
    <w:rsid w:val="00396FD0"/>
    <w:rsid w:val="003A038B"/>
    <w:rsid w:val="003A072A"/>
    <w:rsid w:val="003A2391"/>
    <w:rsid w:val="003A23C4"/>
    <w:rsid w:val="003A3A47"/>
    <w:rsid w:val="003A4342"/>
    <w:rsid w:val="003A5683"/>
    <w:rsid w:val="003A5CA0"/>
    <w:rsid w:val="003A648B"/>
    <w:rsid w:val="003A69F3"/>
    <w:rsid w:val="003B02B2"/>
    <w:rsid w:val="003B170F"/>
    <w:rsid w:val="003B25B9"/>
    <w:rsid w:val="003B4C10"/>
    <w:rsid w:val="003C11BD"/>
    <w:rsid w:val="003C20B5"/>
    <w:rsid w:val="003C3968"/>
    <w:rsid w:val="003C4EB7"/>
    <w:rsid w:val="003C56F4"/>
    <w:rsid w:val="003C61C4"/>
    <w:rsid w:val="003D52A8"/>
    <w:rsid w:val="003D6DD0"/>
    <w:rsid w:val="003E1BC1"/>
    <w:rsid w:val="003E3AA7"/>
    <w:rsid w:val="003E3BCD"/>
    <w:rsid w:val="003E3C80"/>
    <w:rsid w:val="003E4CF5"/>
    <w:rsid w:val="003E6CE0"/>
    <w:rsid w:val="003F03DF"/>
    <w:rsid w:val="003F1937"/>
    <w:rsid w:val="003F19E7"/>
    <w:rsid w:val="003F264E"/>
    <w:rsid w:val="00400735"/>
    <w:rsid w:val="00401A41"/>
    <w:rsid w:val="004027B0"/>
    <w:rsid w:val="0040345D"/>
    <w:rsid w:val="00404BE5"/>
    <w:rsid w:val="00404C8A"/>
    <w:rsid w:val="00406A85"/>
    <w:rsid w:val="004078DC"/>
    <w:rsid w:val="004118C1"/>
    <w:rsid w:val="00413A2A"/>
    <w:rsid w:val="0041577E"/>
    <w:rsid w:val="00423D94"/>
    <w:rsid w:val="004263AA"/>
    <w:rsid w:val="004271B4"/>
    <w:rsid w:val="004303DE"/>
    <w:rsid w:val="00433852"/>
    <w:rsid w:val="00434A28"/>
    <w:rsid w:val="00435735"/>
    <w:rsid w:val="004361B6"/>
    <w:rsid w:val="0044068F"/>
    <w:rsid w:val="0044335F"/>
    <w:rsid w:val="00443F91"/>
    <w:rsid w:val="00445756"/>
    <w:rsid w:val="00446B94"/>
    <w:rsid w:val="00453FD1"/>
    <w:rsid w:val="004553BA"/>
    <w:rsid w:val="00456A32"/>
    <w:rsid w:val="004611DC"/>
    <w:rsid w:val="0046154A"/>
    <w:rsid w:val="00465045"/>
    <w:rsid w:val="004667C2"/>
    <w:rsid w:val="00466963"/>
    <w:rsid w:val="00466C5E"/>
    <w:rsid w:val="00472DBF"/>
    <w:rsid w:val="004741BA"/>
    <w:rsid w:val="00475704"/>
    <w:rsid w:val="004767EE"/>
    <w:rsid w:val="0048022B"/>
    <w:rsid w:val="00482B21"/>
    <w:rsid w:val="00483AE1"/>
    <w:rsid w:val="004840C0"/>
    <w:rsid w:val="00484314"/>
    <w:rsid w:val="00485635"/>
    <w:rsid w:val="00490D75"/>
    <w:rsid w:val="00493C36"/>
    <w:rsid w:val="00494104"/>
    <w:rsid w:val="00497B54"/>
    <w:rsid w:val="004A0BB2"/>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1A8B"/>
    <w:rsid w:val="004F219E"/>
    <w:rsid w:val="004F30F8"/>
    <w:rsid w:val="004F4CA6"/>
    <w:rsid w:val="004F7978"/>
    <w:rsid w:val="00500EA6"/>
    <w:rsid w:val="0050184E"/>
    <w:rsid w:val="00503991"/>
    <w:rsid w:val="00506F55"/>
    <w:rsid w:val="00507E4E"/>
    <w:rsid w:val="00507FA9"/>
    <w:rsid w:val="0051002C"/>
    <w:rsid w:val="00510337"/>
    <w:rsid w:val="0051155F"/>
    <w:rsid w:val="00512B76"/>
    <w:rsid w:val="00515C3F"/>
    <w:rsid w:val="005160EE"/>
    <w:rsid w:val="00522BB6"/>
    <w:rsid w:val="005236AB"/>
    <w:rsid w:val="005236B7"/>
    <w:rsid w:val="00523DDE"/>
    <w:rsid w:val="0052731E"/>
    <w:rsid w:val="00530E02"/>
    <w:rsid w:val="005339E5"/>
    <w:rsid w:val="00533A15"/>
    <w:rsid w:val="00533B87"/>
    <w:rsid w:val="00533BD5"/>
    <w:rsid w:val="00535637"/>
    <w:rsid w:val="005404DE"/>
    <w:rsid w:val="00540F12"/>
    <w:rsid w:val="00542123"/>
    <w:rsid w:val="00542CC7"/>
    <w:rsid w:val="00544514"/>
    <w:rsid w:val="00544E40"/>
    <w:rsid w:val="005474AD"/>
    <w:rsid w:val="00552B90"/>
    <w:rsid w:val="00554313"/>
    <w:rsid w:val="00554E35"/>
    <w:rsid w:val="005551B4"/>
    <w:rsid w:val="00560076"/>
    <w:rsid w:val="00561474"/>
    <w:rsid w:val="0056406C"/>
    <w:rsid w:val="0056423E"/>
    <w:rsid w:val="00564347"/>
    <w:rsid w:val="005647E3"/>
    <w:rsid w:val="0056527A"/>
    <w:rsid w:val="00567D2E"/>
    <w:rsid w:val="00567E78"/>
    <w:rsid w:val="005717F0"/>
    <w:rsid w:val="0057426A"/>
    <w:rsid w:val="00574FF9"/>
    <w:rsid w:val="00575FE4"/>
    <w:rsid w:val="00577687"/>
    <w:rsid w:val="00581DC8"/>
    <w:rsid w:val="0058401F"/>
    <w:rsid w:val="00585112"/>
    <w:rsid w:val="0058554C"/>
    <w:rsid w:val="0059297D"/>
    <w:rsid w:val="00593D6A"/>
    <w:rsid w:val="0059499F"/>
    <w:rsid w:val="00596CBA"/>
    <w:rsid w:val="005A0147"/>
    <w:rsid w:val="005A0C1C"/>
    <w:rsid w:val="005A0E19"/>
    <w:rsid w:val="005A0FD5"/>
    <w:rsid w:val="005A1EBA"/>
    <w:rsid w:val="005A35F6"/>
    <w:rsid w:val="005A5A5C"/>
    <w:rsid w:val="005A75B7"/>
    <w:rsid w:val="005B21E2"/>
    <w:rsid w:val="005B2E39"/>
    <w:rsid w:val="005B4B5F"/>
    <w:rsid w:val="005B68AB"/>
    <w:rsid w:val="005B707C"/>
    <w:rsid w:val="005B79C6"/>
    <w:rsid w:val="005C0CEA"/>
    <w:rsid w:val="005C21C3"/>
    <w:rsid w:val="005C3A01"/>
    <w:rsid w:val="005C5ED7"/>
    <w:rsid w:val="005C6470"/>
    <w:rsid w:val="005D0B6F"/>
    <w:rsid w:val="005D175A"/>
    <w:rsid w:val="005D2C95"/>
    <w:rsid w:val="005D4B1D"/>
    <w:rsid w:val="005D544A"/>
    <w:rsid w:val="005D7096"/>
    <w:rsid w:val="005D7FAF"/>
    <w:rsid w:val="005E1437"/>
    <w:rsid w:val="005E2E17"/>
    <w:rsid w:val="005E499E"/>
    <w:rsid w:val="005E4E1D"/>
    <w:rsid w:val="005E5473"/>
    <w:rsid w:val="005E5B61"/>
    <w:rsid w:val="005F037E"/>
    <w:rsid w:val="005F3D43"/>
    <w:rsid w:val="005F4164"/>
    <w:rsid w:val="005F7413"/>
    <w:rsid w:val="005F7B14"/>
    <w:rsid w:val="005F7C8B"/>
    <w:rsid w:val="0060198D"/>
    <w:rsid w:val="006077BB"/>
    <w:rsid w:val="00607B30"/>
    <w:rsid w:val="00612E72"/>
    <w:rsid w:val="006131D2"/>
    <w:rsid w:val="006222BC"/>
    <w:rsid w:val="006227D8"/>
    <w:rsid w:val="00622ECB"/>
    <w:rsid w:val="00623010"/>
    <w:rsid w:val="00631453"/>
    <w:rsid w:val="00631522"/>
    <w:rsid w:val="006315AA"/>
    <w:rsid w:val="00631F24"/>
    <w:rsid w:val="00632F43"/>
    <w:rsid w:val="00634D74"/>
    <w:rsid w:val="006359B2"/>
    <w:rsid w:val="00636089"/>
    <w:rsid w:val="00636E27"/>
    <w:rsid w:val="00637CD3"/>
    <w:rsid w:val="006416B9"/>
    <w:rsid w:val="00642587"/>
    <w:rsid w:val="006425F6"/>
    <w:rsid w:val="00643A27"/>
    <w:rsid w:val="00644C8C"/>
    <w:rsid w:val="00646EA9"/>
    <w:rsid w:val="00652898"/>
    <w:rsid w:val="0065779B"/>
    <w:rsid w:val="0066114C"/>
    <w:rsid w:val="00661401"/>
    <w:rsid w:val="0066190F"/>
    <w:rsid w:val="00662F02"/>
    <w:rsid w:val="0066471A"/>
    <w:rsid w:val="00664B3A"/>
    <w:rsid w:val="0066543C"/>
    <w:rsid w:val="0066578C"/>
    <w:rsid w:val="00665AAE"/>
    <w:rsid w:val="00666AB8"/>
    <w:rsid w:val="006671CD"/>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97329"/>
    <w:rsid w:val="006A00A1"/>
    <w:rsid w:val="006A3417"/>
    <w:rsid w:val="006A574F"/>
    <w:rsid w:val="006A6629"/>
    <w:rsid w:val="006A6B27"/>
    <w:rsid w:val="006B2BEB"/>
    <w:rsid w:val="006B2D07"/>
    <w:rsid w:val="006B3203"/>
    <w:rsid w:val="006B4290"/>
    <w:rsid w:val="006B4B30"/>
    <w:rsid w:val="006B5651"/>
    <w:rsid w:val="006B7877"/>
    <w:rsid w:val="006C1BA3"/>
    <w:rsid w:val="006C2D32"/>
    <w:rsid w:val="006C3946"/>
    <w:rsid w:val="006C3CE0"/>
    <w:rsid w:val="006C5364"/>
    <w:rsid w:val="006C5503"/>
    <w:rsid w:val="006C62DD"/>
    <w:rsid w:val="006C67B2"/>
    <w:rsid w:val="006C6FCE"/>
    <w:rsid w:val="006D14F6"/>
    <w:rsid w:val="006D1EAE"/>
    <w:rsid w:val="006D38CA"/>
    <w:rsid w:val="006D79E6"/>
    <w:rsid w:val="006E0BF9"/>
    <w:rsid w:val="006E22F4"/>
    <w:rsid w:val="006E29FA"/>
    <w:rsid w:val="006E7532"/>
    <w:rsid w:val="006F3B14"/>
    <w:rsid w:val="006F4339"/>
    <w:rsid w:val="006F6EB9"/>
    <w:rsid w:val="006F70E4"/>
    <w:rsid w:val="007038E1"/>
    <w:rsid w:val="007054B4"/>
    <w:rsid w:val="00706A27"/>
    <w:rsid w:val="00707EA8"/>
    <w:rsid w:val="007108D4"/>
    <w:rsid w:val="00713CDB"/>
    <w:rsid w:val="00714320"/>
    <w:rsid w:val="00723807"/>
    <w:rsid w:val="00725ACD"/>
    <w:rsid w:val="00726F46"/>
    <w:rsid w:val="00730AEA"/>
    <w:rsid w:val="00731D44"/>
    <w:rsid w:val="00732B8C"/>
    <w:rsid w:val="00733900"/>
    <w:rsid w:val="00733C3C"/>
    <w:rsid w:val="00734360"/>
    <w:rsid w:val="00735661"/>
    <w:rsid w:val="00737DD8"/>
    <w:rsid w:val="007411C4"/>
    <w:rsid w:val="00741BF7"/>
    <w:rsid w:val="00742CA2"/>
    <w:rsid w:val="007446FC"/>
    <w:rsid w:val="00745A57"/>
    <w:rsid w:val="00747227"/>
    <w:rsid w:val="0074726D"/>
    <w:rsid w:val="007506D5"/>
    <w:rsid w:val="007509F4"/>
    <w:rsid w:val="007526C1"/>
    <w:rsid w:val="00752A57"/>
    <w:rsid w:val="007532E6"/>
    <w:rsid w:val="00764426"/>
    <w:rsid w:val="007644F2"/>
    <w:rsid w:val="0076480A"/>
    <w:rsid w:val="00766744"/>
    <w:rsid w:val="00770ECA"/>
    <w:rsid w:val="00770FDD"/>
    <w:rsid w:val="0077211C"/>
    <w:rsid w:val="00772999"/>
    <w:rsid w:val="007739E6"/>
    <w:rsid w:val="00774881"/>
    <w:rsid w:val="0077652A"/>
    <w:rsid w:val="0077659A"/>
    <w:rsid w:val="007811F9"/>
    <w:rsid w:val="0078415C"/>
    <w:rsid w:val="00785645"/>
    <w:rsid w:val="00785CAE"/>
    <w:rsid w:val="00792473"/>
    <w:rsid w:val="00793841"/>
    <w:rsid w:val="00796E8A"/>
    <w:rsid w:val="007A06E4"/>
    <w:rsid w:val="007A0C55"/>
    <w:rsid w:val="007A2FB0"/>
    <w:rsid w:val="007A5CB9"/>
    <w:rsid w:val="007B396D"/>
    <w:rsid w:val="007B3D4F"/>
    <w:rsid w:val="007B6565"/>
    <w:rsid w:val="007B68AF"/>
    <w:rsid w:val="007B6EB2"/>
    <w:rsid w:val="007C1D97"/>
    <w:rsid w:val="007C2CD5"/>
    <w:rsid w:val="007C5119"/>
    <w:rsid w:val="007C5872"/>
    <w:rsid w:val="007C5C90"/>
    <w:rsid w:val="007C6EBE"/>
    <w:rsid w:val="007C7B50"/>
    <w:rsid w:val="007D071D"/>
    <w:rsid w:val="007D0768"/>
    <w:rsid w:val="007D43DF"/>
    <w:rsid w:val="007D6A4A"/>
    <w:rsid w:val="007D75CD"/>
    <w:rsid w:val="007E323B"/>
    <w:rsid w:val="007E3CC5"/>
    <w:rsid w:val="007E5DFB"/>
    <w:rsid w:val="007F1111"/>
    <w:rsid w:val="007F36CF"/>
    <w:rsid w:val="007F382C"/>
    <w:rsid w:val="007F410D"/>
    <w:rsid w:val="007F45E4"/>
    <w:rsid w:val="007F4ED5"/>
    <w:rsid w:val="008012ED"/>
    <w:rsid w:val="00804902"/>
    <w:rsid w:val="008056BA"/>
    <w:rsid w:val="00806555"/>
    <w:rsid w:val="0080721D"/>
    <w:rsid w:val="00814195"/>
    <w:rsid w:val="00821838"/>
    <w:rsid w:val="008236AF"/>
    <w:rsid w:val="008316A0"/>
    <w:rsid w:val="00834D5B"/>
    <w:rsid w:val="00835207"/>
    <w:rsid w:val="00844102"/>
    <w:rsid w:val="008451A8"/>
    <w:rsid w:val="0084604D"/>
    <w:rsid w:val="008508E3"/>
    <w:rsid w:val="0085323D"/>
    <w:rsid w:val="008541EA"/>
    <w:rsid w:val="0085540B"/>
    <w:rsid w:val="008630A3"/>
    <w:rsid w:val="00867AB1"/>
    <w:rsid w:val="00871193"/>
    <w:rsid w:val="00871291"/>
    <w:rsid w:val="00872CF2"/>
    <w:rsid w:val="00872D4F"/>
    <w:rsid w:val="00874FE2"/>
    <w:rsid w:val="008750A7"/>
    <w:rsid w:val="00875330"/>
    <w:rsid w:val="00875982"/>
    <w:rsid w:val="00875FAE"/>
    <w:rsid w:val="00877BC9"/>
    <w:rsid w:val="00880645"/>
    <w:rsid w:val="008837C8"/>
    <w:rsid w:val="00886BD7"/>
    <w:rsid w:val="008870EC"/>
    <w:rsid w:val="00887EFB"/>
    <w:rsid w:val="008971DB"/>
    <w:rsid w:val="008A0C8D"/>
    <w:rsid w:val="008A10B1"/>
    <w:rsid w:val="008A2013"/>
    <w:rsid w:val="008A53FE"/>
    <w:rsid w:val="008A7361"/>
    <w:rsid w:val="008B297B"/>
    <w:rsid w:val="008B657F"/>
    <w:rsid w:val="008C2B62"/>
    <w:rsid w:val="008C2FA7"/>
    <w:rsid w:val="008C32E4"/>
    <w:rsid w:val="008C37AD"/>
    <w:rsid w:val="008C3B22"/>
    <w:rsid w:val="008C59EF"/>
    <w:rsid w:val="008C5DFB"/>
    <w:rsid w:val="008D0612"/>
    <w:rsid w:val="008D0943"/>
    <w:rsid w:val="008D1E72"/>
    <w:rsid w:val="008D2A42"/>
    <w:rsid w:val="008D567D"/>
    <w:rsid w:val="008D5E58"/>
    <w:rsid w:val="008E1481"/>
    <w:rsid w:val="008E18C4"/>
    <w:rsid w:val="008E248F"/>
    <w:rsid w:val="008E52D0"/>
    <w:rsid w:val="008E7D53"/>
    <w:rsid w:val="008F0D75"/>
    <w:rsid w:val="008F1ED9"/>
    <w:rsid w:val="008F728E"/>
    <w:rsid w:val="00900248"/>
    <w:rsid w:val="00901B0D"/>
    <w:rsid w:val="009023AD"/>
    <w:rsid w:val="0090499D"/>
    <w:rsid w:val="00905AC9"/>
    <w:rsid w:val="0090640D"/>
    <w:rsid w:val="00906707"/>
    <w:rsid w:val="00910B61"/>
    <w:rsid w:val="00911B48"/>
    <w:rsid w:val="0091307A"/>
    <w:rsid w:val="00915A9F"/>
    <w:rsid w:val="00922D3F"/>
    <w:rsid w:val="00924078"/>
    <w:rsid w:val="00924577"/>
    <w:rsid w:val="00925B09"/>
    <w:rsid w:val="00926D4B"/>
    <w:rsid w:val="00927668"/>
    <w:rsid w:val="00930382"/>
    <w:rsid w:val="00931E68"/>
    <w:rsid w:val="009337A8"/>
    <w:rsid w:val="009369CD"/>
    <w:rsid w:val="009377A4"/>
    <w:rsid w:val="009404C4"/>
    <w:rsid w:val="009410A1"/>
    <w:rsid w:val="00942125"/>
    <w:rsid w:val="00942151"/>
    <w:rsid w:val="009431A1"/>
    <w:rsid w:val="0094335C"/>
    <w:rsid w:val="00947631"/>
    <w:rsid w:val="009501E4"/>
    <w:rsid w:val="009524C5"/>
    <w:rsid w:val="009554B0"/>
    <w:rsid w:val="00957C69"/>
    <w:rsid w:val="0096212E"/>
    <w:rsid w:val="0096293B"/>
    <w:rsid w:val="009633C3"/>
    <w:rsid w:val="00964B9F"/>
    <w:rsid w:val="00964D7E"/>
    <w:rsid w:val="00966440"/>
    <w:rsid w:val="00966E55"/>
    <w:rsid w:val="00970C8A"/>
    <w:rsid w:val="009731C5"/>
    <w:rsid w:val="00982367"/>
    <w:rsid w:val="00982C19"/>
    <w:rsid w:val="0098466C"/>
    <w:rsid w:val="009871F9"/>
    <w:rsid w:val="00992246"/>
    <w:rsid w:val="0099337D"/>
    <w:rsid w:val="00996E58"/>
    <w:rsid w:val="009A0B67"/>
    <w:rsid w:val="009A3473"/>
    <w:rsid w:val="009A4728"/>
    <w:rsid w:val="009A515B"/>
    <w:rsid w:val="009A7704"/>
    <w:rsid w:val="009B036E"/>
    <w:rsid w:val="009B0FF9"/>
    <w:rsid w:val="009B2357"/>
    <w:rsid w:val="009B365A"/>
    <w:rsid w:val="009B4615"/>
    <w:rsid w:val="009B7232"/>
    <w:rsid w:val="009B796D"/>
    <w:rsid w:val="009C1FE6"/>
    <w:rsid w:val="009C259C"/>
    <w:rsid w:val="009C5B39"/>
    <w:rsid w:val="009C77CE"/>
    <w:rsid w:val="009D10B8"/>
    <w:rsid w:val="009D1B05"/>
    <w:rsid w:val="009D3192"/>
    <w:rsid w:val="009D4F69"/>
    <w:rsid w:val="009D7ECD"/>
    <w:rsid w:val="009E02C7"/>
    <w:rsid w:val="009E11CF"/>
    <w:rsid w:val="009E4523"/>
    <w:rsid w:val="009E5EB0"/>
    <w:rsid w:val="009E6269"/>
    <w:rsid w:val="009E7277"/>
    <w:rsid w:val="009E7282"/>
    <w:rsid w:val="009F0F0F"/>
    <w:rsid w:val="009F196E"/>
    <w:rsid w:val="009F4A97"/>
    <w:rsid w:val="00A0596D"/>
    <w:rsid w:val="00A05E9C"/>
    <w:rsid w:val="00A11AE4"/>
    <w:rsid w:val="00A14AAA"/>
    <w:rsid w:val="00A14C6A"/>
    <w:rsid w:val="00A17E66"/>
    <w:rsid w:val="00A2168E"/>
    <w:rsid w:val="00A23B7A"/>
    <w:rsid w:val="00A23C43"/>
    <w:rsid w:val="00A25DF3"/>
    <w:rsid w:val="00A2606F"/>
    <w:rsid w:val="00A27101"/>
    <w:rsid w:val="00A27816"/>
    <w:rsid w:val="00A30AF2"/>
    <w:rsid w:val="00A30E4A"/>
    <w:rsid w:val="00A329BD"/>
    <w:rsid w:val="00A33EF1"/>
    <w:rsid w:val="00A33FA3"/>
    <w:rsid w:val="00A35262"/>
    <w:rsid w:val="00A413CF"/>
    <w:rsid w:val="00A414F2"/>
    <w:rsid w:val="00A42BB9"/>
    <w:rsid w:val="00A44AAE"/>
    <w:rsid w:val="00A54037"/>
    <w:rsid w:val="00A55D2B"/>
    <w:rsid w:val="00A56D18"/>
    <w:rsid w:val="00A579EE"/>
    <w:rsid w:val="00A60516"/>
    <w:rsid w:val="00A6183D"/>
    <w:rsid w:val="00A627B1"/>
    <w:rsid w:val="00A62998"/>
    <w:rsid w:val="00A65198"/>
    <w:rsid w:val="00A6591F"/>
    <w:rsid w:val="00A67ED3"/>
    <w:rsid w:val="00A70574"/>
    <w:rsid w:val="00A74236"/>
    <w:rsid w:val="00A7443B"/>
    <w:rsid w:val="00A74B4D"/>
    <w:rsid w:val="00A76814"/>
    <w:rsid w:val="00A77FC4"/>
    <w:rsid w:val="00A82980"/>
    <w:rsid w:val="00A82F62"/>
    <w:rsid w:val="00A83CE1"/>
    <w:rsid w:val="00A848DC"/>
    <w:rsid w:val="00A8492F"/>
    <w:rsid w:val="00A85B49"/>
    <w:rsid w:val="00A85E69"/>
    <w:rsid w:val="00A869D5"/>
    <w:rsid w:val="00A92A71"/>
    <w:rsid w:val="00A93E8A"/>
    <w:rsid w:val="00A94DE8"/>
    <w:rsid w:val="00A95BEB"/>
    <w:rsid w:val="00A95D15"/>
    <w:rsid w:val="00AA1287"/>
    <w:rsid w:val="00AA1850"/>
    <w:rsid w:val="00AA3170"/>
    <w:rsid w:val="00AA3E69"/>
    <w:rsid w:val="00AA3FBD"/>
    <w:rsid w:val="00AA49A8"/>
    <w:rsid w:val="00AA4B9E"/>
    <w:rsid w:val="00AA5A11"/>
    <w:rsid w:val="00AA606C"/>
    <w:rsid w:val="00AA78A5"/>
    <w:rsid w:val="00AA7D56"/>
    <w:rsid w:val="00AB04F8"/>
    <w:rsid w:val="00AB190D"/>
    <w:rsid w:val="00AB1CE2"/>
    <w:rsid w:val="00AB3A58"/>
    <w:rsid w:val="00AB688E"/>
    <w:rsid w:val="00AB78B5"/>
    <w:rsid w:val="00AB7BAB"/>
    <w:rsid w:val="00AB7CF6"/>
    <w:rsid w:val="00AC0B06"/>
    <w:rsid w:val="00AC3974"/>
    <w:rsid w:val="00AC40B2"/>
    <w:rsid w:val="00AC45D6"/>
    <w:rsid w:val="00AC6AA6"/>
    <w:rsid w:val="00AC797A"/>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16C8"/>
    <w:rsid w:val="00B11A4B"/>
    <w:rsid w:val="00B13EB7"/>
    <w:rsid w:val="00B14239"/>
    <w:rsid w:val="00B15495"/>
    <w:rsid w:val="00B17911"/>
    <w:rsid w:val="00B2107E"/>
    <w:rsid w:val="00B21E85"/>
    <w:rsid w:val="00B22EB8"/>
    <w:rsid w:val="00B23F02"/>
    <w:rsid w:val="00B262A0"/>
    <w:rsid w:val="00B27079"/>
    <w:rsid w:val="00B35C2C"/>
    <w:rsid w:val="00B3624F"/>
    <w:rsid w:val="00B41E2E"/>
    <w:rsid w:val="00B422A9"/>
    <w:rsid w:val="00B44CF5"/>
    <w:rsid w:val="00B46E5A"/>
    <w:rsid w:val="00B47779"/>
    <w:rsid w:val="00B503D5"/>
    <w:rsid w:val="00B50503"/>
    <w:rsid w:val="00B52287"/>
    <w:rsid w:val="00B522CE"/>
    <w:rsid w:val="00B5247D"/>
    <w:rsid w:val="00B533A6"/>
    <w:rsid w:val="00B60427"/>
    <w:rsid w:val="00B6058B"/>
    <w:rsid w:val="00B6095E"/>
    <w:rsid w:val="00B61055"/>
    <w:rsid w:val="00B61391"/>
    <w:rsid w:val="00B64B8B"/>
    <w:rsid w:val="00B65056"/>
    <w:rsid w:val="00B65423"/>
    <w:rsid w:val="00B7010F"/>
    <w:rsid w:val="00B72E43"/>
    <w:rsid w:val="00B7360B"/>
    <w:rsid w:val="00B75534"/>
    <w:rsid w:val="00B75E82"/>
    <w:rsid w:val="00B776EA"/>
    <w:rsid w:val="00B82B69"/>
    <w:rsid w:val="00B83365"/>
    <w:rsid w:val="00B90E6B"/>
    <w:rsid w:val="00B9456C"/>
    <w:rsid w:val="00B95253"/>
    <w:rsid w:val="00B955C3"/>
    <w:rsid w:val="00B96E4D"/>
    <w:rsid w:val="00B97A03"/>
    <w:rsid w:val="00BA03C3"/>
    <w:rsid w:val="00BA06D0"/>
    <w:rsid w:val="00BA0845"/>
    <w:rsid w:val="00BA2328"/>
    <w:rsid w:val="00BA3FD0"/>
    <w:rsid w:val="00BA431E"/>
    <w:rsid w:val="00BA466B"/>
    <w:rsid w:val="00BA6AD0"/>
    <w:rsid w:val="00BA7BF2"/>
    <w:rsid w:val="00BB3395"/>
    <w:rsid w:val="00BB3DF2"/>
    <w:rsid w:val="00BB469B"/>
    <w:rsid w:val="00BB5450"/>
    <w:rsid w:val="00BB57F2"/>
    <w:rsid w:val="00BB6634"/>
    <w:rsid w:val="00BC1479"/>
    <w:rsid w:val="00BC1862"/>
    <w:rsid w:val="00BC239E"/>
    <w:rsid w:val="00BC439B"/>
    <w:rsid w:val="00BC74DE"/>
    <w:rsid w:val="00BD0291"/>
    <w:rsid w:val="00BD2A5E"/>
    <w:rsid w:val="00BD43A7"/>
    <w:rsid w:val="00BD7D7C"/>
    <w:rsid w:val="00BE0646"/>
    <w:rsid w:val="00BE25C4"/>
    <w:rsid w:val="00BE3A37"/>
    <w:rsid w:val="00BE3FB0"/>
    <w:rsid w:val="00BE49DA"/>
    <w:rsid w:val="00BE6EEB"/>
    <w:rsid w:val="00BE79F0"/>
    <w:rsid w:val="00BE7BB2"/>
    <w:rsid w:val="00BF2933"/>
    <w:rsid w:val="00BF2EBA"/>
    <w:rsid w:val="00BF5222"/>
    <w:rsid w:val="00BF72A4"/>
    <w:rsid w:val="00C00B77"/>
    <w:rsid w:val="00C033AB"/>
    <w:rsid w:val="00C05362"/>
    <w:rsid w:val="00C056ED"/>
    <w:rsid w:val="00C07B90"/>
    <w:rsid w:val="00C10ADF"/>
    <w:rsid w:val="00C11700"/>
    <w:rsid w:val="00C11DE9"/>
    <w:rsid w:val="00C12CA9"/>
    <w:rsid w:val="00C1302A"/>
    <w:rsid w:val="00C13162"/>
    <w:rsid w:val="00C131DD"/>
    <w:rsid w:val="00C167EA"/>
    <w:rsid w:val="00C2028E"/>
    <w:rsid w:val="00C20FE9"/>
    <w:rsid w:val="00C220B1"/>
    <w:rsid w:val="00C2376D"/>
    <w:rsid w:val="00C2425D"/>
    <w:rsid w:val="00C24CD8"/>
    <w:rsid w:val="00C255C9"/>
    <w:rsid w:val="00C2794B"/>
    <w:rsid w:val="00C30624"/>
    <w:rsid w:val="00C31751"/>
    <w:rsid w:val="00C3599D"/>
    <w:rsid w:val="00C37D77"/>
    <w:rsid w:val="00C40AC3"/>
    <w:rsid w:val="00C4691D"/>
    <w:rsid w:val="00C46BFD"/>
    <w:rsid w:val="00C47D20"/>
    <w:rsid w:val="00C50D36"/>
    <w:rsid w:val="00C51410"/>
    <w:rsid w:val="00C52AB6"/>
    <w:rsid w:val="00C52C5B"/>
    <w:rsid w:val="00C6049A"/>
    <w:rsid w:val="00C60C27"/>
    <w:rsid w:val="00C60F16"/>
    <w:rsid w:val="00C62344"/>
    <w:rsid w:val="00C64B7D"/>
    <w:rsid w:val="00C6653C"/>
    <w:rsid w:val="00C67A5F"/>
    <w:rsid w:val="00C67C5D"/>
    <w:rsid w:val="00C7053B"/>
    <w:rsid w:val="00C70E7D"/>
    <w:rsid w:val="00C73052"/>
    <w:rsid w:val="00C7472B"/>
    <w:rsid w:val="00C74E9D"/>
    <w:rsid w:val="00C760BA"/>
    <w:rsid w:val="00C762AC"/>
    <w:rsid w:val="00C8105B"/>
    <w:rsid w:val="00C81A71"/>
    <w:rsid w:val="00C83990"/>
    <w:rsid w:val="00C85DEB"/>
    <w:rsid w:val="00C8612E"/>
    <w:rsid w:val="00C86DC3"/>
    <w:rsid w:val="00C86E97"/>
    <w:rsid w:val="00C941CF"/>
    <w:rsid w:val="00C9548D"/>
    <w:rsid w:val="00C96814"/>
    <w:rsid w:val="00C96AE3"/>
    <w:rsid w:val="00C975F3"/>
    <w:rsid w:val="00CA06DA"/>
    <w:rsid w:val="00CA355A"/>
    <w:rsid w:val="00CA69FD"/>
    <w:rsid w:val="00CB0224"/>
    <w:rsid w:val="00CB0A93"/>
    <w:rsid w:val="00CB2112"/>
    <w:rsid w:val="00CB42AD"/>
    <w:rsid w:val="00CB432B"/>
    <w:rsid w:val="00CB5383"/>
    <w:rsid w:val="00CB7CF1"/>
    <w:rsid w:val="00CB7DB9"/>
    <w:rsid w:val="00CC5D8A"/>
    <w:rsid w:val="00CC7406"/>
    <w:rsid w:val="00CD0BCE"/>
    <w:rsid w:val="00CD2B48"/>
    <w:rsid w:val="00CD3E5E"/>
    <w:rsid w:val="00CD43E9"/>
    <w:rsid w:val="00CD6162"/>
    <w:rsid w:val="00CD6516"/>
    <w:rsid w:val="00CD6770"/>
    <w:rsid w:val="00CE07F1"/>
    <w:rsid w:val="00CE2285"/>
    <w:rsid w:val="00CE6919"/>
    <w:rsid w:val="00CE7279"/>
    <w:rsid w:val="00CF0F49"/>
    <w:rsid w:val="00CF15F5"/>
    <w:rsid w:val="00CF2893"/>
    <w:rsid w:val="00CF48E2"/>
    <w:rsid w:val="00CF4915"/>
    <w:rsid w:val="00D00B61"/>
    <w:rsid w:val="00D01DB9"/>
    <w:rsid w:val="00D025A2"/>
    <w:rsid w:val="00D04100"/>
    <w:rsid w:val="00D06A8C"/>
    <w:rsid w:val="00D075F3"/>
    <w:rsid w:val="00D10CCC"/>
    <w:rsid w:val="00D1193C"/>
    <w:rsid w:val="00D11C12"/>
    <w:rsid w:val="00D1413C"/>
    <w:rsid w:val="00D17E43"/>
    <w:rsid w:val="00D20C45"/>
    <w:rsid w:val="00D24041"/>
    <w:rsid w:val="00D26ABB"/>
    <w:rsid w:val="00D26D1F"/>
    <w:rsid w:val="00D27EB1"/>
    <w:rsid w:val="00D27EFD"/>
    <w:rsid w:val="00D3206F"/>
    <w:rsid w:val="00D343ED"/>
    <w:rsid w:val="00D4012B"/>
    <w:rsid w:val="00D41C17"/>
    <w:rsid w:val="00D42CDB"/>
    <w:rsid w:val="00D4341B"/>
    <w:rsid w:val="00D435A7"/>
    <w:rsid w:val="00D44C5E"/>
    <w:rsid w:val="00D4645B"/>
    <w:rsid w:val="00D47ACF"/>
    <w:rsid w:val="00D47C06"/>
    <w:rsid w:val="00D50D0F"/>
    <w:rsid w:val="00D521E3"/>
    <w:rsid w:val="00D544B8"/>
    <w:rsid w:val="00D56049"/>
    <w:rsid w:val="00D570B1"/>
    <w:rsid w:val="00D60E3F"/>
    <w:rsid w:val="00D61DC0"/>
    <w:rsid w:val="00D633E5"/>
    <w:rsid w:val="00D6469C"/>
    <w:rsid w:val="00D64BC1"/>
    <w:rsid w:val="00D66893"/>
    <w:rsid w:val="00D728F0"/>
    <w:rsid w:val="00D72CE8"/>
    <w:rsid w:val="00D75345"/>
    <w:rsid w:val="00D7590E"/>
    <w:rsid w:val="00D839BA"/>
    <w:rsid w:val="00D83C07"/>
    <w:rsid w:val="00D86ECC"/>
    <w:rsid w:val="00D9013B"/>
    <w:rsid w:val="00D90EC5"/>
    <w:rsid w:val="00D912F7"/>
    <w:rsid w:val="00DA3DB2"/>
    <w:rsid w:val="00DA472E"/>
    <w:rsid w:val="00DA493D"/>
    <w:rsid w:val="00DA6418"/>
    <w:rsid w:val="00DA6CF9"/>
    <w:rsid w:val="00DA760A"/>
    <w:rsid w:val="00DB1F36"/>
    <w:rsid w:val="00DB27FB"/>
    <w:rsid w:val="00DB3C42"/>
    <w:rsid w:val="00DB6569"/>
    <w:rsid w:val="00DB7B3D"/>
    <w:rsid w:val="00DC2A77"/>
    <w:rsid w:val="00DC3855"/>
    <w:rsid w:val="00DC5265"/>
    <w:rsid w:val="00DC52C9"/>
    <w:rsid w:val="00DC56EB"/>
    <w:rsid w:val="00DD1713"/>
    <w:rsid w:val="00DD2293"/>
    <w:rsid w:val="00DD27F0"/>
    <w:rsid w:val="00DD30A6"/>
    <w:rsid w:val="00DD3C32"/>
    <w:rsid w:val="00DD3CE4"/>
    <w:rsid w:val="00DD4847"/>
    <w:rsid w:val="00DD58E0"/>
    <w:rsid w:val="00DD7223"/>
    <w:rsid w:val="00DD7235"/>
    <w:rsid w:val="00DD769C"/>
    <w:rsid w:val="00DE3C15"/>
    <w:rsid w:val="00DE4D06"/>
    <w:rsid w:val="00DE4D41"/>
    <w:rsid w:val="00DE6599"/>
    <w:rsid w:val="00DE7EB5"/>
    <w:rsid w:val="00DF450C"/>
    <w:rsid w:val="00DF467B"/>
    <w:rsid w:val="00DF5845"/>
    <w:rsid w:val="00DF613D"/>
    <w:rsid w:val="00E00E05"/>
    <w:rsid w:val="00E01106"/>
    <w:rsid w:val="00E01D10"/>
    <w:rsid w:val="00E02EFF"/>
    <w:rsid w:val="00E04E60"/>
    <w:rsid w:val="00E06FF7"/>
    <w:rsid w:val="00E123B9"/>
    <w:rsid w:val="00E12DBD"/>
    <w:rsid w:val="00E132C1"/>
    <w:rsid w:val="00E1364F"/>
    <w:rsid w:val="00E13A7A"/>
    <w:rsid w:val="00E153E3"/>
    <w:rsid w:val="00E163BA"/>
    <w:rsid w:val="00E16755"/>
    <w:rsid w:val="00E22452"/>
    <w:rsid w:val="00E25B31"/>
    <w:rsid w:val="00E33762"/>
    <w:rsid w:val="00E34539"/>
    <w:rsid w:val="00E34E23"/>
    <w:rsid w:val="00E35788"/>
    <w:rsid w:val="00E37756"/>
    <w:rsid w:val="00E45CF6"/>
    <w:rsid w:val="00E45DD8"/>
    <w:rsid w:val="00E4678A"/>
    <w:rsid w:val="00E46FEC"/>
    <w:rsid w:val="00E473DA"/>
    <w:rsid w:val="00E55E19"/>
    <w:rsid w:val="00E56DEE"/>
    <w:rsid w:val="00E56EDA"/>
    <w:rsid w:val="00E60911"/>
    <w:rsid w:val="00E62215"/>
    <w:rsid w:val="00E64B74"/>
    <w:rsid w:val="00E706B8"/>
    <w:rsid w:val="00E71186"/>
    <w:rsid w:val="00E72802"/>
    <w:rsid w:val="00E740C2"/>
    <w:rsid w:val="00E749CE"/>
    <w:rsid w:val="00E74D67"/>
    <w:rsid w:val="00E8087D"/>
    <w:rsid w:val="00E82CAE"/>
    <w:rsid w:val="00E85A3D"/>
    <w:rsid w:val="00E91E4A"/>
    <w:rsid w:val="00E928C2"/>
    <w:rsid w:val="00E92EED"/>
    <w:rsid w:val="00E95A9F"/>
    <w:rsid w:val="00E9654C"/>
    <w:rsid w:val="00E96A38"/>
    <w:rsid w:val="00EA083E"/>
    <w:rsid w:val="00EA7DCA"/>
    <w:rsid w:val="00EB0894"/>
    <w:rsid w:val="00EB30D3"/>
    <w:rsid w:val="00EB39BB"/>
    <w:rsid w:val="00EB3B02"/>
    <w:rsid w:val="00EB443C"/>
    <w:rsid w:val="00EB4EEB"/>
    <w:rsid w:val="00EB61F3"/>
    <w:rsid w:val="00EC519F"/>
    <w:rsid w:val="00EC534F"/>
    <w:rsid w:val="00EC5C84"/>
    <w:rsid w:val="00EC5D7D"/>
    <w:rsid w:val="00EC6F87"/>
    <w:rsid w:val="00EC788C"/>
    <w:rsid w:val="00EC7F2B"/>
    <w:rsid w:val="00ED0F43"/>
    <w:rsid w:val="00ED2290"/>
    <w:rsid w:val="00ED2874"/>
    <w:rsid w:val="00ED69E5"/>
    <w:rsid w:val="00ED7653"/>
    <w:rsid w:val="00ED7A33"/>
    <w:rsid w:val="00EE003E"/>
    <w:rsid w:val="00EE0ECD"/>
    <w:rsid w:val="00EE2ED5"/>
    <w:rsid w:val="00EE453A"/>
    <w:rsid w:val="00EE59D1"/>
    <w:rsid w:val="00EE6B0D"/>
    <w:rsid w:val="00EF0AD0"/>
    <w:rsid w:val="00EF12E2"/>
    <w:rsid w:val="00EF197E"/>
    <w:rsid w:val="00EF5447"/>
    <w:rsid w:val="00F03E6E"/>
    <w:rsid w:val="00F04310"/>
    <w:rsid w:val="00F047B2"/>
    <w:rsid w:val="00F04A21"/>
    <w:rsid w:val="00F04B82"/>
    <w:rsid w:val="00F06527"/>
    <w:rsid w:val="00F10031"/>
    <w:rsid w:val="00F121DD"/>
    <w:rsid w:val="00F13458"/>
    <w:rsid w:val="00F138FD"/>
    <w:rsid w:val="00F151C9"/>
    <w:rsid w:val="00F15ABE"/>
    <w:rsid w:val="00F16011"/>
    <w:rsid w:val="00F16094"/>
    <w:rsid w:val="00F17D7E"/>
    <w:rsid w:val="00F212B0"/>
    <w:rsid w:val="00F22354"/>
    <w:rsid w:val="00F24B79"/>
    <w:rsid w:val="00F30FDC"/>
    <w:rsid w:val="00F31E4C"/>
    <w:rsid w:val="00F34F7B"/>
    <w:rsid w:val="00F36ABD"/>
    <w:rsid w:val="00F42F7B"/>
    <w:rsid w:val="00F43D67"/>
    <w:rsid w:val="00F5208B"/>
    <w:rsid w:val="00F525A5"/>
    <w:rsid w:val="00F52CB9"/>
    <w:rsid w:val="00F539E1"/>
    <w:rsid w:val="00F54D31"/>
    <w:rsid w:val="00F56CEF"/>
    <w:rsid w:val="00F57865"/>
    <w:rsid w:val="00F6039F"/>
    <w:rsid w:val="00F66663"/>
    <w:rsid w:val="00F72BE8"/>
    <w:rsid w:val="00F73DF7"/>
    <w:rsid w:val="00F74C9D"/>
    <w:rsid w:val="00F82B64"/>
    <w:rsid w:val="00F86595"/>
    <w:rsid w:val="00F877E2"/>
    <w:rsid w:val="00F939D7"/>
    <w:rsid w:val="00F948CC"/>
    <w:rsid w:val="00F956BB"/>
    <w:rsid w:val="00F957E0"/>
    <w:rsid w:val="00F9591F"/>
    <w:rsid w:val="00F972ED"/>
    <w:rsid w:val="00F9745F"/>
    <w:rsid w:val="00F97C58"/>
    <w:rsid w:val="00FA514B"/>
    <w:rsid w:val="00FA5CF6"/>
    <w:rsid w:val="00FA7A0C"/>
    <w:rsid w:val="00FB055A"/>
    <w:rsid w:val="00FB0F7E"/>
    <w:rsid w:val="00FB4AE1"/>
    <w:rsid w:val="00FB688A"/>
    <w:rsid w:val="00FB7BD3"/>
    <w:rsid w:val="00FC3771"/>
    <w:rsid w:val="00FC610D"/>
    <w:rsid w:val="00FC73E1"/>
    <w:rsid w:val="00FD32F8"/>
    <w:rsid w:val="00FD4C66"/>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 w:type="character" w:styleId="FootnoteReference">
    <w:name w:val="footnote reference"/>
    <w:basedOn w:val="DefaultParagraphFont"/>
    <w:uiPriority w:val="99"/>
    <w:semiHidden/>
    <w:unhideWhenUsed/>
    <w:rsid w:val="00552B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61623recording.mp4" TargetMode="External"/><Relationship Id="rId13" Type="http://schemas.openxmlformats.org/officeDocument/2006/relationships/hyperlink" Target="https://naesb.org/pdf4/geh061623a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pdf4/geh061623w1.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61623w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pdf4/geh061623chat.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87AA8-8D6D-4F74-A647-ACC103DF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4875</Words>
  <Characters>27789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cp:lastModifiedBy>
  <cp:revision>4</cp:revision>
  <cp:lastPrinted>2023-06-21T16:42:00Z</cp:lastPrinted>
  <dcterms:created xsi:type="dcterms:W3CDTF">2023-06-22T20:34:00Z</dcterms:created>
  <dcterms:modified xsi:type="dcterms:W3CDTF">2023-06-22T21:47:00Z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