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46181" w14:textId="77777777" w:rsidR="00B71822" w:rsidRPr="00B71822" w:rsidRDefault="00B71822" w:rsidP="00B71822">
      <w:pPr>
        <w:ind w:left="1440" w:hanging="1440"/>
        <w:jc w:val="right"/>
        <w:rPr>
          <w:rFonts w:ascii="Times New Roman" w:hAnsi="Times New Roman"/>
          <w:bCs/>
        </w:rPr>
      </w:pPr>
      <w:bookmarkStart w:id="0" w:name="_Hlk113280443"/>
      <w:r w:rsidRPr="00B71822">
        <w:rPr>
          <w:rFonts w:ascii="Times New Roman" w:hAnsi="Times New Roman"/>
          <w:bCs/>
        </w:rPr>
        <w:t>Via email and posting</w:t>
      </w:r>
    </w:p>
    <w:p w14:paraId="6F4D5B11" w14:textId="170A3D59" w:rsidR="00B71822" w:rsidRPr="00B71822" w:rsidRDefault="00F916D8" w:rsidP="00B71822">
      <w:pPr>
        <w:tabs>
          <w:tab w:val="left" w:pos="0"/>
        </w:tabs>
        <w:spacing w:before="120"/>
        <w:jc w:val="right"/>
        <w:rPr>
          <w:rFonts w:ascii="Times New Roman" w:hAnsi="Times New Roman"/>
          <w:bCs/>
        </w:rPr>
      </w:pPr>
      <w:bookmarkStart w:id="1" w:name="_Hlk113308370"/>
      <w:r>
        <w:rPr>
          <w:rFonts w:ascii="Times New Roman" w:hAnsi="Times New Roman"/>
          <w:bCs/>
        </w:rPr>
        <w:t>April 28</w:t>
      </w:r>
      <w:r w:rsidR="00B71822" w:rsidRPr="00B71822">
        <w:rPr>
          <w:rFonts w:ascii="Times New Roman" w:hAnsi="Times New Roman"/>
          <w:bCs/>
        </w:rPr>
        <w:t>, 2023</w:t>
      </w:r>
    </w:p>
    <w:bookmarkEnd w:id="1"/>
    <w:p w14:paraId="05AB86C7" w14:textId="77777777" w:rsidR="00B71822" w:rsidRPr="00B71822" w:rsidRDefault="00B71822" w:rsidP="00B71822">
      <w:pPr>
        <w:tabs>
          <w:tab w:val="left" w:pos="0"/>
        </w:tabs>
        <w:spacing w:before="360"/>
        <w:jc w:val="both"/>
        <w:rPr>
          <w:rFonts w:ascii="Times New Roman" w:hAnsi="Times New Roman"/>
          <w:bCs/>
        </w:rPr>
      </w:pPr>
      <w:r w:rsidRPr="00B71822">
        <w:rPr>
          <w:rFonts w:ascii="Times New Roman" w:hAnsi="Times New Roman"/>
          <w:bCs/>
        </w:rPr>
        <w:t>Dear GEH Forum Participants,</w:t>
      </w:r>
    </w:p>
    <w:p w14:paraId="205E2D7A" w14:textId="6C1341FE" w:rsidR="00B71822" w:rsidRPr="00B71822" w:rsidRDefault="00B71822" w:rsidP="000D2094">
      <w:pPr>
        <w:rPr>
          <w:rFonts w:ascii="Times New Roman" w:hAnsi="Times New Roman"/>
        </w:rPr>
      </w:pPr>
      <w:r w:rsidRPr="00B71822">
        <w:rPr>
          <w:rFonts w:ascii="Times New Roman" w:hAnsi="Times New Roman"/>
        </w:rPr>
        <w:t>Please find attached a</w:t>
      </w:r>
      <w:r w:rsidR="00F916D8">
        <w:rPr>
          <w:rFonts w:ascii="Times New Roman" w:hAnsi="Times New Roman"/>
        </w:rPr>
        <w:t xml:space="preserve"> final</w:t>
      </w:r>
      <w:r w:rsidRPr="00B71822">
        <w:rPr>
          <w:rFonts w:ascii="Times New Roman" w:hAnsi="Times New Roman"/>
        </w:rPr>
        <w:t xml:space="preserve"> survey/request for comments in advance of our next </w:t>
      </w:r>
      <w:r w:rsidR="00F916D8">
        <w:rPr>
          <w:rFonts w:ascii="Times New Roman" w:hAnsi="Times New Roman"/>
        </w:rPr>
        <w:t xml:space="preserve">scheduled </w:t>
      </w:r>
      <w:r w:rsidRPr="00B71822">
        <w:rPr>
          <w:rFonts w:ascii="Times New Roman" w:hAnsi="Times New Roman"/>
        </w:rPr>
        <w:t xml:space="preserve">Gas-Electric Harmonization Forum meeting </w:t>
      </w:r>
      <w:r w:rsidR="00F916D8">
        <w:rPr>
          <w:rFonts w:ascii="Times New Roman" w:hAnsi="Times New Roman"/>
        </w:rPr>
        <w:t>on May 17</w:t>
      </w:r>
      <w:r w:rsidRPr="00B71822">
        <w:rPr>
          <w:rFonts w:ascii="Times New Roman" w:hAnsi="Times New Roman"/>
        </w:rPr>
        <w:t>, 2023</w:t>
      </w:r>
      <w:r w:rsidR="00F916D8">
        <w:rPr>
          <w:rFonts w:ascii="Times New Roman" w:hAnsi="Times New Roman"/>
        </w:rPr>
        <w:t xml:space="preserve"> from 1:00 pm to 4:00 pm Central</w:t>
      </w:r>
      <w:r w:rsidRPr="00B71822">
        <w:rPr>
          <w:rFonts w:ascii="Times New Roman" w:hAnsi="Times New Roman"/>
        </w:rPr>
        <w:t xml:space="preserve">. To participate in this process and submit a survey, please </w:t>
      </w:r>
      <w:r w:rsidR="00157ED4">
        <w:rPr>
          <w:rFonts w:ascii="Times New Roman" w:hAnsi="Times New Roman"/>
        </w:rPr>
        <w:t>respond the questions presented through</w:t>
      </w:r>
      <w:r w:rsidRPr="00B71822">
        <w:rPr>
          <w:rFonts w:ascii="Times New Roman" w:hAnsi="Times New Roman"/>
        </w:rPr>
        <w:t xml:space="preserve"> the following hyperlink:</w:t>
      </w:r>
      <w:r w:rsidR="00157ED4">
        <w:rPr>
          <w:rFonts w:ascii="Times New Roman" w:hAnsi="Times New Roman"/>
        </w:rPr>
        <w:t xml:space="preserve"> </w:t>
      </w:r>
      <w:hyperlink r:id="rId8" w:history="1">
        <w:r w:rsidR="000D2094">
          <w:rPr>
            <w:rStyle w:val="Hyperlink"/>
            <w:rFonts w:ascii="Times New Roman" w:hAnsi="Times New Roman"/>
          </w:rPr>
          <w:t>https://www.surveymonkey.com/r/JKBQ8J2</w:t>
        </w:r>
      </w:hyperlink>
      <w:r w:rsidR="000D2094">
        <w:rPr>
          <w:rFonts w:ascii="Times New Roman" w:hAnsi="Times New Roman"/>
        </w:rPr>
        <w:t xml:space="preserve">.  </w:t>
      </w:r>
      <w:r w:rsidR="00157ED4">
        <w:rPr>
          <w:rFonts w:ascii="Times New Roman" w:hAnsi="Times New Roman"/>
        </w:rPr>
        <w:t>As with previous surveys, i</w:t>
      </w:r>
      <w:r w:rsidRPr="00B71822">
        <w:rPr>
          <w:rFonts w:ascii="Times New Roman" w:hAnsi="Times New Roman"/>
        </w:rPr>
        <w:t xml:space="preserve">t is not necessary to submit a survey in order to participate in the meeting; however, the responses provided will be </w:t>
      </w:r>
      <w:r w:rsidR="00157ED4">
        <w:rPr>
          <w:rFonts w:ascii="Times New Roman" w:hAnsi="Times New Roman"/>
        </w:rPr>
        <w:t>included in the record</w:t>
      </w:r>
      <w:r w:rsidR="00F916D8">
        <w:rPr>
          <w:rFonts w:ascii="Times New Roman" w:hAnsi="Times New Roman"/>
        </w:rPr>
        <w:t xml:space="preserve"> and</w:t>
      </w:r>
      <w:r w:rsidR="00157ED4">
        <w:rPr>
          <w:rFonts w:ascii="Times New Roman" w:hAnsi="Times New Roman"/>
        </w:rPr>
        <w:t xml:space="preserve"> will</w:t>
      </w:r>
      <w:r w:rsidRPr="00B71822">
        <w:rPr>
          <w:rFonts w:ascii="Times New Roman" w:hAnsi="Times New Roman"/>
        </w:rPr>
        <w:t xml:space="preserve"> shape the direction of our final report.    </w:t>
      </w:r>
    </w:p>
    <w:p w14:paraId="5803691A" w14:textId="77777777" w:rsidR="00B71822" w:rsidRPr="00B71822" w:rsidRDefault="00B71822" w:rsidP="00B71822">
      <w:pPr>
        <w:spacing w:before="120" w:after="120"/>
        <w:jc w:val="both"/>
        <w:rPr>
          <w:rFonts w:ascii="Times New Roman" w:hAnsi="Times New Roman"/>
        </w:rPr>
      </w:pPr>
      <w:r w:rsidRPr="00B71822">
        <w:rPr>
          <w:rFonts w:ascii="Times New Roman" w:hAnsi="Times New Roman"/>
        </w:rPr>
        <w:t>A Microsoft Word version of the survey/request for comments is attached for your review prior.</w:t>
      </w:r>
    </w:p>
    <w:p w14:paraId="15E3E4BD" w14:textId="715D7342" w:rsidR="00B71822" w:rsidRPr="00B71822" w:rsidRDefault="00B71822" w:rsidP="00B71822">
      <w:pPr>
        <w:numPr>
          <w:ilvl w:val="0"/>
          <w:numId w:val="26"/>
        </w:numPr>
        <w:spacing w:before="120" w:after="120"/>
        <w:contextualSpacing/>
        <w:jc w:val="both"/>
        <w:rPr>
          <w:rFonts w:ascii="Times New Roman" w:hAnsi="Times New Roman"/>
        </w:rPr>
      </w:pPr>
      <w:r w:rsidRPr="00B71822">
        <w:rPr>
          <w:rFonts w:ascii="Times New Roman" w:hAnsi="Times New Roman"/>
        </w:rPr>
        <w:t>To complete the survey online, simply follow the instructions as you move from page to page</w:t>
      </w:r>
      <w:bookmarkStart w:id="2" w:name="_Hlk113308622"/>
      <w:r w:rsidR="009F0132">
        <w:rPr>
          <w:rFonts w:ascii="Times New Roman" w:hAnsi="Times New Roman"/>
        </w:rPr>
        <w:t xml:space="preserve"> t</w:t>
      </w:r>
      <w:r w:rsidRPr="00B71822">
        <w:rPr>
          <w:rFonts w:ascii="Times New Roman" w:hAnsi="Times New Roman"/>
        </w:rPr>
        <w:t>hrough the platform</w:t>
      </w:r>
      <w:r w:rsidR="009F0132">
        <w:rPr>
          <w:rFonts w:ascii="Times New Roman" w:hAnsi="Times New Roman"/>
        </w:rPr>
        <w:t>. Y</w:t>
      </w:r>
      <w:r w:rsidRPr="00B71822">
        <w:rPr>
          <w:rFonts w:ascii="Times New Roman" w:hAnsi="Times New Roman"/>
        </w:rPr>
        <w:t xml:space="preserve">our answers will be saved as you take the survey online, and you may leave and return to the survey when convenient for you.  You may also re-enter the survey and modify your responses prior to the cutoff date of </w:t>
      </w:r>
      <w:r w:rsidR="00F916D8">
        <w:rPr>
          <w:rFonts w:ascii="Times New Roman" w:hAnsi="Times New Roman"/>
        </w:rPr>
        <w:t>May 12</w:t>
      </w:r>
      <w:r w:rsidR="00157ED4">
        <w:rPr>
          <w:rFonts w:ascii="Times New Roman" w:hAnsi="Times New Roman"/>
        </w:rPr>
        <w:t>, 2023</w:t>
      </w:r>
      <w:r w:rsidRPr="00B71822">
        <w:rPr>
          <w:rFonts w:ascii="Times New Roman" w:hAnsi="Times New Roman"/>
        </w:rPr>
        <w:t>.</w:t>
      </w:r>
      <w:bookmarkEnd w:id="2"/>
    </w:p>
    <w:p w14:paraId="62CAD56A" w14:textId="2EBB3955" w:rsidR="00B71822" w:rsidRPr="00B71822" w:rsidRDefault="00B71822" w:rsidP="00B71822">
      <w:pPr>
        <w:numPr>
          <w:ilvl w:val="0"/>
          <w:numId w:val="26"/>
        </w:numPr>
        <w:spacing w:before="120" w:after="120"/>
        <w:contextualSpacing/>
        <w:jc w:val="both"/>
        <w:rPr>
          <w:rFonts w:ascii="Times New Roman" w:hAnsi="Times New Roman"/>
        </w:rPr>
      </w:pPr>
      <w:r w:rsidRPr="00B71822">
        <w:rPr>
          <w:rFonts w:ascii="Times New Roman" w:hAnsi="Times New Roman"/>
        </w:rPr>
        <w:t>If you prefer not to take the online version of the survey and would rather complete a Microsoft Word document version, you may do so by emailing it to the NAESB office (</w:t>
      </w:r>
      <w:hyperlink r:id="rId9" w:history="1">
        <w:r w:rsidRPr="00B71822">
          <w:rPr>
            <w:rFonts w:ascii="Times New Roman" w:hAnsi="Times New Roman"/>
            <w:color w:val="0000FF"/>
            <w:u w:val="single"/>
          </w:rPr>
          <w:t>naesb@naesb.org</w:t>
        </w:r>
      </w:hyperlink>
      <w:r w:rsidRPr="00B71822">
        <w:rPr>
          <w:rFonts w:ascii="Times New Roman" w:hAnsi="Times New Roman"/>
        </w:rPr>
        <w:t xml:space="preserve">) by </w:t>
      </w:r>
      <w:r w:rsidR="00157ED4">
        <w:rPr>
          <w:rFonts w:ascii="Times New Roman" w:hAnsi="Times New Roman"/>
        </w:rPr>
        <w:t xml:space="preserve">the </w:t>
      </w:r>
      <w:r w:rsidR="00F916D8">
        <w:rPr>
          <w:rFonts w:ascii="Times New Roman" w:hAnsi="Times New Roman"/>
        </w:rPr>
        <w:t>cutoff date.</w:t>
      </w:r>
      <w:r w:rsidRPr="00B71822">
        <w:rPr>
          <w:rFonts w:ascii="Times New Roman" w:hAnsi="Times New Roman"/>
        </w:rPr>
        <w:t xml:space="preserve">  </w:t>
      </w:r>
    </w:p>
    <w:p w14:paraId="1A6A2A89" w14:textId="0CEA30AA" w:rsidR="00B71822" w:rsidRPr="00B71822" w:rsidRDefault="00B71822" w:rsidP="00B71822">
      <w:pPr>
        <w:numPr>
          <w:ilvl w:val="0"/>
          <w:numId w:val="26"/>
        </w:numPr>
        <w:spacing w:before="120" w:after="120"/>
        <w:contextualSpacing/>
        <w:rPr>
          <w:rFonts w:ascii="Times New Roman" w:hAnsi="Times New Roman"/>
        </w:rPr>
      </w:pPr>
      <w:bookmarkStart w:id="3" w:name="_Hlk113308506"/>
      <w:r w:rsidRPr="00B71822">
        <w:rPr>
          <w:rFonts w:ascii="Times New Roman" w:hAnsi="Times New Roman"/>
        </w:rPr>
        <w:t xml:space="preserve">As a </w:t>
      </w:r>
      <w:r w:rsidR="009F0132">
        <w:rPr>
          <w:rFonts w:ascii="Times New Roman" w:hAnsi="Times New Roman"/>
        </w:rPr>
        <w:t>respondent</w:t>
      </w:r>
      <w:r w:rsidRPr="00B71822">
        <w:rPr>
          <w:rFonts w:ascii="Times New Roman" w:hAnsi="Times New Roman"/>
        </w:rPr>
        <w:t xml:space="preserve">, you should identify with a NAESB Quadrant and Segment or as an observer when forwarding your responses and comments.  A description of the NAESB Quadrant and Segments can be found through the following hyperlink:  </w:t>
      </w:r>
      <w:hyperlink r:id="rId10" w:history="1">
        <w:r w:rsidRPr="00B71822">
          <w:rPr>
            <w:rFonts w:ascii="Times New Roman" w:hAnsi="Times New Roman"/>
            <w:color w:val="0000FF"/>
            <w:u w:val="single"/>
          </w:rPr>
          <w:t>https://www.naesb.org/pdf4/geh_balanced_voting_quadrant_segment_descriptions.doc</w:t>
        </w:r>
      </w:hyperlink>
      <w:r w:rsidRPr="00B71822">
        <w:rPr>
          <w:rFonts w:ascii="Times New Roman" w:hAnsi="Times New Roman"/>
        </w:rPr>
        <w:t xml:space="preserve">.  </w:t>
      </w:r>
      <w:bookmarkEnd w:id="3"/>
    </w:p>
    <w:p w14:paraId="0DA681CD" w14:textId="77777777" w:rsidR="00234ABC" w:rsidRDefault="00234ABC" w:rsidP="00B71822">
      <w:pPr>
        <w:spacing w:before="120" w:after="120"/>
        <w:jc w:val="both"/>
        <w:rPr>
          <w:rFonts w:ascii="Times New Roman" w:hAnsi="Times New Roman"/>
        </w:rPr>
      </w:pPr>
    </w:p>
    <w:p w14:paraId="75EE9A3D" w14:textId="0B3975C5" w:rsidR="00B71822" w:rsidRPr="00B71822" w:rsidRDefault="00B71822" w:rsidP="00B71822">
      <w:pPr>
        <w:spacing w:before="120" w:after="120"/>
        <w:jc w:val="both"/>
        <w:rPr>
          <w:rFonts w:ascii="Times New Roman" w:hAnsi="Times New Roman"/>
        </w:rPr>
      </w:pPr>
      <w:r w:rsidRPr="00B71822">
        <w:rPr>
          <w:rFonts w:ascii="Times New Roman" w:hAnsi="Times New Roman"/>
        </w:rPr>
        <w:t xml:space="preserve">Again, responses are requested by </w:t>
      </w:r>
      <w:r w:rsidR="00157ED4">
        <w:rPr>
          <w:rFonts w:ascii="Times New Roman" w:hAnsi="Times New Roman"/>
          <w:b/>
          <w:bCs/>
        </w:rPr>
        <w:t>close of business o</w:t>
      </w:r>
      <w:r w:rsidRPr="00131C4A">
        <w:rPr>
          <w:rFonts w:ascii="Times New Roman" w:hAnsi="Times New Roman"/>
          <w:b/>
          <w:bCs/>
        </w:rPr>
        <w:t xml:space="preserve">n </w:t>
      </w:r>
      <w:r w:rsidR="00F916D8">
        <w:rPr>
          <w:rFonts w:ascii="Times New Roman" w:hAnsi="Times New Roman"/>
          <w:b/>
          <w:bCs/>
        </w:rPr>
        <w:t>May 12</w:t>
      </w:r>
      <w:r w:rsidRPr="00B71822">
        <w:rPr>
          <w:rFonts w:ascii="Times New Roman" w:hAnsi="Times New Roman"/>
        </w:rPr>
        <w:t>.  If you choose to take the survey via Microsoft Word, when you email it to the office, you will receive a notification from the office that it has been received.</w:t>
      </w:r>
    </w:p>
    <w:p w14:paraId="50D9D0BB" w14:textId="51B69123" w:rsidR="00B71822" w:rsidRDefault="00B71822" w:rsidP="00AA0BEC">
      <w:pPr>
        <w:spacing w:before="120" w:after="120"/>
        <w:jc w:val="both"/>
        <w:rPr>
          <w:rFonts w:ascii="Times New Roman" w:hAnsi="Times New Roman"/>
        </w:rPr>
      </w:pPr>
      <w:r w:rsidRPr="00B71822">
        <w:rPr>
          <w:rFonts w:ascii="Times New Roman" w:hAnsi="Times New Roman"/>
        </w:rPr>
        <w:t>Thank you for your time and for your commitment to the GEH Forum –</w:t>
      </w:r>
      <w:bookmarkEnd w:id="0"/>
    </w:p>
    <w:p w14:paraId="07192407" w14:textId="77777777" w:rsidR="00AA0BEC" w:rsidRDefault="00AA0BEC" w:rsidP="00AA0BEC">
      <w:pPr>
        <w:spacing w:before="120" w:after="120"/>
        <w:jc w:val="both"/>
        <w:rPr>
          <w:rFonts w:ascii="Times New Roman" w:hAnsi="Times New Roman"/>
          <w:snapToGrid w:val="0"/>
          <w:color w:val="000000"/>
        </w:rPr>
        <w:sectPr w:rsidR="00AA0BEC" w:rsidSect="00B71822">
          <w:headerReference w:type="default" r:id="rId11"/>
          <w:headerReference w:type="first" r:id="rId12"/>
          <w:footerReference w:type="first" r:id="rId13"/>
          <w:pgSz w:w="12240" w:h="15840" w:code="1"/>
          <w:pgMar w:top="720" w:right="1440" w:bottom="1440" w:left="1440" w:header="720" w:footer="720" w:gutter="0"/>
          <w:cols w:space="720"/>
          <w:noEndnote/>
          <w:titlePg/>
          <w:docGrid w:linePitch="272"/>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20"/>
        <w:gridCol w:w="1527"/>
        <w:gridCol w:w="6469"/>
      </w:tblGrid>
      <w:tr w:rsidR="00AA0BEC" w:rsidRPr="00AA0BEC" w14:paraId="326F0AC8" w14:textId="77777777" w:rsidTr="00E16F9E">
        <w:trPr>
          <w:tblHeader/>
        </w:trPr>
        <w:tc>
          <w:tcPr>
            <w:tcW w:w="9360" w:type="dxa"/>
            <w:gridSpan w:val="4"/>
          </w:tcPr>
          <w:p w14:paraId="6BDFF59C" w14:textId="77777777" w:rsidR="00AA0BEC" w:rsidRPr="00AA0BEC" w:rsidRDefault="00AA0BEC" w:rsidP="00AA0BEC">
            <w:pPr>
              <w:spacing w:before="240"/>
              <w:jc w:val="center"/>
              <w:rPr>
                <w:rFonts w:ascii="Times New Roman" w:hAnsi="Times New Roman"/>
                <w:b/>
                <w:bCs/>
                <w:smallCaps/>
                <w:sz w:val="20"/>
                <w:szCs w:val="20"/>
              </w:rPr>
            </w:pPr>
            <w:r w:rsidRPr="00AA0BEC">
              <w:rPr>
                <w:rFonts w:ascii="Times New Roman" w:hAnsi="Times New Roman"/>
                <w:b/>
                <w:bCs/>
                <w:smallCaps/>
                <w:sz w:val="20"/>
                <w:szCs w:val="20"/>
              </w:rPr>
              <w:lastRenderedPageBreak/>
              <w:t>Gas Electric Harmonization Forum Meeting Survey</w:t>
            </w:r>
          </w:p>
          <w:p w14:paraId="09DE5BA9" w14:textId="6BC0C7E0" w:rsidR="00AA0BEC" w:rsidRPr="00AA0BEC" w:rsidRDefault="00AA0BEC" w:rsidP="00AA0BEC">
            <w:pPr>
              <w:spacing w:after="240"/>
              <w:jc w:val="center"/>
              <w:rPr>
                <w:rFonts w:ascii="Times New Roman" w:hAnsi="Times New Roman"/>
                <w:b/>
                <w:bCs/>
                <w:smallCaps/>
                <w:sz w:val="20"/>
                <w:szCs w:val="20"/>
              </w:rPr>
            </w:pPr>
            <w:r w:rsidRPr="00AA0BEC">
              <w:rPr>
                <w:rFonts w:ascii="Times New Roman" w:hAnsi="Times New Roman"/>
                <w:b/>
                <w:bCs/>
                <w:smallCaps/>
                <w:sz w:val="20"/>
                <w:szCs w:val="20"/>
              </w:rPr>
              <w:t xml:space="preserve">Due </w:t>
            </w:r>
            <w:r w:rsidR="00F916D8">
              <w:rPr>
                <w:rFonts w:ascii="Times New Roman" w:hAnsi="Times New Roman"/>
                <w:b/>
                <w:bCs/>
                <w:smallCaps/>
                <w:sz w:val="20"/>
                <w:szCs w:val="20"/>
              </w:rPr>
              <w:t>May 12</w:t>
            </w:r>
            <w:r w:rsidRPr="00AA0BEC">
              <w:rPr>
                <w:rFonts w:ascii="Times New Roman" w:hAnsi="Times New Roman"/>
                <w:b/>
                <w:bCs/>
                <w:smallCaps/>
                <w:sz w:val="20"/>
                <w:szCs w:val="20"/>
              </w:rPr>
              <w:t>, 2023</w:t>
            </w:r>
          </w:p>
        </w:tc>
      </w:tr>
      <w:tr w:rsidR="00AA0BEC" w:rsidRPr="00AA0BEC" w14:paraId="5DDE2425" w14:textId="77777777" w:rsidTr="00E16F9E">
        <w:tc>
          <w:tcPr>
            <w:tcW w:w="9360" w:type="dxa"/>
            <w:gridSpan w:val="4"/>
          </w:tcPr>
          <w:p w14:paraId="68FD70D2"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Submitter Information</w:t>
            </w:r>
          </w:p>
        </w:tc>
      </w:tr>
      <w:tr w:rsidR="00AA0BEC" w:rsidRPr="00AA0BEC" w14:paraId="43B64A4D" w14:textId="77777777" w:rsidTr="00E16F9E">
        <w:tc>
          <w:tcPr>
            <w:tcW w:w="644" w:type="dxa"/>
          </w:tcPr>
          <w:p w14:paraId="2E1D82F3"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1.</w:t>
            </w:r>
          </w:p>
        </w:tc>
        <w:tc>
          <w:tcPr>
            <w:tcW w:w="8716" w:type="dxa"/>
            <w:gridSpan w:val="3"/>
          </w:tcPr>
          <w:p w14:paraId="3D356025"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Please provide your contact information:</w:t>
            </w:r>
          </w:p>
        </w:tc>
      </w:tr>
      <w:tr w:rsidR="00AA0BEC" w:rsidRPr="00AA0BEC" w14:paraId="071B3435" w14:textId="77777777" w:rsidTr="00E16F9E">
        <w:tc>
          <w:tcPr>
            <w:tcW w:w="644" w:type="dxa"/>
          </w:tcPr>
          <w:p w14:paraId="434D442A"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063CD115"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Company/Organization:</w:t>
            </w:r>
          </w:p>
        </w:tc>
        <w:tc>
          <w:tcPr>
            <w:tcW w:w="6469" w:type="dxa"/>
          </w:tcPr>
          <w:p w14:paraId="662DD397" w14:textId="77777777" w:rsidR="00AA0BEC" w:rsidRPr="00AA0BEC" w:rsidRDefault="00AA0BEC" w:rsidP="00AA0BEC">
            <w:pPr>
              <w:spacing w:before="60" w:after="60"/>
              <w:rPr>
                <w:rFonts w:ascii="Times New Roman" w:hAnsi="Times New Roman"/>
                <w:sz w:val="20"/>
                <w:szCs w:val="20"/>
              </w:rPr>
            </w:pPr>
          </w:p>
        </w:tc>
      </w:tr>
      <w:tr w:rsidR="00AA0BEC" w:rsidRPr="00AA0BEC" w14:paraId="7C793B3B" w14:textId="77777777" w:rsidTr="00E16F9E">
        <w:tc>
          <w:tcPr>
            <w:tcW w:w="644" w:type="dxa"/>
          </w:tcPr>
          <w:p w14:paraId="39AE7B65"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75C0969F"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Representative:</w:t>
            </w:r>
          </w:p>
        </w:tc>
        <w:tc>
          <w:tcPr>
            <w:tcW w:w="6469" w:type="dxa"/>
          </w:tcPr>
          <w:p w14:paraId="785F5628" w14:textId="77777777" w:rsidR="00AA0BEC" w:rsidRPr="00AA0BEC" w:rsidRDefault="00AA0BEC" w:rsidP="00AA0BEC">
            <w:pPr>
              <w:spacing w:before="60" w:after="60"/>
              <w:rPr>
                <w:rFonts w:ascii="Times New Roman" w:hAnsi="Times New Roman"/>
                <w:sz w:val="20"/>
                <w:szCs w:val="20"/>
              </w:rPr>
            </w:pPr>
          </w:p>
        </w:tc>
      </w:tr>
      <w:tr w:rsidR="00AA0BEC" w:rsidRPr="00AA0BEC" w14:paraId="09406F0D" w14:textId="77777777" w:rsidTr="00E16F9E">
        <w:tc>
          <w:tcPr>
            <w:tcW w:w="644" w:type="dxa"/>
          </w:tcPr>
          <w:p w14:paraId="51E24CA1"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71A2A29D"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Email Address:</w:t>
            </w:r>
          </w:p>
        </w:tc>
        <w:tc>
          <w:tcPr>
            <w:tcW w:w="6469" w:type="dxa"/>
          </w:tcPr>
          <w:p w14:paraId="074550FB" w14:textId="77777777" w:rsidR="00AA0BEC" w:rsidRPr="00AA0BEC" w:rsidRDefault="00AA0BEC" w:rsidP="00AA0BEC">
            <w:pPr>
              <w:spacing w:before="60" w:after="60"/>
              <w:rPr>
                <w:rFonts w:ascii="Times New Roman" w:hAnsi="Times New Roman"/>
                <w:sz w:val="20"/>
                <w:szCs w:val="20"/>
              </w:rPr>
            </w:pPr>
          </w:p>
        </w:tc>
      </w:tr>
      <w:tr w:rsidR="00AA0BEC" w:rsidRPr="00AA0BEC" w14:paraId="4F08BE84" w14:textId="77777777" w:rsidTr="00E16F9E">
        <w:tc>
          <w:tcPr>
            <w:tcW w:w="644" w:type="dxa"/>
          </w:tcPr>
          <w:p w14:paraId="07F0EC3D"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40A3A193"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Phone Number</w:t>
            </w:r>
          </w:p>
        </w:tc>
        <w:tc>
          <w:tcPr>
            <w:tcW w:w="6469" w:type="dxa"/>
          </w:tcPr>
          <w:p w14:paraId="607A4DD5" w14:textId="77777777" w:rsidR="00AA0BEC" w:rsidRPr="00AA0BEC" w:rsidRDefault="00AA0BEC" w:rsidP="00AA0BEC">
            <w:pPr>
              <w:spacing w:before="60" w:after="60"/>
              <w:rPr>
                <w:rFonts w:ascii="Times New Roman" w:hAnsi="Times New Roman"/>
                <w:sz w:val="20"/>
                <w:szCs w:val="20"/>
              </w:rPr>
            </w:pPr>
          </w:p>
        </w:tc>
      </w:tr>
      <w:tr w:rsidR="00AA0BEC" w:rsidRPr="00AA0BEC" w14:paraId="68837FE4" w14:textId="77777777" w:rsidTr="00E16F9E">
        <w:tc>
          <w:tcPr>
            <w:tcW w:w="644" w:type="dxa"/>
          </w:tcPr>
          <w:p w14:paraId="1D81BB80"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1502E668" w14:textId="77777777" w:rsidR="00AA0BEC" w:rsidRPr="00AA0BEC" w:rsidRDefault="00AA0BEC" w:rsidP="00AA0BEC">
            <w:pPr>
              <w:spacing w:before="60" w:after="60"/>
              <w:rPr>
                <w:rFonts w:ascii="Times New Roman" w:hAnsi="Times New Roman"/>
                <w:sz w:val="20"/>
                <w:szCs w:val="20"/>
              </w:rPr>
            </w:pPr>
          </w:p>
        </w:tc>
        <w:tc>
          <w:tcPr>
            <w:tcW w:w="6469" w:type="dxa"/>
          </w:tcPr>
          <w:p w14:paraId="2B4DF382" w14:textId="77777777" w:rsidR="00AA0BEC" w:rsidRPr="00AA0BEC" w:rsidRDefault="00AA0BEC" w:rsidP="00AA0BEC">
            <w:pPr>
              <w:spacing w:before="60" w:after="60"/>
              <w:rPr>
                <w:rFonts w:ascii="Times New Roman" w:hAnsi="Times New Roman"/>
                <w:sz w:val="20"/>
                <w:szCs w:val="20"/>
              </w:rPr>
            </w:pPr>
          </w:p>
        </w:tc>
      </w:tr>
      <w:tr w:rsidR="00AA0BEC" w:rsidRPr="00AA0BEC" w14:paraId="4899C3B1" w14:textId="77777777" w:rsidTr="00E16F9E">
        <w:tc>
          <w:tcPr>
            <w:tcW w:w="644" w:type="dxa"/>
          </w:tcPr>
          <w:p w14:paraId="17CE3A7A"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2.</w:t>
            </w:r>
          </w:p>
        </w:tc>
        <w:tc>
          <w:tcPr>
            <w:tcW w:w="8716" w:type="dxa"/>
            <w:gridSpan w:val="3"/>
          </w:tcPr>
          <w:p w14:paraId="5DA61C55"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For the purposes of participating in the Gas Electric Forum, are you responding as</w:t>
            </w:r>
            <w:r w:rsidRPr="00AA0BEC">
              <w:rPr>
                <w:rFonts w:ascii="Times New Roman" w:hAnsi="Times New Roman"/>
                <w:b/>
                <w:bCs/>
                <w:i/>
                <w:iCs/>
                <w:sz w:val="20"/>
                <w:szCs w:val="20"/>
              </w:rPr>
              <w:t xml:space="preserve"> (please check one box only)</w:t>
            </w:r>
            <w:r w:rsidRPr="00AA0BEC">
              <w:rPr>
                <w:rFonts w:ascii="Times New Roman" w:hAnsi="Times New Roman"/>
                <w:b/>
                <w:bCs/>
                <w:sz w:val="20"/>
                <w:szCs w:val="20"/>
              </w:rPr>
              <w:t>:</w:t>
            </w:r>
          </w:p>
        </w:tc>
      </w:tr>
      <w:tr w:rsidR="00AA0BEC" w:rsidRPr="00AA0BEC" w14:paraId="0C5F3EB8" w14:textId="77777777" w:rsidTr="00E16F9E">
        <w:tc>
          <w:tcPr>
            <w:tcW w:w="644" w:type="dxa"/>
          </w:tcPr>
          <w:p w14:paraId="4DF53CD5"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503963376"/>
            <w14:checkbox>
              <w14:checked w14:val="0"/>
              <w14:checkedState w14:val="2612" w14:font="MS Gothic"/>
              <w14:uncheckedState w14:val="2610" w14:font="MS Gothic"/>
            </w14:checkbox>
          </w:sdtPr>
          <w:sdtEndPr/>
          <w:sdtContent>
            <w:tc>
              <w:tcPr>
                <w:tcW w:w="720" w:type="dxa"/>
              </w:tcPr>
              <w:p w14:paraId="542BA7E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9D5DBD5"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Producer</w:t>
            </w:r>
          </w:p>
        </w:tc>
      </w:tr>
      <w:tr w:rsidR="00AA0BEC" w:rsidRPr="00AA0BEC" w14:paraId="09B92585" w14:textId="77777777" w:rsidTr="00E16F9E">
        <w:tc>
          <w:tcPr>
            <w:tcW w:w="644" w:type="dxa"/>
          </w:tcPr>
          <w:p w14:paraId="3CF5BF22"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94879953"/>
            <w14:checkbox>
              <w14:checked w14:val="0"/>
              <w14:checkedState w14:val="2612" w14:font="MS Gothic"/>
              <w14:uncheckedState w14:val="2610" w14:font="MS Gothic"/>
            </w14:checkbox>
          </w:sdtPr>
          <w:sdtEndPr/>
          <w:sdtContent>
            <w:tc>
              <w:tcPr>
                <w:tcW w:w="720" w:type="dxa"/>
              </w:tcPr>
              <w:p w14:paraId="3AB24E3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656FB67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Pipeline</w:t>
            </w:r>
          </w:p>
        </w:tc>
      </w:tr>
      <w:tr w:rsidR="00AA0BEC" w:rsidRPr="00AA0BEC" w14:paraId="64605BAA" w14:textId="77777777" w:rsidTr="00E16F9E">
        <w:tc>
          <w:tcPr>
            <w:tcW w:w="644" w:type="dxa"/>
          </w:tcPr>
          <w:p w14:paraId="1EE10AB4"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47891268"/>
            <w14:checkbox>
              <w14:checked w14:val="0"/>
              <w14:checkedState w14:val="2612" w14:font="MS Gothic"/>
              <w14:uncheckedState w14:val="2610" w14:font="MS Gothic"/>
            </w14:checkbox>
          </w:sdtPr>
          <w:sdtEndPr/>
          <w:sdtContent>
            <w:tc>
              <w:tcPr>
                <w:tcW w:w="720" w:type="dxa"/>
              </w:tcPr>
              <w:p w14:paraId="3A645563"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362C8112"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Distributor</w:t>
            </w:r>
          </w:p>
        </w:tc>
      </w:tr>
      <w:tr w:rsidR="00AA0BEC" w:rsidRPr="00AA0BEC" w14:paraId="1516695E" w14:textId="77777777" w:rsidTr="00E16F9E">
        <w:tc>
          <w:tcPr>
            <w:tcW w:w="644" w:type="dxa"/>
          </w:tcPr>
          <w:p w14:paraId="5FA9779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03581037"/>
            <w14:checkbox>
              <w14:checked w14:val="0"/>
              <w14:checkedState w14:val="2612" w14:font="MS Gothic"/>
              <w14:uncheckedState w14:val="2610" w14:font="MS Gothic"/>
            </w14:checkbox>
          </w:sdtPr>
          <w:sdtEndPr/>
          <w:sdtContent>
            <w:tc>
              <w:tcPr>
                <w:tcW w:w="720" w:type="dxa"/>
              </w:tcPr>
              <w:p w14:paraId="035D350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9C8BD64"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Services or Technology Company</w:t>
            </w:r>
          </w:p>
        </w:tc>
      </w:tr>
      <w:tr w:rsidR="00AA0BEC" w:rsidRPr="00AA0BEC" w14:paraId="5EE79D6D" w14:textId="77777777" w:rsidTr="00E16F9E">
        <w:tc>
          <w:tcPr>
            <w:tcW w:w="644" w:type="dxa"/>
          </w:tcPr>
          <w:p w14:paraId="17D4EBEE"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549332263"/>
            <w14:checkbox>
              <w14:checked w14:val="0"/>
              <w14:checkedState w14:val="2612" w14:font="MS Gothic"/>
              <w14:uncheckedState w14:val="2610" w14:font="MS Gothic"/>
            </w14:checkbox>
          </w:sdtPr>
          <w:sdtEndPr/>
          <w:sdtContent>
            <w:tc>
              <w:tcPr>
                <w:tcW w:w="720" w:type="dxa"/>
              </w:tcPr>
              <w:p w14:paraId="5E6BC673"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67A9246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End User</w:t>
            </w:r>
          </w:p>
        </w:tc>
      </w:tr>
      <w:tr w:rsidR="00AA0BEC" w:rsidRPr="00AA0BEC" w14:paraId="65DC8F1D" w14:textId="77777777" w:rsidTr="00E16F9E">
        <w:tc>
          <w:tcPr>
            <w:tcW w:w="644" w:type="dxa"/>
          </w:tcPr>
          <w:p w14:paraId="768F3609"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728806743"/>
            <w14:checkbox>
              <w14:checked w14:val="0"/>
              <w14:checkedState w14:val="2612" w14:font="MS Gothic"/>
              <w14:uncheckedState w14:val="2610" w14:font="MS Gothic"/>
            </w14:checkbox>
          </w:sdtPr>
          <w:sdtEndPr/>
          <w:sdtContent>
            <w:tc>
              <w:tcPr>
                <w:tcW w:w="720" w:type="dxa"/>
              </w:tcPr>
              <w:p w14:paraId="6F18F67F"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BB55076"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Transmission Company</w:t>
            </w:r>
          </w:p>
        </w:tc>
      </w:tr>
      <w:tr w:rsidR="00AA0BEC" w:rsidRPr="00AA0BEC" w14:paraId="23921E3D" w14:textId="77777777" w:rsidTr="00E16F9E">
        <w:tc>
          <w:tcPr>
            <w:tcW w:w="644" w:type="dxa"/>
          </w:tcPr>
          <w:p w14:paraId="596B39FA"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449475616"/>
            <w14:checkbox>
              <w14:checked w14:val="0"/>
              <w14:checkedState w14:val="2612" w14:font="MS Gothic"/>
              <w14:uncheckedState w14:val="2610" w14:font="MS Gothic"/>
            </w14:checkbox>
          </w:sdtPr>
          <w:sdtEndPr/>
          <w:sdtContent>
            <w:tc>
              <w:tcPr>
                <w:tcW w:w="720" w:type="dxa"/>
              </w:tcPr>
              <w:p w14:paraId="019C21F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DD0852E"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Generator</w:t>
            </w:r>
          </w:p>
        </w:tc>
      </w:tr>
      <w:tr w:rsidR="00AA0BEC" w:rsidRPr="00AA0BEC" w14:paraId="6AB58F28" w14:textId="77777777" w:rsidTr="00E16F9E">
        <w:tc>
          <w:tcPr>
            <w:tcW w:w="644" w:type="dxa"/>
          </w:tcPr>
          <w:p w14:paraId="379ED80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6226810"/>
            <w14:checkbox>
              <w14:checked w14:val="0"/>
              <w14:checkedState w14:val="2612" w14:font="MS Gothic"/>
              <w14:uncheckedState w14:val="2610" w14:font="MS Gothic"/>
            </w14:checkbox>
          </w:sdtPr>
          <w:sdtEndPr/>
          <w:sdtContent>
            <w:tc>
              <w:tcPr>
                <w:tcW w:w="720" w:type="dxa"/>
              </w:tcPr>
              <w:p w14:paraId="63D1BA5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FE7625D"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Distributor/Load Serving Entity</w:t>
            </w:r>
          </w:p>
        </w:tc>
      </w:tr>
      <w:tr w:rsidR="00AA0BEC" w:rsidRPr="00AA0BEC" w14:paraId="0888CDB7" w14:textId="77777777" w:rsidTr="00E16F9E">
        <w:tc>
          <w:tcPr>
            <w:tcW w:w="644" w:type="dxa"/>
          </w:tcPr>
          <w:p w14:paraId="5241D7A8"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326258278"/>
            <w14:checkbox>
              <w14:checked w14:val="0"/>
              <w14:checkedState w14:val="2612" w14:font="MS Gothic"/>
              <w14:uncheckedState w14:val="2610" w14:font="MS Gothic"/>
            </w14:checkbox>
          </w:sdtPr>
          <w:sdtEndPr/>
          <w:sdtContent>
            <w:tc>
              <w:tcPr>
                <w:tcW w:w="720" w:type="dxa"/>
              </w:tcPr>
              <w:p w14:paraId="42FB37F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3A9F3388"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End User</w:t>
            </w:r>
          </w:p>
        </w:tc>
      </w:tr>
      <w:tr w:rsidR="00AA0BEC" w:rsidRPr="00AA0BEC" w14:paraId="63A30B97" w14:textId="77777777" w:rsidTr="00E16F9E">
        <w:tc>
          <w:tcPr>
            <w:tcW w:w="644" w:type="dxa"/>
          </w:tcPr>
          <w:p w14:paraId="034888C7"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93259807"/>
            <w14:checkbox>
              <w14:checked w14:val="0"/>
              <w14:checkedState w14:val="2612" w14:font="MS Gothic"/>
              <w14:uncheckedState w14:val="2610" w14:font="MS Gothic"/>
            </w14:checkbox>
          </w:sdtPr>
          <w:sdtEndPr/>
          <w:sdtContent>
            <w:tc>
              <w:tcPr>
                <w:tcW w:w="720" w:type="dxa"/>
              </w:tcPr>
              <w:p w14:paraId="10B3DC9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F232DDB"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Independent Grid Operator &amp; Planner</w:t>
            </w:r>
          </w:p>
        </w:tc>
      </w:tr>
      <w:tr w:rsidR="00AA0BEC" w:rsidRPr="00AA0BEC" w14:paraId="5B40BEE5" w14:textId="77777777" w:rsidTr="00E16F9E">
        <w:tc>
          <w:tcPr>
            <w:tcW w:w="644" w:type="dxa"/>
          </w:tcPr>
          <w:p w14:paraId="01008251"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037837363"/>
            <w14:checkbox>
              <w14:checked w14:val="0"/>
              <w14:checkedState w14:val="2612" w14:font="MS Gothic"/>
              <w14:uncheckedState w14:val="2610" w14:font="MS Gothic"/>
            </w14:checkbox>
          </w:sdtPr>
          <w:sdtEndPr/>
          <w:sdtContent>
            <w:tc>
              <w:tcPr>
                <w:tcW w:w="720" w:type="dxa"/>
              </w:tcPr>
              <w:p w14:paraId="0B940478"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87C150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Marketer/Broker</w:t>
            </w:r>
          </w:p>
        </w:tc>
      </w:tr>
      <w:tr w:rsidR="00AA0BEC" w:rsidRPr="00AA0BEC" w14:paraId="62AA1068" w14:textId="77777777" w:rsidTr="00E16F9E">
        <w:tc>
          <w:tcPr>
            <w:tcW w:w="644" w:type="dxa"/>
          </w:tcPr>
          <w:p w14:paraId="5DE842A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88697232"/>
            <w14:checkbox>
              <w14:checked w14:val="0"/>
              <w14:checkedState w14:val="2612" w14:font="MS Gothic"/>
              <w14:uncheckedState w14:val="2610" w14:font="MS Gothic"/>
            </w14:checkbox>
          </w:sdtPr>
          <w:sdtEndPr/>
          <w:sdtContent>
            <w:tc>
              <w:tcPr>
                <w:tcW w:w="720" w:type="dxa"/>
              </w:tcPr>
              <w:p w14:paraId="32515330"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4F12875"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Technology or Service Company</w:t>
            </w:r>
          </w:p>
        </w:tc>
      </w:tr>
      <w:tr w:rsidR="00AA0BEC" w:rsidRPr="00AA0BEC" w14:paraId="6BCDB831" w14:textId="77777777" w:rsidTr="00E16F9E">
        <w:tc>
          <w:tcPr>
            <w:tcW w:w="644" w:type="dxa"/>
          </w:tcPr>
          <w:p w14:paraId="31444205"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961379815"/>
            <w14:checkbox>
              <w14:checked w14:val="0"/>
              <w14:checkedState w14:val="2612" w14:font="MS Gothic"/>
              <w14:uncheckedState w14:val="2610" w14:font="MS Gothic"/>
            </w14:checkbox>
          </w:sdtPr>
          <w:sdtEndPr/>
          <w:sdtContent>
            <w:tc>
              <w:tcPr>
                <w:tcW w:w="720" w:type="dxa"/>
              </w:tcPr>
              <w:p w14:paraId="22A5844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2D12037"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Electric Service Provider/Supplier</w:t>
            </w:r>
          </w:p>
        </w:tc>
      </w:tr>
      <w:tr w:rsidR="00AA0BEC" w:rsidRPr="00AA0BEC" w14:paraId="0AE77DE2" w14:textId="77777777" w:rsidTr="00E16F9E">
        <w:tc>
          <w:tcPr>
            <w:tcW w:w="644" w:type="dxa"/>
          </w:tcPr>
          <w:p w14:paraId="4E202450"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27847111"/>
            <w14:checkbox>
              <w14:checked w14:val="0"/>
              <w14:checkedState w14:val="2612" w14:font="MS Gothic"/>
              <w14:uncheckedState w14:val="2610" w14:font="MS Gothic"/>
            </w14:checkbox>
          </w:sdtPr>
          <w:sdtEndPr/>
          <w:sdtContent>
            <w:tc>
              <w:tcPr>
                <w:tcW w:w="720" w:type="dxa"/>
              </w:tcPr>
              <w:p w14:paraId="421DFC4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13645397"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End User/Public Agency</w:t>
            </w:r>
          </w:p>
        </w:tc>
      </w:tr>
      <w:tr w:rsidR="00AA0BEC" w:rsidRPr="00AA0BEC" w14:paraId="186EAC83" w14:textId="77777777" w:rsidTr="00E16F9E">
        <w:tc>
          <w:tcPr>
            <w:tcW w:w="644" w:type="dxa"/>
          </w:tcPr>
          <w:p w14:paraId="6DD4F927"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26077829"/>
            <w14:checkbox>
              <w14:checked w14:val="0"/>
              <w14:checkedState w14:val="2612" w14:font="MS Gothic"/>
              <w14:uncheckedState w14:val="2610" w14:font="MS Gothic"/>
            </w14:checkbox>
          </w:sdtPr>
          <w:sdtEndPr/>
          <w:sdtContent>
            <w:tc>
              <w:tcPr>
                <w:tcW w:w="720" w:type="dxa"/>
              </w:tcPr>
              <w:p w14:paraId="1E6733E6"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83EB33A"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Gas Market Company</w:t>
            </w:r>
          </w:p>
        </w:tc>
      </w:tr>
      <w:tr w:rsidR="00AA0BEC" w:rsidRPr="00AA0BEC" w14:paraId="50917565" w14:textId="77777777" w:rsidTr="00E16F9E">
        <w:tc>
          <w:tcPr>
            <w:tcW w:w="644" w:type="dxa"/>
          </w:tcPr>
          <w:p w14:paraId="68DCDB8E"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064065584"/>
            <w14:checkbox>
              <w14:checked w14:val="0"/>
              <w14:checkedState w14:val="2612" w14:font="MS Gothic"/>
              <w14:uncheckedState w14:val="2610" w14:font="MS Gothic"/>
            </w14:checkbox>
          </w:sdtPr>
          <w:sdtEndPr/>
          <w:sdtContent>
            <w:tc>
              <w:tcPr>
                <w:tcW w:w="720" w:type="dxa"/>
              </w:tcPr>
              <w:p w14:paraId="7BDFB8B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0BF28EA"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Electric Utility</w:t>
            </w:r>
          </w:p>
        </w:tc>
      </w:tr>
      <w:tr w:rsidR="00AA0BEC" w:rsidRPr="00AA0BEC" w14:paraId="6D47DB46" w14:textId="77777777" w:rsidTr="00E16F9E">
        <w:tc>
          <w:tcPr>
            <w:tcW w:w="644" w:type="dxa"/>
          </w:tcPr>
          <w:p w14:paraId="77517C1B"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822889985"/>
            <w14:checkbox>
              <w14:checked w14:val="0"/>
              <w14:checkedState w14:val="2612" w14:font="MS Gothic"/>
              <w14:uncheckedState w14:val="2610" w14:font="MS Gothic"/>
            </w14:checkbox>
          </w:sdtPr>
          <w:sdtEndPr/>
          <w:sdtContent>
            <w:tc>
              <w:tcPr>
                <w:tcW w:w="720" w:type="dxa"/>
              </w:tcPr>
              <w:p w14:paraId="0C12FE8A"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FBBA8C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Other Market Participant / Observer</w:t>
            </w:r>
          </w:p>
        </w:tc>
      </w:tr>
    </w:tbl>
    <w:p w14:paraId="63EAC7E0" w14:textId="6D2FF3F7" w:rsidR="00234ABC" w:rsidRDefault="00234ABC" w:rsidP="00AA0BEC">
      <w:pPr>
        <w:spacing w:before="120" w:after="120"/>
        <w:jc w:val="both"/>
        <w:rPr>
          <w:rFonts w:ascii="Times New Roman" w:hAnsi="Times New Roman"/>
          <w:snapToGrid w:val="0"/>
          <w:color w:val="000000"/>
        </w:rPr>
      </w:pPr>
    </w:p>
    <w:p w14:paraId="63AF49E2" w14:textId="77777777" w:rsidR="00234ABC" w:rsidRDefault="00234ABC">
      <w:pPr>
        <w:rPr>
          <w:rFonts w:ascii="Times New Roman" w:hAnsi="Times New Roman"/>
          <w:snapToGrid w:val="0"/>
          <w:color w:val="000000"/>
        </w:rPr>
      </w:pPr>
      <w:r>
        <w:rPr>
          <w:rFonts w:ascii="Times New Roman" w:hAnsi="Times New Roman"/>
          <w:snapToGrid w:val="0"/>
          <w:color w:val="000000"/>
        </w:rPr>
        <w:br w:type="page"/>
      </w:r>
    </w:p>
    <w:p w14:paraId="1DCB763E" w14:textId="77777777" w:rsidR="00F916D8" w:rsidRPr="00F916D8" w:rsidRDefault="00F916D8" w:rsidP="00F916D8">
      <w:pPr>
        <w:spacing w:before="60" w:after="60"/>
        <w:rPr>
          <w:rFonts w:ascii="Times New Roman" w:hAnsi="Times New Roman"/>
          <w:b/>
          <w:bCs/>
          <w:u w:val="single"/>
        </w:rPr>
      </w:pPr>
      <w:bookmarkStart w:id="5" w:name="_Hlk132302709"/>
      <w:bookmarkStart w:id="6" w:name="_Hlk129336989"/>
      <w:r w:rsidRPr="00F916D8">
        <w:rPr>
          <w:rFonts w:ascii="Times New Roman" w:hAnsi="Times New Roman"/>
          <w:b/>
          <w:bCs/>
          <w:u w:val="single"/>
        </w:rPr>
        <w:lastRenderedPageBreak/>
        <w:t>Measures to improve the ability of generators to obtain fuel during extreme cold weather events when natural gas heating load and natural gas-fired generators are both in high demand for natural gas, at the same time that natural gas production may have decreased</w:t>
      </w:r>
    </w:p>
    <w:bookmarkEnd w:id="5"/>
    <w:p w14:paraId="2183EEBC" w14:textId="77777777" w:rsidR="00F916D8" w:rsidRPr="00F916D8" w:rsidRDefault="00F916D8" w:rsidP="00F916D8">
      <w:pPr>
        <w:spacing w:before="120" w:after="120"/>
        <w:rPr>
          <w:rFonts w:ascii="Times New Roman" w:hAnsi="Times New Roman"/>
          <w:i/>
          <w:iCs/>
        </w:rPr>
      </w:pPr>
      <w:r w:rsidRPr="00F916D8">
        <w:rPr>
          <w:rFonts w:ascii="Times New Roman" w:hAnsi="Times New Roman"/>
          <w:i/>
          <w:iCs/>
        </w:rPr>
        <w:t>3.</w:t>
      </w:r>
      <w:proofErr w:type="spellStart"/>
      <w:r w:rsidRPr="00F916D8">
        <w:rPr>
          <w:rFonts w:ascii="Times New Roman" w:hAnsi="Times New Roman"/>
          <w:i/>
          <w:iCs/>
        </w:rPr>
        <w:t>a</w:t>
      </w:r>
      <w:proofErr w:type="spellEnd"/>
      <w:r w:rsidRPr="00F916D8">
        <w:rPr>
          <w:rFonts w:ascii="Times New Roman" w:hAnsi="Times New Roman"/>
          <w:i/>
          <w:iCs/>
        </w:rPr>
        <w:t xml:space="preserve"> </w:t>
      </w:r>
      <w:bookmarkStart w:id="7" w:name="_Hlk132302735"/>
      <w:r w:rsidRPr="00F916D8">
        <w:rPr>
          <w:rFonts w:ascii="Times New Roman" w:hAnsi="Times New Roman"/>
          <w:i/>
          <w:iCs/>
        </w:rPr>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bookmarkEnd w:id="7"/>
    </w:p>
    <w:bookmarkEnd w:id="6"/>
    <w:p w14:paraId="60F3BFEA" w14:textId="77777777" w:rsidR="00934D7B" w:rsidRPr="00934D7B" w:rsidRDefault="00934D7B" w:rsidP="00934D7B">
      <w:pPr>
        <w:spacing w:before="60" w:after="60"/>
        <w:ind w:left="360"/>
        <w:rPr>
          <w:rFonts w:ascii="Times New Roman" w:hAnsi="Times New Roman"/>
        </w:rPr>
      </w:pPr>
      <w:r w:rsidRPr="00934D7B">
        <w:rPr>
          <w:rFonts w:ascii="Times New Roman" w:hAnsi="Times New Roman"/>
        </w:rPr>
        <w:t xml:space="preserve">In the </w:t>
      </w:r>
      <w:bookmarkStart w:id="8" w:name="_Hlk132885272"/>
      <w:r w:rsidRPr="00934D7B">
        <w:rPr>
          <w:rFonts w:ascii="Times New Roman" w:hAnsi="Times New Roman"/>
        </w:rPr>
        <w:t>FERC-NERC-Regional Entity Staff Report: February 2021 Cold Weather Outages in Texas and the South Central United States</w:t>
      </w:r>
      <w:bookmarkEnd w:id="8"/>
      <w:r w:rsidRPr="00934D7B">
        <w:rPr>
          <w:rFonts w:ascii="Times New Roman" w:hAnsi="Times New Roman"/>
        </w:rPr>
        <w:t>, it was stated that “[</w:t>
      </w:r>
      <w:proofErr w:type="spellStart"/>
      <w:r w:rsidRPr="00934D7B">
        <w:rPr>
          <w:rFonts w:ascii="Times New Roman" w:hAnsi="Times New Roman"/>
        </w:rPr>
        <w:t>i</w:t>
      </w:r>
      <w:proofErr w:type="spellEnd"/>
      <w:r w:rsidRPr="00934D7B">
        <w:rPr>
          <w:rFonts w:ascii="Times New Roman" w:hAnsi="Times New Roman"/>
        </w:rPr>
        <w:t>]n 2012, natural gas-fired generating units told the Commission that they were not subscribing to firm transportation contracts on pipelines because their capacity use was not high enough to make the decision economic,”</w:t>
      </w:r>
      <w:r w:rsidRPr="00934D7B">
        <w:rPr>
          <w:rFonts w:ascii="Times New Roman" w:hAnsi="Times New Roman"/>
          <w:vertAlign w:val="superscript"/>
        </w:rPr>
        <w:footnoteReference w:id="1"/>
      </w:r>
      <w:r w:rsidRPr="00934D7B">
        <w:rPr>
          <w:rFonts w:ascii="Times New Roman" w:hAnsi="Times New Roman"/>
        </w:rPr>
        <w:t xml:space="preserve">  and that “[t]o address this concern, some natural gas pipelines told the Commission they were offering enhanced flexible firm transportation and storage services.  Still, the Commission learned that many generators were not subscribing to these services, mainly due to cost concerns.”</w:t>
      </w:r>
      <w:r w:rsidRPr="00934D7B">
        <w:rPr>
          <w:rFonts w:ascii="Times New Roman" w:hAnsi="Times New Roman"/>
          <w:vertAlign w:val="superscript"/>
        </w:rPr>
        <w:footnoteReference w:id="2"/>
      </w:r>
      <w:r w:rsidRPr="00934D7B">
        <w:rPr>
          <w:rFonts w:ascii="Times New Roman" w:hAnsi="Times New Roman"/>
        </w:rPr>
        <w:t xml:space="preserve">  As part of the GEH Forum, participants have indicated that these concerns persist.</w:t>
      </w:r>
    </w:p>
    <w:p w14:paraId="02165B86" w14:textId="7477DA72" w:rsidR="00934D7B" w:rsidRDefault="00934D7B" w:rsidP="00934D7B">
      <w:pPr>
        <w:numPr>
          <w:ilvl w:val="0"/>
          <w:numId w:val="27"/>
        </w:numPr>
        <w:spacing w:before="60" w:after="60"/>
        <w:contextualSpacing/>
        <w:rPr>
          <w:rFonts w:ascii="Times New Roman" w:hAnsi="Times New Roman"/>
        </w:rPr>
      </w:pPr>
      <w:r w:rsidRPr="00934D7B">
        <w:rPr>
          <w:rFonts w:ascii="Times New Roman" w:hAnsi="Times New Roman"/>
        </w:rPr>
        <w:t xml:space="preserve">Are there new approaches or thoughts that have not been discussed within the GEH Forum, including policy changes, incentives, or cost-recovery mechanisms, applicable to either gas or electric markets, that may better enable market participants to obtain, in a cost-effective manner, firm supply/transport and/or dual fuel capability to support reliability? </w:t>
      </w:r>
    </w:p>
    <w:p w14:paraId="3504314A" w14:textId="77777777" w:rsidR="00934D7B" w:rsidRPr="00934D7B" w:rsidRDefault="00934D7B" w:rsidP="00934D7B">
      <w:pPr>
        <w:spacing w:before="60" w:after="60"/>
        <w:ind w:left="720"/>
        <w:contextualSpacing/>
        <w:rPr>
          <w:rFonts w:ascii="Times New Roman" w:hAnsi="Times New Roman"/>
        </w:rPr>
      </w:pPr>
    </w:p>
    <w:p w14:paraId="2EC1E7DE" w14:textId="77777777" w:rsidR="00934D7B" w:rsidRPr="00934D7B" w:rsidRDefault="00934D7B" w:rsidP="00934D7B">
      <w:pPr>
        <w:spacing w:before="60" w:after="60"/>
        <w:ind w:left="360"/>
        <w:rPr>
          <w:rFonts w:ascii="Times New Roman" w:hAnsi="Times New Roman"/>
        </w:rPr>
      </w:pPr>
      <w:r w:rsidRPr="00934D7B">
        <w:rPr>
          <w:rFonts w:ascii="Times New Roman" w:hAnsi="Times New Roman"/>
        </w:rPr>
        <w:t>As part of the February Survey, there was significant support from both wholesale gas and wholesale market participants regarding recommendations to streamline the certificate review process and expediate the pipeline permitting processes for new infrastructure.</w:t>
      </w:r>
    </w:p>
    <w:p w14:paraId="5FE8EE5D" w14:textId="77777777" w:rsidR="00934D7B" w:rsidRPr="00934D7B" w:rsidRDefault="00934D7B" w:rsidP="00934D7B">
      <w:pPr>
        <w:numPr>
          <w:ilvl w:val="0"/>
          <w:numId w:val="27"/>
        </w:numPr>
        <w:spacing w:before="60" w:after="60"/>
        <w:contextualSpacing/>
        <w:rPr>
          <w:rFonts w:ascii="Times New Roman" w:hAnsi="Times New Roman"/>
        </w:rPr>
      </w:pPr>
      <w:r w:rsidRPr="00934D7B">
        <w:rPr>
          <w:rFonts w:ascii="Times New Roman" w:hAnsi="Times New Roman"/>
        </w:rPr>
        <w:t>What specific actions could be taken by legislators, regulators, or industry to make these processes more efficient?</w:t>
      </w:r>
    </w:p>
    <w:p w14:paraId="060D57E8" w14:textId="77777777" w:rsidR="00934D7B" w:rsidRPr="00934D7B" w:rsidRDefault="00934D7B" w:rsidP="00934D7B">
      <w:pPr>
        <w:numPr>
          <w:ilvl w:val="0"/>
          <w:numId w:val="27"/>
        </w:numPr>
        <w:spacing w:before="60" w:after="60"/>
        <w:contextualSpacing/>
        <w:rPr>
          <w:rFonts w:ascii="Times New Roman" w:hAnsi="Times New Roman"/>
        </w:rPr>
      </w:pPr>
      <w:r w:rsidRPr="00934D7B">
        <w:rPr>
          <w:rFonts w:ascii="Times New Roman" w:hAnsi="Times New Roman"/>
        </w:rPr>
        <w:t>What impacts will additional infrastructure buildout have on consumer costs?</w:t>
      </w:r>
    </w:p>
    <w:p w14:paraId="354EFB06" w14:textId="77777777" w:rsidR="00157ED4" w:rsidRDefault="00157ED4" w:rsidP="00157ED4">
      <w:pPr>
        <w:spacing w:before="60" w:after="60"/>
        <w:ind w:left="360"/>
        <w:rPr>
          <w:rFonts w:ascii="Times New Roman" w:hAnsi="Times New Roman"/>
        </w:rPr>
      </w:pPr>
    </w:p>
    <w:p w14:paraId="3200E6DA" w14:textId="40F88C5D" w:rsidR="00157ED4" w:rsidRDefault="00157ED4" w:rsidP="00934D7B">
      <w:pPr>
        <w:pStyle w:val="ListParagraph"/>
        <w:numPr>
          <w:ilvl w:val="0"/>
          <w:numId w:val="27"/>
        </w:numPr>
        <w:spacing w:before="60" w:after="60" w:line="256" w:lineRule="auto"/>
        <w:rPr>
          <w:rFonts w:ascii="Times New Roman" w:hAnsi="Times New Roman"/>
          <w:b/>
          <w:bCs/>
          <w:u w:val="single"/>
        </w:rPr>
      </w:pPr>
      <w:r>
        <w:rPr>
          <w:rFonts w:ascii="Times New Roman" w:hAnsi="Times New Roman"/>
        </w:rPr>
        <w:t xml:space="preserve">Are there any additional recommendations for </w:t>
      </w:r>
      <w:r w:rsidR="0031475D">
        <w:rPr>
          <w:rFonts w:ascii="Times New Roman" w:hAnsi="Times New Roman"/>
        </w:rPr>
        <w:t>action</w:t>
      </w:r>
      <w:r>
        <w:rPr>
          <w:rFonts w:ascii="Times New Roman" w:hAnsi="Times New Roman"/>
        </w:rPr>
        <w:t xml:space="preserve"> related to area </w:t>
      </w:r>
      <w:r w:rsidR="00F916D8">
        <w:rPr>
          <w:rFonts w:ascii="Times New Roman" w:hAnsi="Times New Roman"/>
        </w:rPr>
        <w:t>3</w:t>
      </w:r>
      <w:r>
        <w:rPr>
          <w:rFonts w:ascii="Times New Roman" w:hAnsi="Times New Roman"/>
        </w:rPr>
        <w:t xml:space="preserve">.a that have not been previously offered </w:t>
      </w:r>
      <w:r w:rsidR="0031475D">
        <w:rPr>
          <w:rFonts w:ascii="Times New Roman" w:hAnsi="Times New Roman"/>
        </w:rPr>
        <w:t>and</w:t>
      </w:r>
      <w:r>
        <w:rPr>
          <w:rFonts w:ascii="Times New Roman" w:hAnsi="Times New Roman"/>
        </w:rPr>
        <w:t xml:space="preserve"> should be included for consideration?</w:t>
      </w:r>
      <w:bookmarkStart w:id="9" w:name="_Hlk129346368"/>
    </w:p>
    <w:p w14:paraId="67A51295" w14:textId="77777777" w:rsidR="00157ED4" w:rsidRDefault="00157ED4" w:rsidP="00157ED4">
      <w:pPr>
        <w:spacing w:before="60" w:after="60"/>
        <w:rPr>
          <w:rFonts w:ascii="Times New Roman" w:hAnsi="Times New Roman"/>
        </w:rPr>
      </w:pPr>
      <w:r>
        <w:rPr>
          <w:rFonts w:ascii="Times New Roman" w:hAnsi="Times New Roman"/>
        </w:rPr>
        <w:t>------</w:t>
      </w:r>
    </w:p>
    <w:p w14:paraId="02ACF18E" w14:textId="77777777" w:rsidR="00F916D8" w:rsidRPr="00F916D8" w:rsidRDefault="00F916D8" w:rsidP="00F916D8">
      <w:pPr>
        <w:spacing w:before="120" w:after="120"/>
        <w:rPr>
          <w:rFonts w:ascii="Times New Roman" w:hAnsi="Times New Roman"/>
          <w:i/>
          <w:iCs/>
        </w:rPr>
      </w:pPr>
      <w:r w:rsidRPr="00F916D8">
        <w:rPr>
          <w:rFonts w:ascii="Times New Roman" w:hAnsi="Times New Roman"/>
          <w:i/>
          <w:iCs/>
        </w:rPr>
        <w:t xml:space="preserve">3.b </w:t>
      </w:r>
      <w:bookmarkStart w:id="10" w:name="_Hlk132302892"/>
      <w:r w:rsidRPr="00F916D8">
        <w:rPr>
          <w:rFonts w:ascii="Times New Roman" w:hAnsi="Times New Roman"/>
          <w:i/>
          <w:iCs/>
        </w:rPr>
        <w:t>[Recommendation 24] Possible options for increased regasification of liquid natural gas (including possible Jones Act Waivers)</w:t>
      </w:r>
      <w:bookmarkEnd w:id="10"/>
    </w:p>
    <w:p w14:paraId="3FBB7F25" w14:textId="77777777" w:rsidR="00F916D8" w:rsidRPr="00F916D8" w:rsidRDefault="00F916D8" w:rsidP="00F916D8">
      <w:pPr>
        <w:spacing w:before="60" w:after="60"/>
        <w:rPr>
          <w:rFonts w:ascii="Times New Roman" w:hAnsi="Times New Roman"/>
          <w:i/>
          <w:iCs/>
        </w:rPr>
      </w:pPr>
      <w:r w:rsidRPr="00F916D8">
        <w:rPr>
          <w:rFonts w:ascii="Times New Roman" w:hAnsi="Times New Roman"/>
          <w:i/>
          <w:iCs/>
        </w:rPr>
        <w:t>3.h Whether or how to increase the number of “peak-shaver” natural gas-fired generating units that have on-site liquid natural gas storage</w:t>
      </w:r>
    </w:p>
    <w:bookmarkEnd w:id="9"/>
    <w:p w14:paraId="7258E1CA" w14:textId="77777777" w:rsidR="00934D7B" w:rsidRPr="00934D7B" w:rsidRDefault="00934D7B" w:rsidP="00934D7B">
      <w:pPr>
        <w:spacing w:before="60" w:after="60"/>
        <w:ind w:left="360"/>
        <w:rPr>
          <w:rFonts w:ascii="Times New Roman" w:hAnsi="Times New Roman"/>
        </w:rPr>
      </w:pPr>
      <w:r w:rsidRPr="00934D7B">
        <w:rPr>
          <w:rFonts w:ascii="Times New Roman" w:hAnsi="Times New Roman"/>
        </w:rPr>
        <w:t>Throughout the GEH Forum, there have been various discussions regarding the regasification of LNG, and the February survey included recommendations regarding the “peak-shaver” natural gas-fired generating units that utilize LNG as well as the creation of a call market option for LNG.  However, during the April 27 GEH Forum meeting, there were discussions regarding the viability of LNG as a broadly applicable solution as potential costs may be disproportionate to received benefits.</w:t>
      </w:r>
    </w:p>
    <w:p w14:paraId="56DAFF4A" w14:textId="77777777" w:rsidR="00934D7B" w:rsidRPr="00934D7B" w:rsidRDefault="00934D7B" w:rsidP="00934D7B">
      <w:pPr>
        <w:numPr>
          <w:ilvl w:val="0"/>
          <w:numId w:val="42"/>
        </w:numPr>
        <w:spacing w:before="60" w:after="60"/>
        <w:contextualSpacing/>
        <w:rPr>
          <w:rFonts w:ascii="Times New Roman" w:hAnsi="Times New Roman"/>
        </w:rPr>
      </w:pPr>
      <w:r w:rsidRPr="00934D7B">
        <w:rPr>
          <w:rFonts w:ascii="Times New Roman" w:hAnsi="Times New Roman"/>
        </w:rPr>
        <w:t>Are there policy changes, incentives, or cost-recovery mechanisms that could encourage more cost-effective utilization of LNG by “peak-shaver” natural gas-fired generating units, including the use of on-site LNG storage?</w:t>
      </w:r>
    </w:p>
    <w:p w14:paraId="2A808BEE" w14:textId="77777777" w:rsidR="00934D7B" w:rsidRPr="00934D7B" w:rsidRDefault="00934D7B" w:rsidP="00934D7B">
      <w:pPr>
        <w:numPr>
          <w:ilvl w:val="0"/>
          <w:numId w:val="42"/>
        </w:numPr>
        <w:spacing w:before="60" w:after="60"/>
        <w:contextualSpacing/>
        <w:rPr>
          <w:rFonts w:ascii="Times New Roman" w:hAnsi="Times New Roman"/>
        </w:rPr>
      </w:pPr>
      <w:r w:rsidRPr="00934D7B">
        <w:rPr>
          <w:rFonts w:ascii="Times New Roman" w:hAnsi="Times New Roman"/>
        </w:rPr>
        <w:t>How could the development of a call market option for LNG be facilitated?</w:t>
      </w:r>
    </w:p>
    <w:p w14:paraId="7E7C769A" w14:textId="77777777" w:rsidR="00157ED4" w:rsidRDefault="00157ED4" w:rsidP="00157ED4">
      <w:pPr>
        <w:pStyle w:val="ListParagraph"/>
        <w:spacing w:before="60" w:after="60"/>
        <w:rPr>
          <w:rFonts w:ascii="Times New Roman" w:hAnsi="Times New Roman"/>
        </w:rPr>
      </w:pPr>
    </w:p>
    <w:p w14:paraId="07DEF24D" w14:textId="11ABDD2D" w:rsidR="00157ED4" w:rsidRDefault="00157ED4" w:rsidP="00934D7B">
      <w:pPr>
        <w:pStyle w:val="ListParagraph"/>
        <w:numPr>
          <w:ilvl w:val="0"/>
          <w:numId w:val="42"/>
        </w:numPr>
        <w:spacing w:before="60" w:after="60" w:line="256" w:lineRule="auto"/>
        <w:rPr>
          <w:rFonts w:ascii="Times New Roman" w:hAnsi="Times New Roman"/>
        </w:rPr>
      </w:pPr>
      <w:r>
        <w:rPr>
          <w:rFonts w:ascii="Times New Roman" w:hAnsi="Times New Roman"/>
        </w:rPr>
        <w:lastRenderedPageBreak/>
        <w:t>Are there any recommendations for action related to area</w:t>
      </w:r>
      <w:r w:rsidR="00F916D8">
        <w:rPr>
          <w:rFonts w:ascii="Times New Roman" w:hAnsi="Times New Roman"/>
        </w:rPr>
        <w:t>s</w:t>
      </w:r>
      <w:r>
        <w:rPr>
          <w:rFonts w:ascii="Times New Roman" w:hAnsi="Times New Roman"/>
        </w:rPr>
        <w:t xml:space="preserve"> </w:t>
      </w:r>
      <w:r w:rsidR="00F916D8">
        <w:rPr>
          <w:rFonts w:ascii="Times New Roman" w:hAnsi="Times New Roman"/>
        </w:rPr>
        <w:t>3.b or 3.h</w:t>
      </w:r>
      <w:r>
        <w:rPr>
          <w:rFonts w:ascii="Times New Roman" w:hAnsi="Times New Roman"/>
        </w:rPr>
        <w:t xml:space="preserve"> that have not been previously offered </w:t>
      </w:r>
      <w:r w:rsidR="00B44CF6">
        <w:rPr>
          <w:rFonts w:ascii="Times New Roman" w:hAnsi="Times New Roman"/>
        </w:rPr>
        <w:t>and</w:t>
      </w:r>
      <w:r>
        <w:rPr>
          <w:rFonts w:ascii="Times New Roman" w:hAnsi="Times New Roman"/>
        </w:rPr>
        <w:t xml:space="preserve"> should be included for consideration?</w:t>
      </w:r>
    </w:p>
    <w:p w14:paraId="0F022D4C" w14:textId="77777777" w:rsidR="00157ED4" w:rsidRDefault="00157ED4" w:rsidP="00157ED4">
      <w:pPr>
        <w:spacing w:before="60" w:after="60"/>
        <w:rPr>
          <w:rFonts w:ascii="Times New Roman" w:hAnsi="Times New Roman"/>
        </w:rPr>
      </w:pPr>
      <w:r>
        <w:rPr>
          <w:rFonts w:ascii="Times New Roman" w:hAnsi="Times New Roman"/>
        </w:rPr>
        <w:t>------</w:t>
      </w:r>
    </w:p>
    <w:p w14:paraId="77EB5008" w14:textId="77777777" w:rsidR="00F916D8" w:rsidRPr="00F916D8" w:rsidRDefault="00F916D8" w:rsidP="00F916D8">
      <w:pPr>
        <w:spacing w:before="120" w:after="120"/>
        <w:rPr>
          <w:rFonts w:ascii="Times New Roman" w:hAnsi="Times New Roman"/>
          <w:i/>
          <w:iCs/>
        </w:rPr>
      </w:pPr>
      <w:r w:rsidRPr="00F916D8">
        <w:rPr>
          <w:rFonts w:ascii="Times New Roman" w:hAnsi="Times New Roman"/>
          <w:i/>
          <w:iCs/>
        </w:rPr>
        <w:t xml:space="preserve">3.c </w:t>
      </w:r>
      <w:bookmarkStart w:id="11" w:name="_Hlk132302998"/>
      <w:r w:rsidRPr="00F916D8">
        <w:rPr>
          <w:rFonts w:ascii="Times New Roman" w:hAnsi="Times New Roman"/>
          <w:i/>
          <w:iCs/>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bookmarkEnd w:id="11"/>
    <w:p w14:paraId="015D55D0" w14:textId="34B6EFA0" w:rsidR="00F916D8" w:rsidRPr="00F916D8" w:rsidRDefault="00F916D8" w:rsidP="00F916D8">
      <w:pPr>
        <w:spacing w:before="60" w:after="60"/>
        <w:ind w:left="360"/>
        <w:rPr>
          <w:rFonts w:ascii="Times New Roman" w:hAnsi="Times New Roman"/>
        </w:rPr>
      </w:pPr>
      <w:r w:rsidRPr="00F916D8">
        <w:rPr>
          <w:rFonts w:ascii="Times New Roman" w:hAnsi="Times New Roman"/>
        </w:rPr>
        <w:t xml:space="preserve">As stated in the FERC-NERC-Regional </w:t>
      </w:r>
      <w:bookmarkStart w:id="12" w:name="_Hlk132967326"/>
      <w:r w:rsidRPr="00F916D8">
        <w:rPr>
          <w:rFonts w:ascii="Times New Roman" w:hAnsi="Times New Roman"/>
        </w:rPr>
        <w:t>Entity Staff Report: February 2021 Cold Weather Outages in Texas and the South Central United States</w:t>
      </w:r>
      <w:bookmarkEnd w:id="12"/>
      <w:r w:rsidRPr="00F916D8">
        <w:rPr>
          <w:rFonts w:ascii="Times New Roman" w:hAnsi="Times New Roman"/>
        </w:rPr>
        <w:t xml:space="preserve">, an </w:t>
      </w:r>
      <w:r w:rsidR="007D324D">
        <w:rPr>
          <w:rFonts w:ascii="Times New Roman" w:hAnsi="Times New Roman"/>
        </w:rPr>
        <w:t xml:space="preserve">emergency </w:t>
      </w:r>
      <w:r w:rsidRPr="00F916D8">
        <w:rPr>
          <w:rFonts w:ascii="Times New Roman" w:hAnsi="Times New Roman"/>
        </w:rPr>
        <w:t xml:space="preserve">order was issued by the Texas Railroad Commission (RRC) </w:t>
      </w:r>
      <w:r w:rsidR="007D324D">
        <w:rPr>
          <w:rFonts w:ascii="Times New Roman" w:hAnsi="Times New Roman"/>
        </w:rPr>
        <w:t xml:space="preserve">during Winter Storm Uri </w:t>
      </w:r>
      <w:r w:rsidRPr="00F916D8">
        <w:rPr>
          <w:rFonts w:ascii="Times New Roman" w:hAnsi="Times New Roman"/>
        </w:rPr>
        <w:t>that elevated natural gas deliveries to electric generators serving human needs customers as second in priority behind deliveries to residences, schools, hospitals, churches, and local distribution companies serving humans needs customers</w:t>
      </w:r>
      <w:r w:rsidR="00332AB5">
        <w:rPr>
          <w:rFonts w:ascii="Times New Roman" w:hAnsi="Times New Roman"/>
        </w:rPr>
        <w:t>.</w:t>
      </w:r>
    </w:p>
    <w:p w14:paraId="74B1ACDB" w14:textId="77777777" w:rsidR="00F916D8" w:rsidRPr="00F916D8" w:rsidRDefault="00F916D8" w:rsidP="00F916D8">
      <w:pPr>
        <w:numPr>
          <w:ilvl w:val="0"/>
          <w:numId w:val="37"/>
        </w:numPr>
        <w:spacing w:before="60" w:after="60"/>
        <w:contextualSpacing/>
        <w:rPr>
          <w:rFonts w:ascii="Times New Roman" w:hAnsi="Times New Roman"/>
        </w:rPr>
      </w:pPr>
      <w:r w:rsidRPr="00F916D8">
        <w:rPr>
          <w:rFonts w:ascii="Times New Roman" w:hAnsi="Times New Roman"/>
        </w:rPr>
        <w:t>Would it be beneficial if guidance was developed that the designated authority could reference when considering such actions as a way to promote consistency across regions?</w:t>
      </w:r>
    </w:p>
    <w:p w14:paraId="5F413269" w14:textId="77777777" w:rsidR="00F916D8" w:rsidRPr="00F916D8" w:rsidRDefault="00F916D8" w:rsidP="00F916D8">
      <w:pPr>
        <w:numPr>
          <w:ilvl w:val="0"/>
          <w:numId w:val="37"/>
        </w:numPr>
        <w:spacing w:before="60" w:after="60"/>
        <w:contextualSpacing/>
        <w:rPr>
          <w:rFonts w:ascii="Times New Roman" w:hAnsi="Times New Roman"/>
        </w:rPr>
      </w:pPr>
      <w:r w:rsidRPr="00F916D8">
        <w:rPr>
          <w:rFonts w:ascii="Times New Roman" w:hAnsi="Times New Roman"/>
        </w:rPr>
        <w:t>What factors should be considered by an entity with the designated authority in establishing natural gas curtailment programs or priorities of service?</w:t>
      </w:r>
    </w:p>
    <w:p w14:paraId="2A8DB2BA" w14:textId="77777777" w:rsidR="00157ED4" w:rsidRDefault="00157ED4" w:rsidP="00157ED4">
      <w:pPr>
        <w:spacing w:before="60" w:after="60"/>
        <w:rPr>
          <w:rFonts w:ascii="Times New Roman" w:hAnsi="Times New Roman" w:cstheme="minorBidi"/>
          <w:kern w:val="2"/>
          <w:szCs w:val="22"/>
          <w14:ligatures w14:val="standardContextual"/>
        </w:rPr>
      </w:pPr>
    </w:p>
    <w:p w14:paraId="190E40CC" w14:textId="48E6B491" w:rsidR="00157ED4" w:rsidRPr="00157ED4" w:rsidRDefault="00157ED4" w:rsidP="00F916D8">
      <w:pPr>
        <w:pStyle w:val="ListParagraph"/>
        <w:numPr>
          <w:ilvl w:val="0"/>
          <w:numId w:val="38"/>
        </w:numPr>
        <w:spacing w:before="60" w:after="60" w:line="256" w:lineRule="auto"/>
        <w:rPr>
          <w:rFonts w:ascii="Times New Roman" w:hAnsi="Times New Roman"/>
        </w:rPr>
      </w:pPr>
      <w:r>
        <w:rPr>
          <w:rFonts w:ascii="Times New Roman" w:hAnsi="Times New Roman"/>
          <w:kern w:val="2"/>
          <w14:ligatures w14:val="standardContextual"/>
        </w:rPr>
        <w:t xml:space="preserve">Are there any recommendations for action related to area </w:t>
      </w:r>
      <w:r w:rsidR="00316542">
        <w:rPr>
          <w:rFonts w:ascii="Times New Roman" w:hAnsi="Times New Roman"/>
          <w:kern w:val="2"/>
          <w14:ligatures w14:val="standardContextual"/>
        </w:rPr>
        <w:t>3</w:t>
      </w:r>
      <w:r>
        <w:rPr>
          <w:rFonts w:ascii="Times New Roman" w:hAnsi="Times New Roman"/>
          <w:kern w:val="2"/>
          <w14:ligatures w14:val="standardContextual"/>
        </w:rPr>
        <w:t xml:space="preserve">.c that have not been previously offered </w:t>
      </w:r>
      <w:r w:rsidR="00E873F9">
        <w:rPr>
          <w:rFonts w:ascii="Times New Roman" w:hAnsi="Times New Roman"/>
          <w:kern w:val="2"/>
          <w14:ligatures w14:val="standardContextual"/>
        </w:rPr>
        <w:t>and</w:t>
      </w:r>
      <w:r w:rsidR="009E1DD2">
        <w:rPr>
          <w:rFonts w:ascii="Times New Roman" w:hAnsi="Times New Roman"/>
          <w:kern w:val="2"/>
          <w14:ligatures w14:val="standardContextual"/>
        </w:rPr>
        <w:t xml:space="preserve"> </w:t>
      </w:r>
      <w:r>
        <w:rPr>
          <w:rFonts w:ascii="Times New Roman" w:hAnsi="Times New Roman"/>
          <w:kern w:val="2"/>
          <w14:ligatures w14:val="standardContextual"/>
        </w:rPr>
        <w:t>should be included for consideration?</w:t>
      </w:r>
    </w:p>
    <w:p w14:paraId="2DE5E8CE" w14:textId="77777777" w:rsidR="005160A2" w:rsidRDefault="00C93449" w:rsidP="005160A2">
      <w:pPr>
        <w:spacing w:before="60" w:after="60" w:line="256" w:lineRule="auto"/>
        <w:rPr>
          <w:rFonts w:ascii="Times New Roman" w:hAnsi="Times New Roman"/>
        </w:rPr>
      </w:pPr>
      <w:r>
        <w:rPr>
          <w:rFonts w:ascii="Times New Roman" w:hAnsi="Times New Roman"/>
        </w:rPr>
        <w:t>-------</w:t>
      </w:r>
    </w:p>
    <w:p w14:paraId="5650913A" w14:textId="77777777" w:rsidR="00F916D8" w:rsidRPr="00F916D8" w:rsidRDefault="00F916D8" w:rsidP="00F916D8">
      <w:pPr>
        <w:spacing w:before="120" w:after="120"/>
        <w:rPr>
          <w:rFonts w:ascii="Times New Roman" w:hAnsi="Times New Roman"/>
          <w:i/>
          <w:iCs/>
        </w:rPr>
      </w:pPr>
      <w:bookmarkStart w:id="13" w:name="_Hlk131689795"/>
      <w:r w:rsidRPr="00F916D8">
        <w:rPr>
          <w:rFonts w:ascii="Times New Roman" w:hAnsi="Times New Roman"/>
          <w:i/>
          <w:iCs/>
        </w:rPr>
        <w:t xml:space="preserve">3.d </w:t>
      </w:r>
      <w:bookmarkStart w:id="14" w:name="_Hlk132303089"/>
      <w:r w:rsidRPr="00F916D8">
        <w:rPr>
          <w:rFonts w:ascii="Times New Roman" w:hAnsi="Times New Roman"/>
          <w:i/>
          <w:iCs/>
        </w:rPr>
        <w:t>Whether resource accreditation requirements for certain natural gas-fired generating units should factor in the firmness of a generating unit’s gas commodity and transportation arrangements and the potential for correlated outages for units served by the same pipeline(s)</w:t>
      </w:r>
      <w:bookmarkEnd w:id="14"/>
    </w:p>
    <w:p w14:paraId="382EFB0F" w14:textId="77777777" w:rsidR="00F916D8" w:rsidRPr="00F916D8" w:rsidRDefault="00F916D8" w:rsidP="00F916D8">
      <w:pPr>
        <w:spacing w:before="60" w:after="60"/>
        <w:ind w:left="360"/>
        <w:rPr>
          <w:rFonts w:ascii="Times New Roman" w:hAnsi="Times New Roman"/>
        </w:rPr>
      </w:pPr>
      <w:r w:rsidRPr="00F916D8">
        <w:rPr>
          <w:rFonts w:ascii="Times New Roman" w:hAnsi="Times New Roman"/>
        </w:rPr>
        <w:t xml:space="preserve">This section of the February Survey included proposals to consider fuel security, firmness of fuel supply and fuel transportation, and expected generation availability as part of capacity accreditation as well as a to re-examine the duration of commitments in capacity auctions.  Several wholesale electric participants responded to indicate that these requirements are already in place or efforts are underway in these areas. </w:t>
      </w:r>
    </w:p>
    <w:p w14:paraId="7D62369A" w14:textId="77777777" w:rsidR="00F916D8" w:rsidRPr="00F916D8" w:rsidRDefault="00F916D8" w:rsidP="00F916D8">
      <w:pPr>
        <w:numPr>
          <w:ilvl w:val="0"/>
          <w:numId w:val="39"/>
        </w:numPr>
        <w:spacing w:before="60" w:after="60"/>
        <w:contextualSpacing/>
        <w:rPr>
          <w:rFonts w:ascii="Times New Roman" w:hAnsi="Times New Roman"/>
        </w:rPr>
      </w:pPr>
      <w:r w:rsidRPr="00F916D8">
        <w:rPr>
          <w:rFonts w:ascii="Times New Roman" w:hAnsi="Times New Roman"/>
        </w:rPr>
        <w:t>What resource accreditation requirements addressing fuel security, fuel supply, and expected generation availability are currently in place by market and system operators?</w:t>
      </w:r>
    </w:p>
    <w:p w14:paraId="3BD5AF13" w14:textId="77777777" w:rsidR="00F916D8" w:rsidRPr="00F916D8" w:rsidRDefault="00F916D8" w:rsidP="00F916D8">
      <w:pPr>
        <w:numPr>
          <w:ilvl w:val="0"/>
          <w:numId w:val="39"/>
        </w:numPr>
        <w:spacing w:before="60" w:after="60"/>
        <w:contextualSpacing/>
        <w:rPr>
          <w:rFonts w:ascii="Times New Roman" w:hAnsi="Times New Roman"/>
        </w:rPr>
      </w:pPr>
      <w:r w:rsidRPr="00F916D8">
        <w:rPr>
          <w:rFonts w:ascii="Times New Roman" w:hAnsi="Times New Roman"/>
        </w:rPr>
        <w:t xml:space="preserve">Are there new or modified resource accreditation requirements that should be considered in order to better promote reliability, and, if so, what are they?  </w:t>
      </w:r>
    </w:p>
    <w:p w14:paraId="3504365A" w14:textId="77777777" w:rsidR="005160A2" w:rsidRDefault="005160A2" w:rsidP="005160A2">
      <w:pPr>
        <w:spacing w:before="60" w:after="60"/>
        <w:ind w:left="720"/>
        <w:rPr>
          <w:rFonts w:ascii="Times New Roman" w:hAnsi="Times New Roman"/>
        </w:rPr>
      </w:pPr>
    </w:p>
    <w:p w14:paraId="3690D0E6" w14:textId="77777777" w:rsidR="00F916D8" w:rsidRPr="00F916D8" w:rsidRDefault="00F916D8" w:rsidP="00F916D8">
      <w:pPr>
        <w:spacing w:before="60" w:after="60"/>
        <w:ind w:left="360"/>
        <w:rPr>
          <w:rFonts w:ascii="Times New Roman" w:hAnsi="Times New Roman"/>
        </w:rPr>
      </w:pPr>
      <w:r w:rsidRPr="00F916D8">
        <w:rPr>
          <w:rFonts w:ascii="Times New Roman" w:hAnsi="Times New Roman"/>
        </w:rPr>
        <w:t>The February Survey included recommendations that proposed new market-based products or alternative service options that provide fast ramping and frequency, capacity performance/pay-for-performance programs, or price signals to incentivize long-term contracting arrangements and encourage fuel procurement in advance of critical weather events.  During the April 27 GEH Forum meeting, there was discussion in this area and specific references to the ERCOT Firm Fuel Supply Service.</w:t>
      </w:r>
    </w:p>
    <w:p w14:paraId="6CAAE690" w14:textId="5EA0FB19" w:rsidR="00F916D8" w:rsidRPr="00F916D8" w:rsidRDefault="00F916D8" w:rsidP="00F916D8">
      <w:pPr>
        <w:numPr>
          <w:ilvl w:val="0"/>
          <w:numId w:val="39"/>
        </w:numPr>
        <w:spacing w:before="60" w:after="60"/>
        <w:contextualSpacing/>
        <w:rPr>
          <w:rFonts w:ascii="Times New Roman" w:hAnsi="Times New Roman"/>
        </w:rPr>
      </w:pPr>
      <w:r w:rsidRPr="00F916D8">
        <w:rPr>
          <w:rFonts w:ascii="Times New Roman" w:hAnsi="Times New Roman"/>
        </w:rPr>
        <w:t>Are there other specific</w:t>
      </w:r>
      <w:r w:rsidR="0096160B">
        <w:t xml:space="preserve"> </w:t>
      </w:r>
      <w:r w:rsidR="0096160B" w:rsidRPr="0096160B">
        <w:rPr>
          <w:rFonts w:ascii="Times New Roman" w:hAnsi="Times New Roman"/>
        </w:rPr>
        <w:t>market-based products or alternative service options</w:t>
      </w:r>
      <w:r w:rsidR="0096160B">
        <w:rPr>
          <w:rFonts w:ascii="Times New Roman" w:hAnsi="Times New Roman"/>
        </w:rPr>
        <w:t xml:space="preserve"> that</w:t>
      </w:r>
      <w:r w:rsidRPr="00F916D8">
        <w:rPr>
          <w:rFonts w:ascii="Times New Roman" w:hAnsi="Times New Roman"/>
        </w:rPr>
        <w:t xml:space="preserve"> </w:t>
      </w:r>
      <w:r w:rsidR="0096160B">
        <w:rPr>
          <w:rFonts w:ascii="Times New Roman" w:hAnsi="Times New Roman"/>
        </w:rPr>
        <w:t xml:space="preserve">have not been recommended and </w:t>
      </w:r>
      <w:r w:rsidRPr="00F916D8">
        <w:rPr>
          <w:rFonts w:ascii="Times New Roman" w:hAnsi="Times New Roman"/>
        </w:rPr>
        <w:t xml:space="preserve">should be considered?  </w:t>
      </w:r>
    </w:p>
    <w:p w14:paraId="28CD1D02" w14:textId="77777777" w:rsidR="005160A2" w:rsidRDefault="005160A2" w:rsidP="005160A2">
      <w:pPr>
        <w:pStyle w:val="ListParagraph"/>
        <w:spacing w:before="60" w:after="60" w:line="259" w:lineRule="auto"/>
        <w:rPr>
          <w:rFonts w:ascii="Times New Roman" w:hAnsi="Times New Roman"/>
        </w:rPr>
      </w:pPr>
    </w:p>
    <w:bookmarkEnd w:id="13"/>
    <w:p w14:paraId="759FF60B" w14:textId="77777777" w:rsidR="00F916D8" w:rsidRDefault="00F916D8" w:rsidP="00F916D8">
      <w:pPr>
        <w:pStyle w:val="ListParagraph"/>
        <w:numPr>
          <w:ilvl w:val="0"/>
          <w:numId w:val="39"/>
        </w:numPr>
        <w:spacing w:before="60" w:after="60"/>
        <w:rPr>
          <w:rFonts w:ascii="Times New Roman" w:hAnsi="Times New Roman"/>
        </w:rPr>
      </w:pPr>
      <w:r>
        <w:rPr>
          <w:rFonts w:ascii="Times New Roman" w:hAnsi="Times New Roman"/>
        </w:rPr>
        <w:t>Are there any recommendations for action related to area 3.d that have not been previously offered and should be included for consideration?</w:t>
      </w:r>
    </w:p>
    <w:p w14:paraId="00938476" w14:textId="01A89E9A" w:rsidR="00157ED4" w:rsidRDefault="00C93449" w:rsidP="00157ED4">
      <w:pPr>
        <w:spacing w:before="60" w:after="60" w:line="256" w:lineRule="auto"/>
        <w:rPr>
          <w:rFonts w:ascii="Times New Roman" w:hAnsi="Times New Roman"/>
        </w:rPr>
      </w:pPr>
      <w:r>
        <w:rPr>
          <w:rFonts w:ascii="Times New Roman" w:hAnsi="Times New Roman"/>
        </w:rPr>
        <w:t>--------</w:t>
      </w:r>
    </w:p>
    <w:p w14:paraId="60CA927B" w14:textId="77777777" w:rsidR="00443436" w:rsidRPr="00443436" w:rsidRDefault="00443436" w:rsidP="00443436">
      <w:pPr>
        <w:spacing w:before="120" w:after="120"/>
        <w:rPr>
          <w:rFonts w:ascii="Times New Roman" w:hAnsi="Times New Roman"/>
          <w:i/>
          <w:iCs/>
        </w:rPr>
      </w:pPr>
      <w:r w:rsidRPr="00443436">
        <w:rPr>
          <w:rFonts w:ascii="Times New Roman" w:hAnsi="Times New Roman"/>
          <w:i/>
          <w:iCs/>
        </w:rPr>
        <w:t xml:space="preserve">3.e </w:t>
      </w:r>
      <w:bookmarkStart w:id="15" w:name="_Hlk132303225"/>
      <w:r w:rsidRPr="00443436">
        <w:rPr>
          <w:rFonts w:ascii="Times New Roman" w:hAnsi="Times New Roman"/>
          <w:i/>
          <w:iCs/>
        </w:rPr>
        <w:t xml:space="preserve">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w:t>
      </w:r>
      <w:r w:rsidRPr="00443436">
        <w:rPr>
          <w:rFonts w:ascii="Times New Roman" w:hAnsi="Times New Roman"/>
          <w:i/>
          <w:iCs/>
        </w:rPr>
        <w:lastRenderedPageBreak/>
        <w:t>alternate fuel and obtaining the necessary air permits and air permit waivers. The forum could also consider the use of other resources which could mitigate the risk of loss of natural gas fuel supply</w:t>
      </w:r>
      <w:bookmarkEnd w:id="15"/>
    </w:p>
    <w:p w14:paraId="566253A5" w14:textId="77777777" w:rsidR="00443436" w:rsidRPr="00443436" w:rsidRDefault="00443436" w:rsidP="00443436">
      <w:pPr>
        <w:spacing w:before="60" w:after="60"/>
        <w:ind w:left="360"/>
        <w:rPr>
          <w:rFonts w:ascii="Times New Roman" w:hAnsi="Times New Roman"/>
        </w:rPr>
      </w:pPr>
      <w:r w:rsidRPr="00443436">
        <w:rPr>
          <w:rFonts w:ascii="Times New Roman" w:hAnsi="Times New Roman"/>
        </w:rPr>
        <w:t xml:space="preserve">The </w:t>
      </w:r>
      <w:bookmarkStart w:id="16" w:name="_Hlk133309635"/>
      <w:r w:rsidRPr="00443436">
        <w:rPr>
          <w:rFonts w:ascii="Times New Roman" w:hAnsi="Times New Roman"/>
        </w:rPr>
        <w:t xml:space="preserve">FERC-NERC-Regional Entity Staff Report: February 2021 Cold Weather Outages in Texas and the South Central United States </w:t>
      </w:r>
      <w:bookmarkEnd w:id="16"/>
      <w:r w:rsidRPr="00443436">
        <w:rPr>
          <w:rFonts w:ascii="Times New Roman" w:hAnsi="Times New Roman"/>
        </w:rPr>
        <w:t>discussed dual-fuel and fuel switching capabilities for generators, stating that there are “both economic and reliability benefits: allowing operators to purchase the cheaper of two fuels and have an alternate source of fuel if one source is interrupted or curtailed.”</w:t>
      </w:r>
      <w:r w:rsidRPr="00443436">
        <w:rPr>
          <w:rFonts w:ascii="Times New Roman" w:hAnsi="Times New Roman"/>
          <w:vertAlign w:val="superscript"/>
        </w:rPr>
        <w:footnoteReference w:id="3"/>
      </w:r>
      <w:r w:rsidRPr="00443436">
        <w:rPr>
          <w:rFonts w:ascii="Times New Roman" w:hAnsi="Times New Roman"/>
        </w:rPr>
        <w:t xml:space="preserve">  However, the Report noted that during Winter Storm Uri, there were generating units with this capability that either did not switch fuel sources or were unsuccessful in such attempts.</w:t>
      </w:r>
      <w:r w:rsidRPr="00443436">
        <w:rPr>
          <w:rFonts w:ascii="Times New Roman" w:hAnsi="Times New Roman"/>
          <w:vertAlign w:val="superscript"/>
        </w:rPr>
        <w:footnoteReference w:id="4"/>
      </w:r>
    </w:p>
    <w:p w14:paraId="152FCE6A" w14:textId="77777777" w:rsidR="00443436" w:rsidRPr="00443436" w:rsidRDefault="00443436" w:rsidP="00443436">
      <w:pPr>
        <w:numPr>
          <w:ilvl w:val="0"/>
          <w:numId w:val="40"/>
        </w:numPr>
        <w:spacing w:before="60" w:after="60"/>
        <w:contextualSpacing/>
        <w:rPr>
          <w:rFonts w:ascii="Times New Roman" w:hAnsi="Times New Roman"/>
        </w:rPr>
      </w:pPr>
      <w:r w:rsidRPr="00443436">
        <w:rPr>
          <w:rFonts w:ascii="Times New Roman" w:hAnsi="Times New Roman"/>
        </w:rPr>
        <w:t>What actions could be taken by state or federal regulators or legislatures to encourage fuel switching during critical events?</w:t>
      </w:r>
    </w:p>
    <w:p w14:paraId="660E7A71" w14:textId="77777777" w:rsidR="00443436" w:rsidRPr="00443436" w:rsidRDefault="00443436" w:rsidP="00443436">
      <w:pPr>
        <w:numPr>
          <w:ilvl w:val="0"/>
          <w:numId w:val="40"/>
        </w:numPr>
        <w:spacing w:before="60" w:after="60"/>
        <w:contextualSpacing/>
        <w:rPr>
          <w:rFonts w:ascii="Times New Roman" w:hAnsi="Times New Roman"/>
        </w:rPr>
      </w:pPr>
      <w:r w:rsidRPr="00443436">
        <w:rPr>
          <w:rFonts w:ascii="Times New Roman" w:hAnsi="Times New Roman"/>
        </w:rPr>
        <w:t>Are there additional actions that could be taken by market and system operators to ensure these generating units are prepared to switch fuel sources when necessary for reliability purposes?</w:t>
      </w:r>
    </w:p>
    <w:p w14:paraId="547C3B42" w14:textId="77777777" w:rsidR="00443436" w:rsidRPr="00443436" w:rsidRDefault="00443436" w:rsidP="00443436">
      <w:pPr>
        <w:spacing w:before="60" w:after="60"/>
        <w:rPr>
          <w:rFonts w:ascii="Times New Roman" w:hAnsi="Times New Roman"/>
        </w:rPr>
      </w:pPr>
    </w:p>
    <w:p w14:paraId="3CFA36A2" w14:textId="77777777" w:rsidR="00443436" w:rsidRPr="00443436" w:rsidRDefault="00443436" w:rsidP="00443436">
      <w:pPr>
        <w:numPr>
          <w:ilvl w:val="0"/>
          <w:numId w:val="40"/>
        </w:numPr>
        <w:spacing w:before="60" w:after="60"/>
        <w:contextualSpacing/>
        <w:rPr>
          <w:rFonts w:ascii="Times New Roman" w:hAnsi="Times New Roman"/>
        </w:rPr>
      </w:pPr>
      <w:r w:rsidRPr="00443436">
        <w:rPr>
          <w:rFonts w:ascii="Times New Roman" w:hAnsi="Times New Roman"/>
        </w:rPr>
        <w:t>Are there any recommendations for action related to area 3.e that have not been previously offered and should be considered for inclusion?</w:t>
      </w:r>
    </w:p>
    <w:p w14:paraId="6763CD4F" w14:textId="77777777" w:rsidR="00443436" w:rsidRDefault="00443436" w:rsidP="00443436">
      <w:pPr>
        <w:spacing w:before="60" w:after="60" w:line="256" w:lineRule="auto"/>
        <w:rPr>
          <w:rFonts w:ascii="Times New Roman" w:hAnsi="Times New Roman"/>
        </w:rPr>
      </w:pPr>
      <w:r>
        <w:rPr>
          <w:rFonts w:ascii="Times New Roman" w:hAnsi="Times New Roman"/>
        </w:rPr>
        <w:t>-------</w:t>
      </w:r>
    </w:p>
    <w:p w14:paraId="5D840741" w14:textId="77777777" w:rsidR="00443436" w:rsidRPr="00443436" w:rsidRDefault="00443436" w:rsidP="00443436">
      <w:pPr>
        <w:spacing w:before="120" w:after="120"/>
        <w:rPr>
          <w:rFonts w:ascii="Times New Roman" w:hAnsi="Times New Roman"/>
          <w:i/>
          <w:iCs/>
        </w:rPr>
      </w:pPr>
      <w:bookmarkStart w:id="17" w:name="_Hlk132303349"/>
      <w:r w:rsidRPr="00443436">
        <w:rPr>
          <w:rFonts w:ascii="Times New Roman" w:hAnsi="Times New Roman"/>
          <w:i/>
          <w:iCs/>
        </w:rPr>
        <w:t>3.f Increasing the amount or use of market-area and behind-the-city-gate natural gas storage</w:t>
      </w:r>
    </w:p>
    <w:bookmarkEnd w:id="17"/>
    <w:p w14:paraId="2D171FE8" w14:textId="640AEB33" w:rsidR="00443436" w:rsidRPr="00443436" w:rsidRDefault="00443436" w:rsidP="00443436">
      <w:pPr>
        <w:spacing w:before="60" w:after="60"/>
        <w:ind w:left="360"/>
        <w:rPr>
          <w:rFonts w:ascii="Times New Roman" w:hAnsi="Times New Roman"/>
        </w:rPr>
      </w:pPr>
      <w:r w:rsidRPr="00443436">
        <w:rPr>
          <w:rFonts w:ascii="Times New Roman" w:hAnsi="Times New Roman"/>
        </w:rPr>
        <w:t>The FERC-NERC-Regional Entity Staff Report: February 2021 Cold Weather Outages in Texas and the South Central United States recommended the consideration of how policymakers could encourage “investments in strategic natural gas storage facilities, which could be located to serve the majority of pipelines supplying natural gas-fired generating units, and preserved for use during extreme cold events,”</w:t>
      </w:r>
      <w:r w:rsidRPr="00443436">
        <w:rPr>
          <w:rFonts w:ascii="Times New Roman" w:hAnsi="Times New Roman"/>
          <w:vertAlign w:val="superscript"/>
        </w:rPr>
        <w:footnoteReference w:id="5"/>
      </w:r>
      <w:r w:rsidRPr="00443436">
        <w:rPr>
          <w:rFonts w:ascii="Times New Roman" w:hAnsi="Times New Roman"/>
        </w:rPr>
        <w:t xml:space="preserve"> and there was significant support among all respondents to the February Survey to proposals to expand storage opportunities along pipeline systems as well as to allow pipelines to build in reserve capacity</w:t>
      </w:r>
    </w:p>
    <w:p w14:paraId="6B2FD235" w14:textId="77777777" w:rsidR="00443436" w:rsidRPr="00443436" w:rsidRDefault="00443436" w:rsidP="00443436">
      <w:pPr>
        <w:numPr>
          <w:ilvl w:val="0"/>
          <w:numId w:val="41"/>
        </w:numPr>
        <w:spacing w:before="60" w:after="60"/>
        <w:contextualSpacing/>
        <w:rPr>
          <w:rFonts w:ascii="Times New Roman" w:hAnsi="Times New Roman"/>
        </w:rPr>
      </w:pPr>
      <w:r w:rsidRPr="00443436">
        <w:rPr>
          <w:rFonts w:ascii="Times New Roman" w:hAnsi="Times New Roman"/>
        </w:rPr>
        <w:t>Are there policy changes, incentives, or cost-recovery mechanisms that could encourage additional, strategically located storage infrastructure?</w:t>
      </w:r>
    </w:p>
    <w:p w14:paraId="24A02DAC" w14:textId="77777777" w:rsidR="00443436" w:rsidRPr="00443436" w:rsidRDefault="00443436" w:rsidP="00443436">
      <w:pPr>
        <w:spacing w:before="60" w:after="60"/>
        <w:ind w:left="720"/>
        <w:contextualSpacing/>
        <w:rPr>
          <w:rFonts w:ascii="Times New Roman" w:hAnsi="Times New Roman"/>
        </w:rPr>
      </w:pPr>
    </w:p>
    <w:p w14:paraId="3004E10C" w14:textId="77777777" w:rsidR="00443436" w:rsidRPr="00443436" w:rsidRDefault="00443436" w:rsidP="00443436">
      <w:pPr>
        <w:spacing w:before="60" w:after="60"/>
        <w:ind w:left="360"/>
        <w:rPr>
          <w:rFonts w:ascii="Times New Roman" w:hAnsi="Times New Roman"/>
        </w:rPr>
      </w:pPr>
      <w:r w:rsidRPr="00443436">
        <w:rPr>
          <w:rFonts w:ascii="Times New Roman" w:hAnsi="Times New Roman"/>
        </w:rPr>
        <w:t>Both wholesale electric and wholesale gas respondents highly supported a proposal to consider expanding the integration of alternative fuels or LNG produced and stored behind the city gate but not many comments were submitted regarding this recommendation.</w:t>
      </w:r>
    </w:p>
    <w:p w14:paraId="463A60BA" w14:textId="77777777" w:rsidR="00443436" w:rsidRPr="00443436" w:rsidRDefault="00443436" w:rsidP="00443436">
      <w:pPr>
        <w:numPr>
          <w:ilvl w:val="0"/>
          <w:numId w:val="41"/>
        </w:numPr>
        <w:spacing w:before="60" w:after="60"/>
        <w:contextualSpacing/>
        <w:rPr>
          <w:rFonts w:ascii="Times New Roman" w:hAnsi="Times New Roman"/>
        </w:rPr>
      </w:pPr>
      <w:r w:rsidRPr="00443436">
        <w:rPr>
          <w:rFonts w:ascii="Times New Roman" w:hAnsi="Times New Roman"/>
        </w:rPr>
        <w:t>Are there policy changes, incentives, or cost-recovery mechanisms that could encourage the development of alternative fuel/LNG production and storage facilities behind the city gate?</w:t>
      </w:r>
    </w:p>
    <w:p w14:paraId="489D9177" w14:textId="77777777" w:rsidR="00443436" w:rsidRPr="00443436" w:rsidRDefault="00443436" w:rsidP="00443436">
      <w:pPr>
        <w:spacing w:before="60" w:after="60"/>
        <w:ind w:left="720"/>
        <w:contextualSpacing/>
        <w:rPr>
          <w:rFonts w:ascii="Times New Roman" w:hAnsi="Times New Roman"/>
        </w:rPr>
      </w:pPr>
    </w:p>
    <w:p w14:paraId="5FE27086" w14:textId="77777777" w:rsidR="00443436" w:rsidRPr="00443436" w:rsidRDefault="00443436" w:rsidP="00443436">
      <w:pPr>
        <w:numPr>
          <w:ilvl w:val="0"/>
          <w:numId w:val="41"/>
        </w:numPr>
        <w:spacing w:before="60" w:after="60"/>
        <w:contextualSpacing/>
        <w:rPr>
          <w:rFonts w:ascii="Times New Roman" w:hAnsi="Times New Roman"/>
        </w:rPr>
      </w:pPr>
      <w:r w:rsidRPr="00443436">
        <w:rPr>
          <w:rFonts w:ascii="Times New Roman" w:hAnsi="Times New Roman"/>
        </w:rPr>
        <w:t>Are there any recommendations for action related to area 3.f that have not been previously offered and should be included for consideration?</w:t>
      </w:r>
    </w:p>
    <w:p w14:paraId="0D03ACE9" w14:textId="77777777" w:rsidR="00443436" w:rsidRPr="00443436" w:rsidRDefault="00443436" w:rsidP="00443436">
      <w:pPr>
        <w:spacing w:before="60" w:after="60"/>
        <w:ind w:left="720"/>
        <w:contextualSpacing/>
        <w:rPr>
          <w:rFonts w:ascii="Times New Roman" w:hAnsi="Times New Roman"/>
        </w:rPr>
      </w:pPr>
    </w:p>
    <w:p w14:paraId="73D83B88" w14:textId="77777777" w:rsidR="00443436" w:rsidRDefault="00443436" w:rsidP="00443436">
      <w:pPr>
        <w:spacing w:before="60" w:after="60" w:line="256" w:lineRule="auto"/>
        <w:rPr>
          <w:rFonts w:ascii="Times New Roman" w:hAnsi="Times New Roman"/>
        </w:rPr>
      </w:pPr>
      <w:r>
        <w:rPr>
          <w:rFonts w:ascii="Times New Roman" w:hAnsi="Times New Roman"/>
        </w:rPr>
        <w:t>-------</w:t>
      </w:r>
    </w:p>
    <w:p w14:paraId="5B379824" w14:textId="77777777" w:rsidR="00443436" w:rsidRPr="00443436" w:rsidRDefault="00443436" w:rsidP="00443436">
      <w:pPr>
        <w:spacing w:before="60" w:after="60"/>
        <w:rPr>
          <w:rFonts w:ascii="Times New Roman" w:hAnsi="Times New Roman"/>
          <w:i/>
          <w:iCs/>
        </w:rPr>
      </w:pPr>
      <w:r w:rsidRPr="00443436">
        <w:rPr>
          <w:rFonts w:ascii="Times New Roman" w:hAnsi="Times New Roman"/>
          <w:i/>
          <w:iCs/>
        </w:rPr>
        <w:t>Load Forecasting</w:t>
      </w:r>
    </w:p>
    <w:p w14:paraId="0B7583C4" w14:textId="77777777" w:rsidR="00934D7B" w:rsidRPr="00934D7B" w:rsidRDefault="00934D7B" w:rsidP="00934D7B">
      <w:pPr>
        <w:spacing w:before="60" w:after="60"/>
        <w:ind w:left="360"/>
        <w:rPr>
          <w:rFonts w:ascii="Times New Roman" w:hAnsi="Times New Roman"/>
        </w:rPr>
      </w:pPr>
      <w:r w:rsidRPr="00934D7B">
        <w:rPr>
          <w:rFonts w:ascii="Times New Roman" w:hAnsi="Times New Roman"/>
        </w:rPr>
        <w:t>Several recommendations in the FERC-NERC-Regional Entity Staff Report: February 2021 Cold Weather Outages in Texas and the South Central United States address improvements to load forecasting, and as part of the GEH Forum record for October 21, November 8, and April 4, there have been discussions in this area, including methods to better account for anticipated load ahead of critical events as well as cross-market communications regarding expected natural gas demand.  While several general suggestions have been made, not many detailed recommendations have been provided.</w:t>
      </w:r>
    </w:p>
    <w:p w14:paraId="364CA928" w14:textId="185B6FF5" w:rsidR="00934D7B" w:rsidRPr="00934D7B" w:rsidRDefault="00934D7B" w:rsidP="00934D7B">
      <w:pPr>
        <w:spacing w:before="60" w:after="60"/>
        <w:ind w:left="720" w:hanging="360"/>
        <w:rPr>
          <w:rFonts w:ascii="Times New Roman" w:hAnsi="Times New Roman"/>
        </w:rPr>
      </w:pPr>
      <w:r w:rsidRPr="00934D7B">
        <w:rPr>
          <w:rFonts w:ascii="Times New Roman" w:hAnsi="Times New Roman"/>
        </w:rPr>
        <w:lastRenderedPageBreak/>
        <w:t>1.)</w:t>
      </w:r>
      <w:r w:rsidRPr="00934D7B">
        <w:rPr>
          <w:rFonts w:ascii="Times New Roman" w:hAnsi="Times New Roman"/>
        </w:rPr>
        <w:tab/>
        <w:t xml:space="preserve">Are there additional actions </w:t>
      </w:r>
      <w:r>
        <w:rPr>
          <w:rFonts w:ascii="Times New Roman" w:hAnsi="Times New Roman"/>
        </w:rPr>
        <w:t>that should be considered to</w:t>
      </w:r>
      <w:r w:rsidRPr="00934D7B">
        <w:rPr>
          <w:rFonts w:ascii="Times New Roman" w:hAnsi="Times New Roman"/>
        </w:rPr>
        <w:t xml:space="preserve"> improve upon load forecasting </w:t>
      </w:r>
      <w:r>
        <w:rPr>
          <w:rFonts w:ascii="Times New Roman" w:hAnsi="Times New Roman"/>
        </w:rPr>
        <w:t>that</w:t>
      </w:r>
      <w:r w:rsidRPr="00934D7B">
        <w:rPr>
          <w:rFonts w:ascii="Times New Roman" w:hAnsi="Times New Roman"/>
        </w:rPr>
        <w:t xml:space="preserve"> are not </w:t>
      </w:r>
      <w:r>
        <w:rPr>
          <w:rFonts w:ascii="Times New Roman" w:hAnsi="Times New Roman"/>
        </w:rPr>
        <w:t xml:space="preserve">already </w:t>
      </w:r>
      <w:r w:rsidRPr="00934D7B">
        <w:rPr>
          <w:rFonts w:ascii="Times New Roman" w:hAnsi="Times New Roman"/>
        </w:rPr>
        <w:t xml:space="preserve">being addressed by </w:t>
      </w:r>
      <w:r>
        <w:rPr>
          <w:rFonts w:ascii="Times New Roman" w:hAnsi="Times New Roman"/>
        </w:rPr>
        <w:t xml:space="preserve">the </w:t>
      </w:r>
      <w:r w:rsidRPr="00934D7B">
        <w:rPr>
          <w:rFonts w:ascii="Times New Roman" w:hAnsi="Times New Roman"/>
        </w:rPr>
        <w:t>industry</w:t>
      </w:r>
      <w:r>
        <w:rPr>
          <w:rFonts w:ascii="Times New Roman" w:hAnsi="Times New Roman"/>
        </w:rPr>
        <w:t>, including through NERC</w:t>
      </w:r>
      <w:r w:rsidRPr="00934D7B">
        <w:rPr>
          <w:rFonts w:ascii="Times New Roman" w:hAnsi="Times New Roman"/>
        </w:rPr>
        <w:t>?</w:t>
      </w:r>
    </w:p>
    <w:p w14:paraId="369B0E2C" w14:textId="373A861B" w:rsidR="001C728D" w:rsidRDefault="001C728D" w:rsidP="00443436">
      <w:pPr>
        <w:rPr>
          <w:rFonts w:ascii="Times New Roman" w:hAnsi="Times New Roman"/>
          <w:snapToGrid w:val="0"/>
          <w:color w:val="000000"/>
        </w:rPr>
      </w:pPr>
    </w:p>
    <w:sectPr w:rsidR="001C728D" w:rsidSect="00B71822">
      <w:headerReference w:type="default" r:id="rId14"/>
      <w:footerReference w:type="default" r:id="rId15"/>
      <w:headerReference w:type="first" r:id="rId16"/>
      <w:pgSz w:w="12240" w:h="15840" w:code="1"/>
      <w:pgMar w:top="72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761F9" w14:textId="77777777" w:rsidR="00765A65" w:rsidRDefault="00765A65">
      <w:r>
        <w:separator/>
      </w:r>
    </w:p>
  </w:endnote>
  <w:endnote w:type="continuationSeparator" w:id="0">
    <w:p w14:paraId="327C6515" w14:textId="77777777" w:rsidR="00765A65" w:rsidRDefault="0076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65456" w14:textId="0AC6D539" w:rsidR="001C728D" w:rsidRPr="001C728D" w:rsidRDefault="001C728D" w:rsidP="001C728D">
    <w:pPr>
      <w:pBdr>
        <w:top w:val="single" w:sz="4" w:space="1" w:color="auto"/>
      </w:pBdr>
      <w:tabs>
        <w:tab w:val="center" w:pos="4680"/>
        <w:tab w:val="right" w:pos="9360"/>
      </w:tabs>
      <w:jc w:val="right"/>
      <w:rPr>
        <w:rFonts w:ascii="Times New Roman" w:hAnsi="Times New Roman"/>
      </w:rPr>
    </w:pPr>
    <w:bookmarkStart w:id="4" w:name="_Hlk131604340"/>
    <w:r w:rsidRPr="001C728D">
      <w:rPr>
        <w:rFonts w:ascii="Times New Roman" w:hAnsi="Times New Roman"/>
      </w:rPr>
      <w:t xml:space="preserve">NAESB Gas Electric Forum Survey for </w:t>
    </w:r>
    <w:r w:rsidR="00F916D8">
      <w:rPr>
        <w:rFonts w:ascii="Times New Roman" w:hAnsi="Times New Roman"/>
      </w:rPr>
      <w:t>May 1</w:t>
    </w:r>
    <w:r w:rsidR="00157ED4">
      <w:rPr>
        <w:rFonts w:ascii="Times New Roman" w:hAnsi="Times New Roman"/>
      </w:rPr>
      <w:t>7</w:t>
    </w:r>
    <w:r w:rsidRPr="001C728D">
      <w:rPr>
        <w:rFonts w:ascii="Times New Roman" w:hAnsi="Times New Roman"/>
      </w:rPr>
      <w:t xml:space="preserve">, 2023 Meeting – Provided </w:t>
    </w:r>
    <w:r w:rsidR="00157ED4">
      <w:rPr>
        <w:rFonts w:ascii="Times New Roman" w:hAnsi="Times New Roman"/>
      </w:rPr>
      <w:t xml:space="preserve">April </w:t>
    </w:r>
    <w:r w:rsidR="00F916D8">
      <w:rPr>
        <w:rFonts w:ascii="Times New Roman" w:hAnsi="Times New Roman"/>
      </w:rPr>
      <w:t>28</w:t>
    </w:r>
    <w:r w:rsidRPr="001C728D">
      <w:rPr>
        <w:rFonts w:ascii="Times New Roman" w:hAnsi="Times New Roman"/>
      </w:rPr>
      <w:t>, 2023</w:t>
    </w:r>
  </w:p>
  <w:bookmarkEnd w:id="4"/>
  <w:p w14:paraId="27BE1E77" w14:textId="3614CD58" w:rsidR="001C728D" w:rsidRPr="001C728D" w:rsidRDefault="001C728D" w:rsidP="001C728D">
    <w:pPr>
      <w:tabs>
        <w:tab w:val="center" w:pos="4680"/>
        <w:tab w:val="right" w:pos="9360"/>
      </w:tabs>
      <w:jc w:val="right"/>
      <w:rPr>
        <w:rFonts w:ascii="Times New Roman" w:hAnsi="Times New Roman"/>
      </w:rPr>
    </w:pPr>
    <w:r w:rsidRPr="001C728D">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p>
  <w:p w14:paraId="12183F5D" w14:textId="77777777" w:rsidR="001C728D" w:rsidRDefault="001C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9750" w14:textId="1CBA67E1" w:rsidR="00C93449" w:rsidRPr="001C728D" w:rsidRDefault="00C93449" w:rsidP="00C93449">
    <w:pPr>
      <w:pBdr>
        <w:top w:val="single" w:sz="4" w:space="1" w:color="auto"/>
      </w:pBdr>
      <w:tabs>
        <w:tab w:val="center" w:pos="4680"/>
        <w:tab w:val="right" w:pos="9360"/>
      </w:tabs>
      <w:jc w:val="right"/>
      <w:rPr>
        <w:rFonts w:ascii="Times New Roman" w:hAnsi="Times New Roman"/>
      </w:rPr>
    </w:pPr>
    <w:r w:rsidRPr="001C728D">
      <w:rPr>
        <w:rFonts w:ascii="Times New Roman" w:hAnsi="Times New Roman"/>
      </w:rPr>
      <w:t xml:space="preserve">NAESB Gas Electric Forum Survey for </w:t>
    </w:r>
    <w:r w:rsidR="00443436">
      <w:rPr>
        <w:rFonts w:ascii="Times New Roman" w:hAnsi="Times New Roman"/>
      </w:rPr>
      <w:t>May 17</w:t>
    </w:r>
    <w:r w:rsidRPr="001C728D">
      <w:rPr>
        <w:rFonts w:ascii="Times New Roman" w:hAnsi="Times New Roman"/>
      </w:rPr>
      <w:t xml:space="preserve">, 2023 Meeting – Provided </w:t>
    </w:r>
    <w:r>
      <w:rPr>
        <w:rFonts w:ascii="Times New Roman" w:hAnsi="Times New Roman"/>
      </w:rPr>
      <w:t xml:space="preserve">April </w:t>
    </w:r>
    <w:r w:rsidR="00443436">
      <w:rPr>
        <w:rFonts w:ascii="Times New Roman" w:hAnsi="Times New Roman"/>
      </w:rPr>
      <w:t>28</w:t>
    </w:r>
    <w:r w:rsidRPr="001C728D">
      <w:rPr>
        <w:rFonts w:ascii="Times New Roman" w:hAnsi="Times New Roman"/>
      </w:rPr>
      <w:t>, 2023</w:t>
    </w:r>
  </w:p>
  <w:p w14:paraId="71CC5247" w14:textId="77777777" w:rsidR="00234ABC" w:rsidRPr="001C728D" w:rsidRDefault="00234ABC" w:rsidP="00234ABC">
    <w:pPr>
      <w:tabs>
        <w:tab w:val="center" w:pos="4680"/>
        <w:tab w:val="right" w:pos="9360"/>
      </w:tabs>
      <w:jc w:val="right"/>
      <w:rPr>
        <w:rFonts w:ascii="Times New Roman" w:hAnsi="Times New Roman"/>
      </w:rPr>
    </w:pPr>
    <w:r w:rsidRPr="001C728D">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1BE09638" w14:textId="77777777" w:rsidR="00234ABC" w:rsidRDefault="0023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E8969" w14:textId="77777777" w:rsidR="00765A65" w:rsidRDefault="00765A65">
      <w:r>
        <w:separator/>
      </w:r>
    </w:p>
  </w:footnote>
  <w:footnote w:type="continuationSeparator" w:id="0">
    <w:p w14:paraId="61E871B1" w14:textId="77777777" w:rsidR="00765A65" w:rsidRDefault="00765A65">
      <w:r>
        <w:continuationSeparator/>
      </w:r>
    </w:p>
  </w:footnote>
  <w:footnote w:id="1">
    <w:p w14:paraId="48F204E5" w14:textId="77777777" w:rsidR="00934D7B" w:rsidRDefault="00934D7B" w:rsidP="00934D7B">
      <w:pPr>
        <w:pStyle w:val="FootnoteText"/>
      </w:pPr>
      <w:r>
        <w:rPr>
          <w:rStyle w:val="FootnoteReference"/>
        </w:rPr>
        <w:footnoteRef/>
      </w:r>
      <w:r>
        <w:t xml:space="preserve"> See page 202</w:t>
      </w:r>
    </w:p>
  </w:footnote>
  <w:footnote w:id="2">
    <w:p w14:paraId="07B2A614" w14:textId="77777777" w:rsidR="00934D7B" w:rsidRDefault="00934D7B" w:rsidP="00934D7B">
      <w:pPr>
        <w:pStyle w:val="FootnoteText"/>
      </w:pPr>
      <w:r>
        <w:rPr>
          <w:rStyle w:val="FootnoteReference"/>
        </w:rPr>
        <w:footnoteRef/>
      </w:r>
      <w:r>
        <w:t xml:space="preserve"> See pages 202 – 203 </w:t>
      </w:r>
    </w:p>
  </w:footnote>
  <w:footnote w:id="3">
    <w:p w14:paraId="660EAEA7" w14:textId="77777777" w:rsidR="00443436" w:rsidRPr="00443436" w:rsidRDefault="00443436" w:rsidP="00443436">
      <w:pPr>
        <w:pStyle w:val="FootnoteText"/>
        <w:rPr>
          <w:rFonts w:ascii="Times New Roman" w:hAnsi="Times New Roman"/>
        </w:rPr>
      </w:pPr>
      <w:r w:rsidRPr="00443436">
        <w:rPr>
          <w:rStyle w:val="FootnoteReference"/>
          <w:rFonts w:ascii="Times New Roman" w:hAnsi="Times New Roman"/>
        </w:rPr>
        <w:footnoteRef/>
      </w:r>
      <w:r w:rsidRPr="00443436">
        <w:rPr>
          <w:rFonts w:ascii="Times New Roman" w:hAnsi="Times New Roman"/>
        </w:rPr>
        <w:t xml:space="preserve"> See page 203</w:t>
      </w:r>
    </w:p>
  </w:footnote>
  <w:footnote w:id="4">
    <w:p w14:paraId="5C4F39A6" w14:textId="77777777" w:rsidR="00443436" w:rsidRPr="00443436" w:rsidRDefault="00443436" w:rsidP="00443436">
      <w:pPr>
        <w:pStyle w:val="FootnoteText"/>
        <w:rPr>
          <w:rFonts w:ascii="Times New Roman" w:hAnsi="Times New Roman"/>
        </w:rPr>
      </w:pPr>
      <w:r w:rsidRPr="00443436">
        <w:rPr>
          <w:rStyle w:val="FootnoteReference"/>
          <w:rFonts w:ascii="Times New Roman" w:hAnsi="Times New Roman"/>
        </w:rPr>
        <w:footnoteRef/>
      </w:r>
      <w:r w:rsidRPr="00443436">
        <w:rPr>
          <w:rFonts w:ascii="Times New Roman" w:hAnsi="Times New Roman"/>
        </w:rPr>
        <w:t xml:space="preserve"> See pages 203 – 204 </w:t>
      </w:r>
    </w:p>
  </w:footnote>
  <w:footnote w:id="5">
    <w:p w14:paraId="610D0D28" w14:textId="77777777" w:rsidR="00443436" w:rsidRDefault="00443436" w:rsidP="00443436">
      <w:pPr>
        <w:pStyle w:val="FootnoteText"/>
      </w:pPr>
      <w:r w:rsidRPr="00443436">
        <w:rPr>
          <w:rStyle w:val="FootnoteReference"/>
          <w:rFonts w:ascii="Times New Roman" w:hAnsi="Times New Roman"/>
        </w:rPr>
        <w:footnoteRef/>
      </w:r>
      <w:r w:rsidRPr="00443436">
        <w:rPr>
          <w:rFonts w:ascii="Times New Roman" w:hAnsi="Times New Roman"/>
        </w:rPr>
        <w:t xml:space="preserve"> See page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DC476" w14:textId="77777777" w:rsidR="00B71822" w:rsidRDefault="00B71822" w:rsidP="005008DD">
    <w:pPr>
      <w:pStyle w:val="Header"/>
      <w:rPr>
        <w:b/>
        <w:smallCaps/>
        <w:sz w:val="28"/>
      </w:rPr>
    </w:pPr>
    <w:r>
      <w:rPr>
        <w:noProof/>
      </w:rPr>
      <w:drawing>
        <wp:anchor distT="0" distB="0" distL="114300" distR="114300" simplePos="0" relativeHeight="251666432" behindDoc="1" locked="0" layoutInCell="1" allowOverlap="1" wp14:anchorId="2C228A02" wp14:editId="44154917">
          <wp:simplePos x="0" y="0"/>
          <wp:positionH relativeFrom="column">
            <wp:posOffset>2404110</wp:posOffset>
          </wp:positionH>
          <wp:positionV relativeFrom="paragraph">
            <wp:posOffset>-64135</wp:posOffset>
          </wp:positionV>
          <wp:extent cx="959485" cy="1248410"/>
          <wp:effectExtent l="0" t="0" r="0" b="8890"/>
          <wp:wrapNone/>
          <wp:docPr id="6" name="Picture 6"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4736BCDB" w14:textId="77777777" w:rsidR="00B71822" w:rsidRDefault="00B71822" w:rsidP="005008DD">
    <w:pPr>
      <w:pStyle w:val="Header"/>
      <w:jc w:val="center"/>
      <w:outlineLvl w:val="0"/>
      <w:rPr>
        <w:b/>
        <w:smallCaps/>
        <w:sz w:val="28"/>
      </w:rPr>
    </w:pPr>
  </w:p>
  <w:p w14:paraId="19F7FD2B" w14:textId="44FA4991" w:rsidR="00B71822" w:rsidRDefault="00234ABC" w:rsidP="00234ABC">
    <w:pPr>
      <w:pStyle w:val="Header"/>
      <w:tabs>
        <w:tab w:val="left" w:pos="3810"/>
      </w:tabs>
      <w:outlineLvl w:val="0"/>
      <w:rPr>
        <w:b/>
        <w:smallCaps/>
        <w:sz w:val="28"/>
      </w:rPr>
    </w:pPr>
    <w:r>
      <w:rPr>
        <w:b/>
        <w:smallCaps/>
        <w:sz w:val="28"/>
      </w:rPr>
      <w:tab/>
    </w:r>
    <w:r>
      <w:rPr>
        <w:b/>
        <w:smallCaps/>
        <w:sz w:val="28"/>
      </w:rPr>
      <w:tab/>
    </w:r>
  </w:p>
  <w:p w14:paraId="59B82BC4" w14:textId="77777777" w:rsidR="00B71822" w:rsidRDefault="00B71822" w:rsidP="005008DD">
    <w:pPr>
      <w:pStyle w:val="Header"/>
      <w:jc w:val="center"/>
      <w:outlineLvl w:val="0"/>
      <w:rPr>
        <w:b/>
        <w:smallCaps/>
        <w:sz w:val="28"/>
      </w:rPr>
    </w:pPr>
  </w:p>
  <w:p w14:paraId="0973F38B" w14:textId="77777777" w:rsidR="00B71822" w:rsidRDefault="00B71822" w:rsidP="005008DD">
    <w:pPr>
      <w:pStyle w:val="Header"/>
      <w:jc w:val="center"/>
      <w:outlineLvl w:val="0"/>
      <w:rPr>
        <w:b/>
        <w:smallCaps/>
        <w:sz w:val="28"/>
      </w:rPr>
    </w:pPr>
  </w:p>
  <w:p w14:paraId="4052E035" w14:textId="77777777" w:rsidR="00B71822" w:rsidRPr="004A30D2" w:rsidRDefault="00B71822" w:rsidP="005008D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46701A62" w14:textId="77777777" w:rsidR="00B71822" w:rsidRPr="004A30D2" w:rsidRDefault="00B71822" w:rsidP="005008DD">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w:t>
    </w:r>
    <w:proofErr w:type="gramStart"/>
    <w:r w:rsidRPr="004A30D2">
      <w:rPr>
        <w:rFonts w:ascii="Times New Roman" w:hAnsi="Times New Roman"/>
        <w:b/>
        <w:sz w:val="16"/>
      </w:rPr>
      <w:t xml:space="preserve">:  </w:t>
    </w:r>
    <w:r w:rsidRPr="004A30D2">
      <w:rPr>
        <w:rFonts w:ascii="Times New Roman" w:hAnsi="Times New Roman"/>
        <w:sz w:val="16"/>
      </w:rPr>
      <w:t>(</w:t>
    </w:r>
    <w:proofErr w:type="gramEnd"/>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14:paraId="55B1063B" w14:textId="77777777" w:rsidR="00B71822" w:rsidRDefault="00B71822" w:rsidP="005008DD">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14:paraId="0348DD1B" w14:textId="77777777" w:rsidR="00B71822" w:rsidRDefault="00B71822" w:rsidP="00893D57">
    <w:pPr>
      <w:pStyle w:val="Header"/>
      <w:tabs>
        <w:tab w:val="left" w:pos="7317"/>
      </w:tabs>
      <w:spacing w:after="360"/>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FED9A" w14:textId="77777777" w:rsidR="001C728D" w:rsidRPr="001C728D" w:rsidRDefault="001C728D" w:rsidP="001C728D">
    <w:pPr>
      <w:tabs>
        <w:tab w:val="left" w:pos="1080"/>
        <w:tab w:val="center" w:pos="4680"/>
        <w:tab w:val="right" w:pos="9360"/>
      </w:tabs>
      <w:ind w:left="1800"/>
      <w:jc w:val="right"/>
      <w:rPr>
        <w:rFonts w:ascii="Times New Roman" w:hAnsi="Times New Roman"/>
        <w:b/>
        <w:spacing w:val="20"/>
        <w:sz w:val="32"/>
      </w:rPr>
    </w:pPr>
    <w:r w:rsidRPr="001C728D">
      <w:rPr>
        <w:rFonts w:ascii="Times New Roman" w:hAnsi="Times New Roman"/>
        <w:noProof/>
      </w:rPr>
      <w:drawing>
        <wp:anchor distT="0" distB="0" distL="114300" distR="114300" simplePos="0" relativeHeight="251664384" behindDoc="1" locked="0" layoutInCell="1" allowOverlap="1" wp14:anchorId="19F02BF6" wp14:editId="2DD34127">
          <wp:simplePos x="0" y="0"/>
          <wp:positionH relativeFrom="column">
            <wp:posOffset>0</wp:posOffset>
          </wp:positionH>
          <wp:positionV relativeFrom="paragraph">
            <wp:posOffset>-119062</wp:posOffset>
          </wp:positionV>
          <wp:extent cx="768485" cy="815329"/>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5AFAF76C" w14:textId="77777777" w:rsidR="001C728D" w:rsidRPr="001C728D" w:rsidRDefault="001C728D" w:rsidP="001C728D">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68F2D933" w14:textId="77777777" w:rsidR="001C728D" w:rsidRPr="001C728D" w:rsidRDefault="001C728D" w:rsidP="001C728D">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47837A1B" w14:textId="77777777" w:rsidR="001C728D" w:rsidRPr="001C728D" w:rsidRDefault="001C728D" w:rsidP="001C728D">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p w14:paraId="2A0A1340" w14:textId="430FD05A" w:rsidR="001C728D" w:rsidRPr="001C728D" w:rsidRDefault="001C728D" w:rsidP="001C7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5F40" w14:textId="77777777" w:rsidR="00234ABC" w:rsidRPr="001C728D" w:rsidRDefault="00234ABC" w:rsidP="00234ABC">
    <w:pPr>
      <w:tabs>
        <w:tab w:val="left" w:pos="1080"/>
        <w:tab w:val="center" w:pos="4680"/>
        <w:tab w:val="right" w:pos="9360"/>
      </w:tabs>
      <w:ind w:left="1800"/>
      <w:jc w:val="right"/>
      <w:rPr>
        <w:rFonts w:ascii="Times New Roman" w:hAnsi="Times New Roman"/>
        <w:b/>
        <w:spacing w:val="20"/>
        <w:sz w:val="32"/>
      </w:rPr>
    </w:pPr>
    <w:r w:rsidRPr="001C728D">
      <w:rPr>
        <w:rFonts w:ascii="Times New Roman" w:hAnsi="Times New Roman"/>
        <w:noProof/>
      </w:rPr>
      <w:drawing>
        <wp:anchor distT="0" distB="0" distL="114300" distR="114300" simplePos="0" relativeHeight="251670528" behindDoc="1" locked="0" layoutInCell="1" allowOverlap="1" wp14:anchorId="2D2C3DB3" wp14:editId="1547C84F">
          <wp:simplePos x="0" y="0"/>
          <wp:positionH relativeFrom="column">
            <wp:posOffset>0</wp:posOffset>
          </wp:positionH>
          <wp:positionV relativeFrom="paragraph">
            <wp:posOffset>-119062</wp:posOffset>
          </wp:positionV>
          <wp:extent cx="768485" cy="815329"/>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46F5C5A2" w14:textId="77777777" w:rsidR="00234ABC" w:rsidRPr="001C728D" w:rsidRDefault="00234ABC" w:rsidP="00234ABC">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5DABB835" w14:textId="77777777" w:rsidR="00234ABC" w:rsidRPr="001C728D" w:rsidRDefault="00234ABC" w:rsidP="00234ABC">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1FC6B9B9" w14:textId="77777777" w:rsidR="00234ABC" w:rsidRPr="001C728D" w:rsidRDefault="00234ABC" w:rsidP="00234ABC">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p w14:paraId="25CFBA56" w14:textId="77777777" w:rsidR="00234ABC" w:rsidRPr="001C728D" w:rsidRDefault="00234ABC" w:rsidP="00234ABC">
    <w:pPr>
      <w:pStyle w:val="Header"/>
    </w:pPr>
  </w:p>
  <w:p w14:paraId="69B5D213" w14:textId="74B634F1" w:rsidR="00234ABC" w:rsidRPr="00234ABC" w:rsidRDefault="00234ABC" w:rsidP="00234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F29C" w14:textId="77777777" w:rsidR="00234ABC" w:rsidRPr="001C728D" w:rsidRDefault="00234ABC" w:rsidP="001C728D">
    <w:pPr>
      <w:tabs>
        <w:tab w:val="left" w:pos="1080"/>
        <w:tab w:val="center" w:pos="4680"/>
        <w:tab w:val="right" w:pos="9360"/>
      </w:tabs>
      <w:ind w:left="1800"/>
      <w:jc w:val="right"/>
      <w:rPr>
        <w:rFonts w:ascii="Times New Roman" w:hAnsi="Times New Roman"/>
        <w:b/>
        <w:spacing w:val="20"/>
        <w:sz w:val="32"/>
      </w:rPr>
    </w:pPr>
    <w:bookmarkStart w:id="18" w:name="_Hlk129704380"/>
    <w:bookmarkStart w:id="19" w:name="_Hlk129704381"/>
    <w:r w:rsidRPr="001C728D">
      <w:rPr>
        <w:rFonts w:ascii="Times New Roman" w:hAnsi="Times New Roman"/>
        <w:noProof/>
      </w:rPr>
      <w:drawing>
        <wp:anchor distT="0" distB="0" distL="114300" distR="114300" simplePos="0" relativeHeight="251668480" behindDoc="1" locked="0" layoutInCell="1" allowOverlap="1" wp14:anchorId="37E34D49" wp14:editId="2618AC6F">
          <wp:simplePos x="0" y="0"/>
          <wp:positionH relativeFrom="column">
            <wp:posOffset>0</wp:posOffset>
          </wp:positionH>
          <wp:positionV relativeFrom="paragraph">
            <wp:posOffset>-119062</wp:posOffset>
          </wp:positionV>
          <wp:extent cx="768485" cy="815329"/>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1F82457B" w14:textId="77777777" w:rsidR="00234ABC" w:rsidRPr="001C728D" w:rsidRDefault="00234ABC" w:rsidP="001C728D">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63B04E6E" w14:textId="77777777" w:rsidR="00234ABC" w:rsidRPr="001C728D" w:rsidRDefault="00234ABC" w:rsidP="001C728D">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7DBDCE7D" w14:textId="77777777" w:rsidR="00234ABC" w:rsidRPr="001C728D" w:rsidRDefault="00234ABC" w:rsidP="001C728D">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bookmarkEnd w:id="18"/>
  <w:bookmarkEnd w:id="19"/>
  <w:p w14:paraId="75A78D44" w14:textId="77777777" w:rsidR="00234ABC" w:rsidRPr="001C728D" w:rsidRDefault="00234ABC" w:rsidP="001C7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A26"/>
    <w:multiLevelType w:val="hybridMultilevel"/>
    <w:tmpl w:val="DD12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124AE"/>
    <w:multiLevelType w:val="hybridMultilevel"/>
    <w:tmpl w:val="851AA7BC"/>
    <w:lvl w:ilvl="0" w:tplc="2B4A17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5ECD"/>
    <w:multiLevelType w:val="hybridMultilevel"/>
    <w:tmpl w:val="3078FBA2"/>
    <w:lvl w:ilvl="0" w:tplc="D13800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2E8568A8"/>
    <w:multiLevelType w:val="hybridMultilevel"/>
    <w:tmpl w:val="62DAD8AA"/>
    <w:lvl w:ilvl="0" w:tplc="0D4211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F59EE"/>
    <w:multiLevelType w:val="hybridMultilevel"/>
    <w:tmpl w:val="7B3C4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61118"/>
    <w:multiLevelType w:val="hybridMultilevel"/>
    <w:tmpl w:val="FC7A644E"/>
    <w:lvl w:ilvl="0" w:tplc="47B8F30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F5979"/>
    <w:multiLevelType w:val="hybridMultilevel"/>
    <w:tmpl w:val="60C85D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220F0"/>
    <w:multiLevelType w:val="hybridMultilevel"/>
    <w:tmpl w:val="CCA448C4"/>
    <w:lvl w:ilvl="0" w:tplc="E44A6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0035B9"/>
    <w:multiLevelType w:val="hybridMultilevel"/>
    <w:tmpl w:val="44C4A080"/>
    <w:lvl w:ilvl="0" w:tplc="C240C312">
      <w:start w:val="1"/>
      <w:numFmt w:val="decimal"/>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3327B55"/>
    <w:multiLevelType w:val="hybridMultilevel"/>
    <w:tmpl w:val="594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E2DF6"/>
    <w:multiLevelType w:val="hybridMultilevel"/>
    <w:tmpl w:val="20D605F0"/>
    <w:lvl w:ilvl="0" w:tplc="A47259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C530E"/>
    <w:multiLevelType w:val="hybridMultilevel"/>
    <w:tmpl w:val="0C9AC534"/>
    <w:lvl w:ilvl="0" w:tplc="51325C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E2244"/>
    <w:multiLevelType w:val="hybridMultilevel"/>
    <w:tmpl w:val="9D88F070"/>
    <w:lvl w:ilvl="0" w:tplc="C240C312">
      <w:start w:val="1"/>
      <w:numFmt w:val="decimal"/>
      <w:lvlText w:val="%1.)"/>
      <w:lvlJc w:val="left"/>
      <w:pPr>
        <w:ind w:left="12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66B879B7"/>
    <w:multiLevelType w:val="hybridMultilevel"/>
    <w:tmpl w:val="F9C48BFA"/>
    <w:lvl w:ilvl="0" w:tplc="914A65F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108A8"/>
    <w:multiLevelType w:val="hybridMultilevel"/>
    <w:tmpl w:val="CDC45B9A"/>
    <w:lvl w:ilvl="0" w:tplc="E44A6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D2A86"/>
    <w:multiLevelType w:val="hybridMultilevel"/>
    <w:tmpl w:val="084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0"/>
  </w:num>
  <w:num w:numId="4">
    <w:abstractNumId w:val="11"/>
  </w:num>
  <w:num w:numId="5">
    <w:abstractNumId w:val="36"/>
  </w:num>
  <w:num w:numId="6">
    <w:abstractNumId w:val="22"/>
  </w:num>
  <w:num w:numId="7">
    <w:abstractNumId w:val="2"/>
  </w:num>
  <w:num w:numId="8">
    <w:abstractNumId w:val="26"/>
  </w:num>
  <w:num w:numId="9">
    <w:abstractNumId w:val="29"/>
  </w:num>
  <w:num w:numId="10">
    <w:abstractNumId w:val="7"/>
  </w:num>
  <w:num w:numId="11">
    <w:abstractNumId w:val="6"/>
  </w:num>
  <w:num w:numId="12">
    <w:abstractNumId w:val="4"/>
  </w:num>
  <w:num w:numId="13">
    <w:abstractNumId w:val="13"/>
  </w:num>
  <w:num w:numId="14">
    <w:abstractNumId w:val="17"/>
  </w:num>
  <w:num w:numId="15">
    <w:abstractNumId w:val="20"/>
  </w:num>
  <w:num w:numId="16">
    <w:abstractNumId w:val="19"/>
  </w:num>
  <w:num w:numId="17">
    <w:abstractNumId w:val="28"/>
  </w:num>
  <w:num w:numId="18">
    <w:abstractNumId w:val="9"/>
  </w:num>
  <w:num w:numId="19">
    <w:abstractNumId w:val="14"/>
  </w:num>
  <w:num w:numId="20">
    <w:abstractNumId w:val="5"/>
  </w:num>
  <w:num w:numId="21">
    <w:abstractNumId w:val="15"/>
  </w:num>
  <w:num w:numId="22">
    <w:abstractNumId w:val="12"/>
  </w:num>
  <w:num w:numId="23">
    <w:abstractNumId w:val="37"/>
  </w:num>
  <w:num w:numId="24">
    <w:abstractNumId w:val="24"/>
  </w:num>
  <w:num w:numId="25">
    <w:abstractNumId w:val="0"/>
  </w:num>
  <w:num w:numId="26">
    <w:abstractNumId w:val="34"/>
  </w:num>
  <w:num w:numId="27">
    <w:abstractNumId w:val="32"/>
  </w:num>
  <w:num w:numId="28">
    <w:abstractNumId w:val="21"/>
  </w:num>
  <w:num w:numId="29">
    <w:abstractNumId w:val="33"/>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6"/>
  </w:num>
  <w:num w:numId="37">
    <w:abstractNumId w:val="27"/>
  </w:num>
  <w:num w:numId="38">
    <w:abstractNumId w:val="8"/>
  </w:num>
  <w:num w:numId="39">
    <w:abstractNumId w:val="25"/>
  </w:num>
  <w:num w:numId="40">
    <w:abstractNumId w:val="18"/>
  </w:num>
  <w:num w:numId="41">
    <w:abstractNumId w:val="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D"/>
    <w:rsid w:val="0003148E"/>
    <w:rsid w:val="000377CF"/>
    <w:rsid w:val="00043CF6"/>
    <w:rsid w:val="000728C3"/>
    <w:rsid w:val="00080CDE"/>
    <w:rsid w:val="000A3151"/>
    <w:rsid w:val="000A5FDC"/>
    <w:rsid w:val="000D2094"/>
    <w:rsid w:val="000D5ADC"/>
    <w:rsid w:val="000E2A93"/>
    <w:rsid w:val="000F4D9F"/>
    <w:rsid w:val="00100C22"/>
    <w:rsid w:val="00112E85"/>
    <w:rsid w:val="001165C3"/>
    <w:rsid w:val="001261EA"/>
    <w:rsid w:val="00131C4A"/>
    <w:rsid w:val="00145268"/>
    <w:rsid w:val="00156EA6"/>
    <w:rsid w:val="00157ED4"/>
    <w:rsid w:val="001733C1"/>
    <w:rsid w:val="00175B40"/>
    <w:rsid w:val="001865AD"/>
    <w:rsid w:val="00186F39"/>
    <w:rsid w:val="00187D33"/>
    <w:rsid w:val="0019584E"/>
    <w:rsid w:val="00197859"/>
    <w:rsid w:val="001A5FB8"/>
    <w:rsid w:val="001B45EE"/>
    <w:rsid w:val="001C728D"/>
    <w:rsid w:val="001D0B7C"/>
    <w:rsid w:val="001D2CFF"/>
    <w:rsid w:val="001F77C6"/>
    <w:rsid w:val="0020577F"/>
    <w:rsid w:val="0021379D"/>
    <w:rsid w:val="002157DB"/>
    <w:rsid w:val="00221B70"/>
    <w:rsid w:val="00227668"/>
    <w:rsid w:val="00227CAD"/>
    <w:rsid w:val="002340F7"/>
    <w:rsid w:val="00234ABC"/>
    <w:rsid w:val="00237773"/>
    <w:rsid w:val="00242516"/>
    <w:rsid w:val="00250F27"/>
    <w:rsid w:val="002573B8"/>
    <w:rsid w:val="0025746C"/>
    <w:rsid w:val="00261912"/>
    <w:rsid w:val="002669EA"/>
    <w:rsid w:val="002732BF"/>
    <w:rsid w:val="0027652D"/>
    <w:rsid w:val="00292548"/>
    <w:rsid w:val="00296285"/>
    <w:rsid w:val="002A568B"/>
    <w:rsid w:val="002B1B11"/>
    <w:rsid w:val="002E411C"/>
    <w:rsid w:val="002E6A25"/>
    <w:rsid w:val="002E6BFD"/>
    <w:rsid w:val="002F41EC"/>
    <w:rsid w:val="0030191E"/>
    <w:rsid w:val="0031475D"/>
    <w:rsid w:val="00316542"/>
    <w:rsid w:val="00327B24"/>
    <w:rsid w:val="00327BB9"/>
    <w:rsid w:val="00332AB5"/>
    <w:rsid w:val="00332F23"/>
    <w:rsid w:val="003344B9"/>
    <w:rsid w:val="003415D1"/>
    <w:rsid w:val="00354627"/>
    <w:rsid w:val="00360AB1"/>
    <w:rsid w:val="003651E4"/>
    <w:rsid w:val="00366019"/>
    <w:rsid w:val="00366F38"/>
    <w:rsid w:val="00374163"/>
    <w:rsid w:val="0038164E"/>
    <w:rsid w:val="00383B7D"/>
    <w:rsid w:val="003C7DBA"/>
    <w:rsid w:val="003D0B1E"/>
    <w:rsid w:val="003E0926"/>
    <w:rsid w:val="003E47DB"/>
    <w:rsid w:val="003E57D9"/>
    <w:rsid w:val="003E7087"/>
    <w:rsid w:val="003F25CD"/>
    <w:rsid w:val="003F3164"/>
    <w:rsid w:val="003F3AAE"/>
    <w:rsid w:val="003F55EA"/>
    <w:rsid w:val="00400CF2"/>
    <w:rsid w:val="00405285"/>
    <w:rsid w:val="00405AA6"/>
    <w:rsid w:val="004108CA"/>
    <w:rsid w:val="00437CD8"/>
    <w:rsid w:val="00443436"/>
    <w:rsid w:val="00452554"/>
    <w:rsid w:val="0045269E"/>
    <w:rsid w:val="004550E7"/>
    <w:rsid w:val="00457811"/>
    <w:rsid w:val="00457E28"/>
    <w:rsid w:val="004762A2"/>
    <w:rsid w:val="0048137E"/>
    <w:rsid w:val="00486216"/>
    <w:rsid w:val="0048764D"/>
    <w:rsid w:val="004958E2"/>
    <w:rsid w:val="00497C97"/>
    <w:rsid w:val="004A0728"/>
    <w:rsid w:val="004A30D2"/>
    <w:rsid w:val="004A6A8F"/>
    <w:rsid w:val="004A77E7"/>
    <w:rsid w:val="004B5AAC"/>
    <w:rsid w:val="004C7478"/>
    <w:rsid w:val="004D48CE"/>
    <w:rsid w:val="004D662D"/>
    <w:rsid w:val="004D75DE"/>
    <w:rsid w:val="004E1458"/>
    <w:rsid w:val="004F1FC4"/>
    <w:rsid w:val="004F2C88"/>
    <w:rsid w:val="004F49B5"/>
    <w:rsid w:val="005008DD"/>
    <w:rsid w:val="00503986"/>
    <w:rsid w:val="005160A2"/>
    <w:rsid w:val="005465B4"/>
    <w:rsid w:val="00547A87"/>
    <w:rsid w:val="00554019"/>
    <w:rsid w:val="00555F43"/>
    <w:rsid w:val="00567F83"/>
    <w:rsid w:val="0057087E"/>
    <w:rsid w:val="0057519E"/>
    <w:rsid w:val="0058614F"/>
    <w:rsid w:val="005A029C"/>
    <w:rsid w:val="005B6AA2"/>
    <w:rsid w:val="005C1E1D"/>
    <w:rsid w:val="005D5082"/>
    <w:rsid w:val="005D5929"/>
    <w:rsid w:val="005F3F31"/>
    <w:rsid w:val="005F74CE"/>
    <w:rsid w:val="006069CD"/>
    <w:rsid w:val="00614ADE"/>
    <w:rsid w:val="00631A9E"/>
    <w:rsid w:val="00633986"/>
    <w:rsid w:val="00654022"/>
    <w:rsid w:val="00654CB5"/>
    <w:rsid w:val="006677B6"/>
    <w:rsid w:val="00682417"/>
    <w:rsid w:val="00684C3B"/>
    <w:rsid w:val="006920E5"/>
    <w:rsid w:val="00693973"/>
    <w:rsid w:val="00696360"/>
    <w:rsid w:val="00696B35"/>
    <w:rsid w:val="006A4F72"/>
    <w:rsid w:val="006B10BF"/>
    <w:rsid w:val="006E3ABF"/>
    <w:rsid w:val="006E6DFE"/>
    <w:rsid w:val="0070225C"/>
    <w:rsid w:val="00703556"/>
    <w:rsid w:val="0070460E"/>
    <w:rsid w:val="00716AF5"/>
    <w:rsid w:val="00716F14"/>
    <w:rsid w:val="00717203"/>
    <w:rsid w:val="00721999"/>
    <w:rsid w:val="00736DCB"/>
    <w:rsid w:val="00765A65"/>
    <w:rsid w:val="00774915"/>
    <w:rsid w:val="00790CD5"/>
    <w:rsid w:val="007917EE"/>
    <w:rsid w:val="00791F65"/>
    <w:rsid w:val="00792A09"/>
    <w:rsid w:val="00796EF1"/>
    <w:rsid w:val="007979CF"/>
    <w:rsid w:val="007A247D"/>
    <w:rsid w:val="007A5003"/>
    <w:rsid w:val="007B1C4D"/>
    <w:rsid w:val="007C7D5F"/>
    <w:rsid w:val="007D16EB"/>
    <w:rsid w:val="007D324D"/>
    <w:rsid w:val="007D5CFB"/>
    <w:rsid w:val="007E3041"/>
    <w:rsid w:val="007F09BA"/>
    <w:rsid w:val="008064ED"/>
    <w:rsid w:val="0081734C"/>
    <w:rsid w:val="00817EB4"/>
    <w:rsid w:val="008220BE"/>
    <w:rsid w:val="00825FE1"/>
    <w:rsid w:val="00826B86"/>
    <w:rsid w:val="00827FF4"/>
    <w:rsid w:val="00833535"/>
    <w:rsid w:val="00843319"/>
    <w:rsid w:val="0084404E"/>
    <w:rsid w:val="00846931"/>
    <w:rsid w:val="00850EDE"/>
    <w:rsid w:val="00853FF1"/>
    <w:rsid w:val="00855F3F"/>
    <w:rsid w:val="008718D1"/>
    <w:rsid w:val="00880248"/>
    <w:rsid w:val="008854B0"/>
    <w:rsid w:val="00885CAD"/>
    <w:rsid w:val="00891F28"/>
    <w:rsid w:val="00893D57"/>
    <w:rsid w:val="00897DB5"/>
    <w:rsid w:val="00897E6F"/>
    <w:rsid w:val="008B1994"/>
    <w:rsid w:val="008B6B8F"/>
    <w:rsid w:val="008C3A89"/>
    <w:rsid w:val="008D4625"/>
    <w:rsid w:val="008E0405"/>
    <w:rsid w:val="008E0BF4"/>
    <w:rsid w:val="008E1436"/>
    <w:rsid w:val="008F2088"/>
    <w:rsid w:val="008F3882"/>
    <w:rsid w:val="00902241"/>
    <w:rsid w:val="00905CB0"/>
    <w:rsid w:val="0092049C"/>
    <w:rsid w:val="00926E8D"/>
    <w:rsid w:val="00930C22"/>
    <w:rsid w:val="00934D7B"/>
    <w:rsid w:val="00947345"/>
    <w:rsid w:val="00951C7C"/>
    <w:rsid w:val="00956F81"/>
    <w:rsid w:val="0096160B"/>
    <w:rsid w:val="009631FA"/>
    <w:rsid w:val="00975654"/>
    <w:rsid w:val="009805E8"/>
    <w:rsid w:val="00985BE1"/>
    <w:rsid w:val="009945CC"/>
    <w:rsid w:val="009B465C"/>
    <w:rsid w:val="009B6B83"/>
    <w:rsid w:val="009D08B5"/>
    <w:rsid w:val="009D20B8"/>
    <w:rsid w:val="009D26DA"/>
    <w:rsid w:val="009E1DD2"/>
    <w:rsid w:val="009E31B7"/>
    <w:rsid w:val="009E3532"/>
    <w:rsid w:val="009E3707"/>
    <w:rsid w:val="009F0132"/>
    <w:rsid w:val="00A01723"/>
    <w:rsid w:val="00A14400"/>
    <w:rsid w:val="00A20C06"/>
    <w:rsid w:val="00A2503D"/>
    <w:rsid w:val="00A25B22"/>
    <w:rsid w:val="00A44386"/>
    <w:rsid w:val="00A527B0"/>
    <w:rsid w:val="00A67250"/>
    <w:rsid w:val="00A7545F"/>
    <w:rsid w:val="00A7655C"/>
    <w:rsid w:val="00A96E07"/>
    <w:rsid w:val="00AA0BEC"/>
    <w:rsid w:val="00AB6568"/>
    <w:rsid w:val="00AD4927"/>
    <w:rsid w:val="00AE0668"/>
    <w:rsid w:val="00AF3FFC"/>
    <w:rsid w:val="00AF5CC9"/>
    <w:rsid w:val="00B13DCB"/>
    <w:rsid w:val="00B150B7"/>
    <w:rsid w:val="00B16CDC"/>
    <w:rsid w:val="00B23536"/>
    <w:rsid w:val="00B2531D"/>
    <w:rsid w:val="00B26C7A"/>
    <w:rsid w:val="00B35182"/>
    <w:rsid w:val="00B35FA0"/>
    <w:rsid w:val="00B36F13"/>
    <w:rsid w:val="00B44CF6"/>
    <w:rsid w:val="00B51D5F"/>
    <w:rsid w:val="00B62AD6"/>
    <w:rsid w:val="00B64D7C"/>
    <w:rsid w:val="00B65CC8"/>
    <w:rsid w:val="00B67CC6"/>
    <w:rsid w:val="00B71822"/>
    <w:rsid w:val="00B72BE5"/>
    <w:rsid w:val="00B7536B"/>
    <w:rsid w:val="00B81EDF"/>
    <w:rsid w:val="00BA19DA"/>
    <w:rsid w:val="00BA576D"/>
    <w:rsid w:val="00BB2147"/>
    <w:rsid w:val="00BC222D"/>
    <w:rsid w:val="00BC7245"/>
    <w:rsid w:val="00BD49EB"/>
    <w:rsid w:val="00BE10D4"/>
    <w:rsid w:val="00BE423A"/>
    <w:rsid w:val="00C339EB"/>
    <w:rsid w:val="00C36294"/>
    <w:rsid w:val="00C54B01"/>
    <w:rsid w:val="00C932DA"/>
    <w:rsid w:val="00C93449"/>
    <w:rsid w:val="00C95F36"/>
    <w:rsid w:val="00C97F76"/>
    <w:rsid w:val="00CA1A8C"/>
    <w:rsid w:val="00CC41DC"/>
    <w:rsid w:val="00CC430B"/>
    <w:rsid w:val="00CD1DC9"/>
    <w:rsid w:val="00CE3AB9"/>
    <w:rsid w:val="00CE68D6"/>
    <w:rsid w:val="00CF7DC7"/>
    <w:rsid w:val="00D05971"/>
    <w:rsid w:val="00D1011F"/>
    <w:rsid w:val="00D118AA"/>
    <w:rsid w:val="00D1296D"/>
    <w:rsid w:val="00D132E8"/>
    <w:rsid w:val="00D14773"/>
    <w:rsid w:val="00D22B48"/>
    <w:rsid w:val="00D27F51"/>
    <w:rsid w:val="00D31B5D"/>
    <w:rsid w:val="00D47856"/>
    <w:rsid w:val="00D55AE5"/>
    <w:rsid w:val="00D76AC4"/>
    <w:rsid w:val="00DB06B1"/>
    <w:rsid w:val="00DB142D"/>
    <w:rsid w:val="00DB6379"/>
    <w:rsid w:val="00DC2E94"/>
    <w:rsid w:val="00DC4C73"/>
    <w:rsid w:val="00DE508C"/>
    <w:rsid w:val="00DF0513"/>
    <w:rsid w:val="00E07B62"/>
    <w:rsid w:val="00E16A10"/>
    <w:rsid w:val="00E24D96"/>
    <w:rsid w:val="00E257C7"/>
    <w:rsid w:val="00E26FA3"/>
    <w:rsid w:val="00E56D37"/>
    <w:rsid w:val="00E61867"/>
    <w:rsid w:val="00E62141"/>
    <w:rsid w:val="00E67F82"/>
    <w:rsid w:val="00E71B57"/>
    <w:rsid w:val="00E80DA4"/>
    <w:rsid w:val="00E8231A"/>
    <w:rsid w:val="00E8339D"/>
    <w:rsid w:val="00E85888"/>
    <w:rsid w:val="00E873F9"/>
    <w:rsid w:val="00EA3D86"/>
    <w:rsid w:val="00EC2668"/>
    <w:rsid w:val="00ED65FC"/>
    <w:rsid w:val="00EE51E6"/>
    <w:rsid w:val="00EF1FB7"/>
    <w:rsid w:val="00F00A3F"/>
    <w:rsid w:val="00F02CD4"/>
    <w:rsid w:val="00F26DCC"/>
    <w:rsid w:val="00F42BB2"/>
    <w:rsid w:val="00F43777"/>
    <w:rsid w:val="00F47B4E"/>
    <w:rsid w:val="00F51A81"/>
    <w:rsid w:val="00F558B2"/>
    <w:rsid w:val="00F7093E"/>
    <w:rsid w:val="00F74F93"/>
    <w:rsid w:val="00F8633F"/>
    <w:rsid w:val="00F916D8"/>
    <w:rsid w:val="00FA0504"/>
    <w:rsid w:val="00FA1B31"/>
    <w:rsid w:val="00FA42E5"/>
    <w:rsid w:val="00FB2844"/>
    <w:rsid w:val="00FB299D"/>
    <w:rsid w:val="00FB687A"/>
    <w:rsid w:val="00FC2C61"/>
    <w:rsid w:val="00FC5CEE"/>
    <w:rsid w:val="00FE1234"/>
    <w:rsid w:val="00FE21BE"/>
    <w:rsid w:val="00FF0372"/>
    <w:rsid w:val="00FF0C80"/>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31771"/>
  <w15:docId w15:val="{AC547C5B-E6FD-4BE1-AFFC-84B3E24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49"/>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 w:type="character" w:styleId="UnresolvedMention">
    <w:name w:val="Unresolved Mention"/>
    <w:basedOn w:val="DefaultParagraphFont"/>
    <w:uiPriority w:val="99"/>
    <w:semiHidden/>
    <w:unhideWhenUsed/>
    <w:rsid w:val="00AF5CC9"/>
    <w:rPr>
      <w:color w:val="605E5C"/>
      <w:shd w:val="clear" w:color="auto" w:fill="E1DFDD"/>
    </w:rPr>
  </w:style>
  <w:style w:type="table" w:customStyle="1" w:styleId="TableGrid1">
    <w:name w:val="Table Grid1"/>
    <w:basedOn w:val="TableNormal"/>
    <w:next w:val="TableGrid"/>
    <w:uiPriority w:val="39"/>
    <w:rsid w:val="00AA0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58002">
      <w:bodyDiv w:val="1"/>
      <w:marLeft w:val="0"/>
      <w:marRight w:val="0"/>
      <w:marTop w:val="0"/>
      <w:marBottom w:val="0"/>
      <w:divBdr>
        <w:top w:val="none" w:sz="0" w:space="0" w:color="auto"/>
        <w:left w:val="none" w:sz="0" w:space="0" w:color="auto"/>
        <w:bottom w:val="none" w:sz="0" w:space="0" w:color="auto"/>
        <w:right w:val="none" w:sz="0" w:space="0" w:color="auto"/>
      </w:divBdr>
    </w:div>
    <w:div w:id="492718263">
      <w:bodyDiv w:val="1"/>
      <w:marLeft w:val="0"/>
      <w:marRight w:val="0"/>
      <w:marTop w:val="0"/>
      <w:marBottom w:val="0"/>
      <w:divBdr>
        <w:top w:val="none" w:sz="0" w:space="0" w:color="auto"/>
        <w:left w:val="none" w:sz="0" w:space="0" w:color="auto"/>
        <w:bottom w:val="none" w:sz="0" w:space="0" w:color="auto"/>
        <w:right w:val="none" w:sz="0" w:space="0" w:color="auto"/>
      </w:divBdr>
    </w:div>
    <w:div w:id="651062353">
      <w:bodyDiv w:val="1"/>
      <w:marLeft w:val="0"/>
      <w:marRight w:val="0"/>
      <w:marTop w:val="0"/>
      <w:marBottom w:val="0"/>
      <w:divBdr>
        <w:top w:val="none" w:sz="0" w:space="0" w:color="auto"/>
        <w:left w:val="none" w:sz="0" w:space="0" w:color="auto"/>
        <w:bottom w:val="none" w:sz="0" w:space="0" w:color="auto"/>
        <w:right w:val="none" w:sz="0" w:space="0" w:color="auto"/>
      </w:divBdr>
    </w:div>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306545897">
      <w:bodyDiv w:val="1"/>
      <w:marLeft w:val="0"/>
      <w:marRight w:val="0"/>
      <w:marTop w:val="0"/>
      <w:marBottom w:val="0"/>
      <w:divBdr>
        <w:top w:val="none" w:sz="0" w:space="0" w:color="auto"/>
        <w:left w:val="none" w:sz="0" w:space="0" w:color="auto"/>
        <w:bottom w:val="none" w:sz="0" w:space="0" w:color="auto"/>
        <w:right w:val="none" w:sz="0" w:space="0" w:color="auto"/>
      </w:divBdr>
    </w:div>
    <w:div w:id="1502308774">
      <w:bodyDiv w:val="1"/>
      <w:marLeft w:val="0"/>
      <w:marRight w:val="0"/>
      <w:marTop w:val="0"/>
      <w:marBottom w:val="0"/>
      <w:divBdr>
        <w:top w:val="none" w:sz="0" w:space="0" w:color="auto"/>
        <w:left w:val="none" w:sz="0" w:space="0" w:color="auto"/>
        <w:bottom w:val="none" w:sz="0" w:space="0" w:color="auto"/>
        <w:right w:val="none" w:sz="0" w:space="0" w:color="auto"/>
      </w:divBdr>
    </w:div>
    <w:div w:id="1655378511">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JKBQ8J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esb.org/pdf4/geh_balanced_voting_quadrant_segment_descriptions.doc"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D832-256F-4F47-AA1F-D3E3E697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Letterhead.dot</Template>
  <TotalTime>2</TotalTime>
  <Pages>6</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13744</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Veronica Thomason</cp:lastModifiedBy>
  <cp:revision>3</cp:revision>
  <cp:lastPrinted>2013-08-02T20:53:00Z</cp:lastPrinted>
  <dcterms:created xsi:type="dcterms:W3CDTF">2023-04-28T21:29:00Z</dcterms:created>
  <dcterms:modified xsi:type="dcterms:W3CDTF">2023-04-28T21:35:00Z</dcterms:modified>
</cp:coreProperties>
</file>