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9E4BB5" w:rsidRDefault="00BD7EF8">
      <w:pPr>
        <w:ind w:left="1440" w:hanging="1440"/>
        <w:jc w:val="right"/>
        <w:rPr>
          <w:bCs/>
        </w:rPr>
      </w:pPr>
      <w:r>
        <w:rPr>
          <w:bCs/>
        </w:rPr>
        <w:t>April 14</w:t>
      </w:r>
      <w:r w:rsidR="00DC2709">
        <w:rPr>
          <w:bCs/>
        </w:rPr>
        <w:t>, 2014</w:t>
      </w:r>
    </w:p>
    <w:p w:rsidR="009E4BB5" w:rsidRDefault="009E4BB5" w:rsidP="00767D0B">
      <w:pPr>
        <w:spacing w:before="120"/>
        <w:ind w:left="1440" w:hanging="1440"/>
        <w:rPr>
          <w:bCs/>
        </w:rPr>
      </w:pPr>
      <w:r>
        <w:rPr>
          <w:b/>
        </w:rPr>
        <w:t xml:space="preserve">TO: </w:t>
      </w:r>
      <w:r>
        <w:rPr>
          <w:b/>
        </w:rPr>
        <w:tab/>
      </w:r>
      <w:r w:rsidRPr="00AF291A">
        <w:rPr>
          <w:bCs/>
        </w:rPr>
        <w:t>NAESB Gas</w:t>
      </w:r>
      <w:r w:rsidR="00C266A5">
        <w:rPr>
          <w:bCs/>
        </w:rPr>
        <w:t>-</w:t>
      </w:r>
      <w:r w:rsidRPr="00AF291A">
        <w:rPr>
          <w:bCs/>
        </w:rPr>
        <w:t>Electric Harmonization</w:t>
      </w:r>
      <w:r w:rsidR="00A360C0">
        <w:rPr>
          <w:bCs/>
        </w:rPr>
        <w:t xml:space="preserve"> (GEH)</w:t>
      </w:r>
      <w:r w:rsidR="00BD7EF8">
        <w:rPr>
          <w:bCs/>
        </w:rPr>
        <w:t xml:space="preserve"> Forum Distribution List</w:t>
      </w:r>
    </w:p>
    <w:p w:rsidR="00767D0B" w:rsidRPr="00AF291A" w:rsidRDefault="00767D0B" w:rsidP="00767D0B">
      <w:pPr>
        <w:spacing w:before="120"/>
        <w:ind w:left="1440" w:hanging="1440"/>
        <w:rPr>
          <w:bCs/>
        </w:rPr>
      </w:pPr>
      <w:r w:rsidRPr="00767D0B">
        <w:rPr>
          <w:b/>
          <w:bCs/>
        </w:rPr>
        <w:t>cc:</w:t>
      </w:r>
      <w:r>
        <w:rPr>
          <w:bCs/>
        </w:rPr>
        <w:tab/>
        <w:t>NAESB Board of Directors, NAESB Advisory Council</w:t>
      </w:r>
    </w:p>
    <w:p w:rsidR="009E4BB5" w:rsidRDefault="009E4BB5" w:rsidP="00767D0B">
      <w:pPr>
        <w:spacing w:before="120"/>
        <w:rPr>
          <w:bCs/>
        </w:rPr>
      </w:pPr>
      <w:r>
        <w:rPr>
          <w:b/>
        </w:rPr>
        <w:t xml:space="preserve">FROM: </w:t>
      </w:r>
      <w:r>
        <w:rPr>
          <w:b/>
        </w:rPr>
        <w:tab/>
      </w:r>
      <w:r w:rsidR="00BD7EF8">
        <w:t>NAESB Office</w:t>
      </w:r>
      <w:r>
        <w:rPr>
          <w:bCs/>
        </w:rPr>
        <w:t xml:space="preserve"> </w:t>
      </w:r>
    </w:p>
    <w:p w:rsidR="009E4BB5" w:rsidRDefault="009E4BB5" w:rsidP="00767D0B">
      <w:pPr>
        <w:pBdr>
          <w:bottom w:val="single" w:sz="12" w:space="1" w:color="auto"/>
        </w:pBdr>
        <w:spacing w:before="120"/>
        <w:ind w:left="1440" w:hanging="1440"/>
        <w:rPr>
          <w:bCs/>
        </w:rPr>
      </w:pPr>
      <w:r>
        <w:rPr>
          <w:b/>
        </w:rPr>
        <w:t xml:space="preserve">RE: </w:t>
      </w:r>
      <w:r>
        <w:rPr>
          <w:b/>
        </w:rPr>
        <w:tab/>
      </w:r>
      <w:r>
        <w:t>Agenda and Work Papers</w:t>
      </w:r>
      <w:r w:rsidR="00BD7EF8">
        <w:t xml:space="preserve"> for April 22-23, 2014</w:t>
      </w:r>
      <w:r w:rsidR="00C23DBA">
        <w:t xml:space="preserve"> – </w:t>
      </w:r>
      <w:r w:rsidR="00C23DBA" w:rsidRPr="00767D0B">
        <w:rPr>
          <w:b/>
        </w:rPr>
        <w:t>Your Indication to Attend Requested by April 18</w:t>
      </w:r>
    </w:p>
    <w:p w:rsidR="009E4BB5" w:rsidRDefault="009E4BB5" w:rsidP="00F25CB0">
      <w:pPr>
        <w:tabs>
          <w:tab w:val="left" w:pos="0"/>
        </w:tabs>
        <w:spacing w:before="360"/>
        <w:jc w:val="both"/>
        <w:rPr>
          <w:bCs/>
        </w:rPr>
      </w:pPr>
      <w:r>
        <w:rPr>
          <w:bCs/>
        </w:rPr>
        <w:t xml:space="preserve">Dear </w:t>
      </w:r>
      <w:r w:rsidR="00BD7EF8">
        <w:rPr>
          <w:bCs/>
        </w:rPr>
        <w:t>Forum Distribution</w:t>
      </w:r>
      <w:r>
        <w:rPr>
          <w:bCs/>
        </w:rPr>
        <w:t>,</w:t>
      </w:r>
    </w:p>
    <w:p w:rsidR="00BD7EF8" w:rsidRDefault="00BD7EF8" w:rsidP="00CF4592">
      <w:pPr>
        <w:spacing w:before="120"/>
        <w:rPr>
          <w:iCs/>
        </w:rPr>
      </w:pPr>
      <w:r>
        <w:t xml:space="preserve">Thank you for showing interest in our process and being part of the group that shapes the NAESB response to the </w:t>
      </w:r>
      <w:r w:rsidR="007C0A21" w:rsidRPr="00F03648">
        <w:t>directives</w:t>
      </w:r>
      <w:r w:rsidR="002101D6">
        <w:t xml:space="preserve"> </w:t>
      </w:r>
      <w:r w:rsidR="007C0A21">
        <w:t xml:space="preserve">of the </w:t>
      </w:r>
      <w:r w:rsidR="002101D6">
        <w:t>Notice of Proposed Rulemaking</w:t>
      </w:r>
      <w:r w:rsidR="006C685D">
        <w:t xml:space="preserve"> (NOPR)</w:t>
      </w:r>
      <w:r w:rsidR="002101D6">
        <w:t xml:space="preserve"> on </w:t>
      </w:r>
      <w:r w:rsidR="002101D6">
        <w:rPr>
          <w:i/>
          <w:iCs/>
        </w:rPr>
        <w:t xml:space="preserve">Coordination of the Scheduling Processes of Interstate Natural Gas Pipelines and Public Utilities </w:t>
      </w:r>
      <w:r w:rsidR="002101D6">
        <w:rPr>
          <w:iCs/>
        </w:rPr>
        <w:t>issued on March 20, 2014 (Docket No. RM14-2-000)</w:t>
      </w:r>
      <w:r w:rsidR="007C0A21">
        <w:rPr>
          <w:iCs/>
        </w:rPr>
        <w:t xml:space="preserve">.  </w:t>
      </w:r>
      <w:r>
        <w:rPr>
          <w:iCs/>
        </w:rPr>
        <w:t>We have already held two conference calls on March 27 and April 1, given one review session also on April 1, and asked for presenters for the April 22-23 meeting to be identified.  The deadline for indicating intent to provide presentations was April 11. Thirteen companies</w:t>
      </w:r>
      <w:r w:rsidR="005B3D49">
        <w:rPr>
          <w:rStyle w:val="FootnoteReference"/>
          <w:iCs/>
        </w:rPr>
        <w:footnoteReference w:id="1"/>
      </w:r>
      <w:r>
        <w:rPr>
          <w:iCs/>
        </w:rPr>
        <w:t xml:space="preserve"> have indicated their intent to present alternatives to the proposal provided by the Federal Energy Regulatory Commission in its NOPR.</w:t>
      </w:r>
    </w:p>
    <w:p w:rsidR="00BD7EF8" w:rsidRDefault="00BD7EF8" w:rsidP="00CF4592">
      <w:pPr>
        <w:spacing w:before="120"/>
        <w:rPr>
          <w:iCs/>
        </w:rPr>
      </w:pPr>
      <w:r>
        <w:rPr>
          <w:iCs/>
        </w:rPr>
        <w:t>The agenda and links to work papers are provided for our upcoming two day session and we will provide an update</w:t>
      </w:r>
      <w:r w:rsidR="00C23DBA">
        <w:rPr>
          <w:iCs/>
        </w:rPr>
        <w:t xml:space="preserve"> on April 18, after we have receiv</w:t>
      </w:r>
      <w:r w:rsidR="00497E30">
        <w:rPr>
          <w:iCs/>
        </w:rPr>
        <w:t>ed</w:t>
      </w:r>
      <w:r w:rsidR="00C23DBA">
        <w:rPr>
          <w:iCs/>
        </w:rPr>
        <w:t xml:space="preserve"> the presentation materials for posting.  </w:t>
      </w:r>
    </w:p>
    <w:p w:rsidR="00C23DBA" w:rsidRDefault="00C23DBA" w:rsidP="00CF4592">
      <w:pPr>
        <w:spacing w:before="120"/>
        <w:rPr>
          <w:iCs/>
        </w:rPr>
      </w:pPr>
      <w:r w:rsidRPr="00767D0B">
        <w:rPr>
          <w:b/>
          <w:iCs/>
        </w:rPr>
        <w:t>To participate in this meeting, please provide an RSVP to the office (</w:t>
      </w:r>
      <w:hyperlink r:id="rId9" w:history="1">
        <w:r w:rsidRPr="00767D0B">
          <w:rPr>
            <w:rStyle w:val="Hyperlink"/>
            <w:b/>
            <w:iCs/>
          </w:rPr>
          <w:t>drager@naesb.org</w:t>
        </w:r>
      </w:hyperlink>
      <w:r w:rsidRPr="00767D0B">
        <w:rPr>
          <w:b/>
          <w:iCs/>
        </w:rPr>
        <w:t>, 713-356-0060) by April 18</w:t>
      </w:r>
      <w:r>
        <w:rPr>
          <w:iCs/>
        </w:rPr>
        <w:t xml:space="preserve"> and you will receive an email confirmation.   There is no charge to attend in person or by conference call/</w:t>
      </w:r>
      <w:r w:rsidR="00497E30">
        <w:rPr>
          <w:iCs/>
        </w:rPr>
        <w:t>web cast</w:t>
      </w:r>
      <w:r>
        <w:rPr>
          <w:iCs/>
        </w:rPr>
        <w:t>.  When indicati</w:t>
      </w:r>
      <w:r w:rsidR="000F7439">
        <w:rPr>
          <w:iCs/>
        </w:rPr>
        <w:t>ng</w:t>
      </w:r>
      <w:r>
        <w:rPr>
          <w:iCs/>
        </w:rPr>
        <w:t xml:space="preserve"> your intent to participate, please provide the following registration information – </w:t>
      </w:r>
    </w:p>
    <w:p w:rsidR="00650E25" w:rsidRPr="00C23DBA" w:rsidRDefault="00C23DBA" w:rsidP="00C23DBA">
      <w:pPr>
        <w:pStyle w:val="ListParagraph"/>
        <w:numPr>
          <w:ilvl w:val="0"/>
          <w:numId w:val="45"/>
        </w:numPr>
        <w:spacing w:before="120"/>
        <w:rPr>
          <w:rFonts w:ascii="Times New Roman" w:hAnsi="Times New Roman" w:cs="Times New Roman"/>
          <w:sz w:val="20"/>
          <w:szCs w:val="20"/>
        </w:rPr>
      </w:pPr>
      <w:r w:rsidRPr="00C23DBA">
        <w:rPr>
          <w:rFonts w:ascii="Times New Roman" w:hAnsi="Times New Roman" w:cs="Times New Roman"/>
          <w:sz w:val="20"/>
          <w:szCs w:val="20"/>
        </w:rPr>
        <w:t>Name</w:t>
      </w:r>
    </w:p>
    <w:p w:rsidR="00C23DBA" w:rsidRPr="00C23DBA" w:rsidRDefault="00C23DBA" w:rsidP="00C23DBA">
      <w:pPr>
        <w:pStyle w:val="ListParagraph"/>
        <w:numPr>
          <w:ilvl w:val="0"/>
          <w:numId w:val="45"/>
        </w:numPr>
        <w:spacing w:before="120"/>
        <w:rPr>
          <w:rFonts w:ascii="Times New Roman" w:hAnsi="Times New Roman" w:cs="Times New Roman"/>
          <w:sz w:val="20"/>
          <w:szCs w:val="20"/>
        </w:rPr>
      </w:pPr>
      <w:r w:rsidRPr="00C23DBA">
        <w:rPr>
          <w:rFonts w:ascii="Times New Roman" w:hAnsi="Times New Roman" w:cs="Times New Roman"/>
          <w:sz w:val="20"/>
          <w:szCs w:val="20"/>
        </w:rPr>
        <w:t>Company</w:t>
      </w:r>
    </w:p>
    <w:p w:rsidR="00C23DBA" w:rsidRPr="00C23DBA" w:rsidRDefault="00C23DBA" w:rsidP="00C23DBA">
      <w:pPr>
        <w:pStyle w:val="ListParagraph"/>
        <w:numPr>
          <w:ilvl w:val="0"/>
          <w:numId w:val="45"/>
        </w:numPr>
        <w:spacing w:before="120"/>
        <w:rPr>
          <w:rFonts w:ascii="Times New Roman" w:hAnsi="Times New Roman" w:cs="Times New Roman"/>
          <w:sz w:val="20"/>
          <w:szCs w:val="20"/>
        </w:rPr>
      </w:pPr>
      <w:r w:rsidRPr="00C23DBA">
        <w:rPr>
          <w:rFonts w:ascii="Times New Roman" w:hAnsi="Times New Roman" w:cs="Times New Roman"/>
          <w:sz w:val="20"/>
          <w:szCs w:val="20"/>
        </w:rPr>
        <w:t xml:space="preserve">Representation in either the Wholesale Gas or Wholesale Electric </w:t>
      </w:r>
      <w:r w:rsidR="00F25CB0">
        <w:rPr>
          <w:rFonts w:ascii="Times New Roman" w:hAnsi="Times New Roman" w:cs="Times New Roman"/>
          <w:sz w:val="20"/>
          <w:szCs w:val="20"/>
        </w:rPr>
        <w:t>Quadrant</w:t>
      </w:r>
    </w:p>
    <w:p w:rsidR="00C23DBA" w:rsidRDefault="00C23DBA" w:rsidP="00C23DBA">
      <w:pPr>
        <w:pStyle w:val="ListParagraph"/>
        <w:numPr>
          <w:ilvl w:val="0"/>
          <w:numId w:val="45"/>
        </w:numPr>
        <w:spacing w:before="120"/>
        <w:rPr>
          <w:rFonts w:ascii="Times New Roman" w:hAnsi="Times New Roman" w:cs="Times New Roman"/>
          <w:sz w:val="20"/>
          <w:szCs w:val="20"/>
        </w:rPr>
      </w:pPr>
      <w:r w:rsidRPr="00C23DBA">
        <w:rPr>
          <w:rFonts w:ascii="Times New Roman" w:hAnsi="Times New Roman" w:cs="Times New Roman"/>
          <w:sz w:val="20"/>
          <w:szCs w:val="20"/>
        </w:rPr>
        <w:t>Segment representation</w:t>
      </w:r>
      <w:r w:rsidR="000F7439">
        <w:rPr>
          <w:rFonts w:ascii="Times New Roman" w:hAnsi="Times New Roman" w:cs="Times New Roman"/>
          <w:sz w:val="20"/>
          <w:szCs w:val="20"/>
        </w:rPr>
        <w:t xml:space="preserve"> </w:t>
      </w:r>
      <w:r w:rsidR="000F7439" w:rsidRPr="000F7439">
        <w:rPr>
          <w:rFonts w:ascii="Times New Roman" w:hAnsi="Times New Roman" w:cs="Times New Roman"/>
          <w:i/>
          <w:sz w:val="20"/>
          <w:szCs w:val="20"/>
        </w:rPr>
        <w:t>(Descriptions provided in the background documents as part of the attached agenda)</w:t>
      </w:r>
    </w:p>
    <w:p w:rsidR="00C23DBA" w:rsidRPr="00C23DBA" w:rsidRDefault="00C23DBA" w:rsidP="00C23DBA">
      <w:pPr>
        <w:pStyle w:val="ListParagraph"/>
        <w:numPr>
          <w:ilvl w:val="0"/>
          <w:numId w:val="45"/>
        </w:numPr>
        <w:spacing w:before="120"/>
        <w:rPr>
          <w:rFonts w:ascii="Times New Roman" w:hAnsi="Times New Roman" w:cs="Times New Roman"/>
          <w:sz w:val="20"/>
          <w:szCs w:val="20"/>
        </w:rPr>
      </w:pPr>
      <w:r>
        <w:rPr>
          <w:rFonts w:ascii="Times New Roman" w:hAnsi="Times New Roman" w:cs="Times New Roman"/>
          <w:sz w:val="20"/>
          <w:szCs w:val="20"/>
        </w:rPr>
        <w:t>Participation by conference call</w:t>
      </w:r>
      <w:r w:rsidR="00497E30">
        <w:rPr>
          <w:rFonts w:ascii="Times New Roman" w:hAnsi="Times New Roman" w:cs="Times New Roman"/>
          <w:sz w:val="20"/>
          <w:szCs w:val="20"/>
        </w:rPr>
        <w:t>/web cast</w:t>
      </w:r>
      <w:r>
        <w:rPr>
          <w:rFonts w:ascii="Times New Roman" w:hAnsi="Times New Roman" w:cs="Times New Roman"/>
          <w:sz w:val="20"/>
          <w:szCs w:val="20"/>
        </w:rPr>
        <w:t xml:space="preserve"> or in-person.</w:t>
      </w:r>
    </w:p>
    <w:p w:rsidR="00F25CB0" w:rsidRDefault="00F25CB0" w:rsidP="00CB501E">
      <w:pPr>
        <w:spacing w:before="120"/>
      </w:pPr>
      <w:r>
        <w:t xml:space="preserve">You should select only one segment and only one quadrant.  </w:t>
      </w:r>
      <w:r w:rsidR="00C23DBA">
        <w:t>RSVPs are particularly important for these meetings to ensure we have adequate space and enough lines for those participating through conference calling.  For those participating by conference call</w:t>
      </w:r>
      <w:r w:rsidR="00497E30">
        <w:t>/web cast</w:t>
      </w:r>
      <w:r w:rsidR="00C23DBA">
        <w:t xml:space="preserve">, your email confirmation will include the call in information.  A registration list </w:t>
      </w:r>
      <w:r>
        <w:t xml:space="preserve">will be made available prior to the meeting.  </w:t>
      </w:r>
    </w:p>
    <w:p w:rsidR="00CB501E" w:rsidRDefault="00CB501E" w:rsidP="00CB501E">
      <w:pPr>
        <w:spacing w:before="120"/>
      </w:pPr>
      <w:r w:rsidRPr="00AE6B33">
        <w:t xml:space="preserve">All </w:t>
      </w:r>
      <w:r w:rsidR="002B074F" w:rsidRPr="00AE6B33">
        <w:t xml:space="preserve">those that RSVP for the meetings </w:t>
      </w:r>
      <w:r w:rsidRPr="00AE6B33">
        <w:t>will be added to the distribution list unless it is specifically requested otherwise.  Should you know of any colleagues that may have interest in attending this meeting or in following NAESB efforts in this area, please feel free to forward this invitation.</w:t>
      </w:r>
      <w:r w:rsidRPr="00D022B0">
        <w:t xml:space="preserve">  </w:t>
      </w:r>
    </w:p>
    <w:p w:rsidR="00BA209E" w:rsidRPr="00B8290E" w:rsidRDefault="00C23DBA" w:rsidP="00CB501E">
      <w:pPr>
        <w:spacing w:before="120"/>
        <w:rPr>
          <w:color w:val="000000"/>
        </w:rPr>
      </w:pPr>
      <w:r>
        <w:rPr>
          <w:color w:val="000000"/>
        </w:rPr>
        <w:t xml:space="preserve">The meeting will be transcribed.  </w:t>
      </w:r>
      <w:r w:rsidR="00BA209E" w:rsidRPr="00B8290E">
        <w:rPr>
          <w:color w:val="000000"/>
        </w:rPr>
        <w:t xml:space="preserve">Because Commission staff may be participating </w:t>
      </w:r>
      <w:r w:rsidR="00767D0B">
        <w:rPr>
          <w:color w:val="000000"/>
        </w:rPr>
        <w:t xml:space="preserve">in or monitoring </w:t>
      </w:r>
      <w:r w:rsidR="00BA209E" w:rsidRPr="00B8290E">
        <w:rPr>
          <w:color w:val="000000"/>
        </w:rPr>
        <w:t>these meetings, if participants want to discuss the FPA section 206 proceedings to reform the ISO and RTO scheduling practices, we request that those discussions be held elsewhere</w:t>
      </w:r>
      <w:r>
        <w:rPr>
          <w:color w:val="000000"/>
        </w:rPr>
        <w:t xml:space="preserve">. </w:t>
      </w:r>
    </w:p>
    <w:p w:rsidR="00D41EE0" w:rsidRDefault="00D41EE0" w:rsidP="00F25CB0">
      <w:pPr>
        <w:pStyle w:val="BodyText"/>
        <w:keepNext/>
        <w:jc w:val="center"/>
        <w:rPr>
          <w:b/>
          <w:sz w:val="18"/>
          <w:szCs w:val="18"/>
        </w:rPr>
      </w:pPr>
      <w:r>
        <w:br w:type="page"/>
      </w:r>
      <w:bookmarkEnd w:id="0"/>
      <w:bookmarkEnd w:id="1"/>
      <w:bookmarkEnd w:id="2"/>
      <w:bookmarkEnd w:id="3"/>
      <w:bookmarkEnd w:id="4"/>
      <w:bookmarkEnd w:id="5"/>
      <w:r w:rsidRPr="00E711AD">
        <w:rPr>
          <w:b/>
          <w:sz w:val="18"/>
          <w:szCs w:val="18"/>
        </w:rPr>
        <w:lastRenderedPageBreak/>
        <w:t xml:space="preserve">NAESB </w:t>
      </w:r>
      <w:r>
        <w:rPr>
          <w:b/>
          <w:sz w:val="18"/>
          <w:szCs w:val="18"/>
        </w:rPr>
        <w:t xml:space="preserve">GAS-ELECTRIC HARMONIZATION </w:t>
      </w:r>
      <w:r w:rsidR="00F25CB0">
        <w:rPr>
          <w:b/>
          <w:sz w:val="18"/>
          <w:szCs w:val="18"/>
        </w:rPr>
        <w:t>FORUM</w:t>
      </w:r>
    </w:p>
    <w:p w:rsidR="00D41EE0" w:rsidRPr="00E711AD" w:rsidRDefault="00497E30" w:rsidP="00D41EE0">
      <w:pPr>
        <w:pStyle w:val="BodyText"/>
        <w:jc w:val="center"/>
        <w:rPr>
          <w:b/>
          <w:sz w:val="18"/>
          <w:szCs w:val="18"/>
        </w:rPr>
      </w:pPr>
      <w:r>
        <w:rPr>
          <w:b/>
          <w:bCs/>
          <w:sz w:val="18"/>
          <w:szCs w:val="18"/>
        </w:rPr>
        <w:t>Meeting</w:t>
      </w:r>
      <w:r w:rsidR="00D41EE0">
        <w:rPr>
          <w:b/>
          <w:bCs/>
          <w:sz w:val="18"/>
          <w:szCs w:val="18"/>
        </w:rPr>
        <w:t xml:space="preserve"> </w:t>
      </w:r>
    </w:p>
    <w:p w:rsidR="00D41EE0" w:rsidRDefault="00D41EE0" w:rsidP="00D41EE0">
      <w:pPr>
        <w:pStyle w:val="BodyText"/>
        <w:jc w:val="center"/>
        <w:rPr>
          <w:b/>
          <w:sz w:val="18"/>
          <w:szCs w:val="18"/>
        </w:rPr>
      </w:pPr>
      <w:r>
        <w:rPr>
          <w:b/>
          <w:sz w:val="18"/>
          <w:szCs w:val="18"/>
        </w:rPr>
        <w:t xml:space="preserve">Tuesday, April </w:t>
      </w:r>
      <w:r w:rsidR="00F25CB0">
        <w:rPr>
          <w:b/>
          <w:sz w:val="18"/>
          <w:szCs w:val="18"/>
        </w:rPr>
        <w:t>22</w:t>
      </w:r>
      <w:r>
        <w:rPr>
          <w:b/>
          <w:sz w:val="18"/>
          <w:szCs w:val="18"/>
        </w:rPr>
        <w:t>, 2014</w:t>
      </w:r>
      <w:r w:rsidRPr="00E711AD">
        <w:rPr>
          <w:b/>
          <w:sz w:val="18"/>
          <w:szCs w:val="18"/>
        </w:rPr>
        <w:t xml:space="preserve"> </w:t>
      </w:r>
      <w:r w:rsidR="00F25CB0">
        <w:rPr>
          <w:b/>
          <w:sz w:val="18"/>
          <w:szCs w:val="18"/>
        </w:rPr>
        <w:t>–</w:t>
      </w:r>
      <w:r w:rsidRPr="00E711AD">
        <w:rPr>
          <w:b/>
          <w:sz w:val="18"/>
          <w:szCs w:val="18"/>
        </w:rPr>
        <w:t xml:space="preserve"> </w:t>
      </w:r>
      <w:r w:rsidR="00F25CB0">
        <w:rPr>
          <w:b/>
          <w:sz w:val="18"/>
          <w:szCs w:val="18"/>
        </w:rPr>
        <w:t>8:00 am to 5:00 pm</w:t>
      </w:r>
      <w:r w:rsidRPr="00E711AD">
        <w:rPr>
          <w:b/>
          <w:sz w:val="18"/>
          <w:szCs w:val="18"/>
        </w:rPr>
        <w:t xml:space="preserve"> Central</w:t>
      </w:r>
    </w:p>
    <w:p w:rsidR="00F25CB0" w:rsidRPr="00E711AD" w:rsidRDefault="00F25CB0" w:rsidP="00F25CB0">
      <w:pPr>
        <w:pStyle w:val="BodyText"/>
        <w:jc w:val="center"/>
        <w:rPr>
          <w:b/>
          <w:sz w:val="18"/>
          <w:szCs w:val="18"/>
        </w:rPr>
      </w:pPr>
      <w:r>
        <w:rPr>
          <w:b/>
          <w:sz w:val="18"/>
          <w:szCs w:val="18"/>
        </w:rPr>
        <w:t>Wednesday, April 23, 2014</w:t>
      </w:r>
      <w:r w:rsidRPr="00E711AD">
        <w:rPr>
          <w:b/>
          <w:sz w:val="18"/>
          <w:szCs w:val="18"/>
        </w:rPr>
        <w:t xml:space="preserve"> </w:t>
      </w:r>
      <w:r>
        <w:rPr>
          <w:b/>
          <w:sz w:val="18"/>
          <w:szCs w:val="18"/>
        </w:rPr>
        <w:t>–</w:t>
      </w:r>
      <w:r w:rsidRPr="00E711AD">
        <w:rPr>
          <w:b/>
          <w:sz w:val="18"/>
          <w:szCs w:val="18"/>
        </w:rPr>
        <w:t xml:space="preserve"> </w:t>
      </w:r>
      <w:r>
        <w:rPr>
          <w:b/>
          <w:sz w:val="18"/>
          <w:szCs w:val="18"/>
        </w:rPr>
        <w:t>8:00 am to 2:00 pm</w:t>
      </w:r>
      <w:r w:rsidRPr="00E711AD">
        <w:rPr>
          <w:b/>
          <w:sz w:val="18"/>
          <w:szCs w:val="18"/>
        </w:rPr>
        <w:t xml:space="preserve"> Central</w:t>
      </w:r>
    </w:p>
    <w:p w:rsidR="00F25CB0" w:rsidRDefault="00F25CB0" w:rsidP="00D41EE0">
      <w:pPr>
        <w:pStyle w:val="BodyText"/>
        <w:jc w:val="center"/>
        <w:rPr>
          <w:b/>
          <w:sz w:val="18"/>
          <w:szCs w:val="18"/>
        </w:rPr>
      </w:pPr>
    </w:p>
    <w:p w:rsidR="000F7439" w:rsidRDefault="000F7439" w:rsidP="00D41EE0">
      <w:pPr>
        <w:pStyle w:val="BodyText"/>
        <w:jc w:val="center"/>
        <w:rPr>
          <w:b/>
          <w:sz w:val="18"/>
          <w:szCs w:val="18"/>
        </w:rPr>
      </w:pPr>
      <w:r>
        <w:rPr>
          <w:b/>
          <w:sz w:val="18"/>
          <w:szCs w:val="18"/>
        </w:rPr>
        <w:t>Available by Phone and Web Cast</w:t>
      </w:r>
    </w:p>
    <w:p w:rsidR="000F7439" w:rsidRPr="00E711AD" w:rsidRDefault="000F7439" w:rsidP="00D41EE0">
      <w:pPr>
        <w:pStyle w:val="BodyText"/>
        <w:jc w:val="center"/>
        <w:rPr>
          <w:b/>
          <w:sz w:val="18"/>
          <w:szCs w:val="18"/>
        </w:rPr>
      </w:pPr>
      <w:r>
        <w:rPr>
          <w:b/>
          <w:sz w:val="18"/>
          <w:szCs w:val="18"/>
        </w:rPr>
        <w:t>In Person Attendance Hilton Americas</w:t>
      </w:r>
      <w:r>
        <w:rPr>
          <w:rStyle w:val="FootnoteReference"/>
          <w:b/>
          <w:sz w:val="18"/>
          <w:szCs w:val="18"/>
        </w:rPr>
        <w:footnoteReference w:id="2"/>
      </w:r>
      <w:r>
        <w:rPr>
          <w:b/>
          <w:sz w:val="18"/>
          <w:szCs w:val="18"/>
        </w:rPr>
        <w:t xml:space="preserve">, Houston, Texas – </w:t>
      </w:r>
      <w:r w:rsidRPr="00497E30">
        <w:rPr>
          <w:b/>
          <w:sz w:val="18"/>
          <w:szCs w:val="18"/>
        </w:rPr>
        <w:t>Room</w:t>
      </w:r>
      <w:r>
        <w:rPr>
          <w:b/>
          <w:sz w:val="18"/>
          <w:szCs w:val="18"/>
        </w:rPr>
        <w:t xml:space="preserve"> </w:t>
      </w:r>
      <w:r w:rsidR="00497E30">
        <w:rPr>
          <w:b/>
          <w:sz w:val="18"/>
          <w:szCs w:val="18"/>
        </w:rPr>
        <w:t>336AB</w:t>
      </w:r>
    </w:p>
    <w:p w:rsidR="00D41EE0" w:rsidRPr="00E711AD" w:rsidRDefault="00D41EE0" w:rsidP="00D41EE0">
      <w:pPr>
        <w:pStyle w:val="BodyText"/>
        <w:spacing w:before="120" w:after="240"/>
        <w:jc w:val="center"/>
        <w:rPr>
          <w:b/>
          <w:sz w:val="18"/>
          <w:szCs w:val="18"/>
        </w:rPr>
      </w:pPr>
      <w:r w:rsidRPr="00E711AD">
        <w:rPr>
          <w:b/>
          <w:caps/>
          <w:sz w:val="18"/>
          <w:szCs w:val="18"/>
        </w:rPr>
        <w:t>DRAFT agenda</w:t>
      </w:r>
    </w:p>
    <w:p w:rsidR="00D41EE0" w:rsidRPr="00AA59AF" w:rsidRDefault="00D41EE0" w:rsidP="00767D0B">
      <w:pPr>
        <w:spacing w:before="60"/>
        <w:ind w:left="720" w:hanging="720"/>
      </w:pPr>
      <w:r>
        <w:t>1.</w:t>
      </w:r>
      <w:r>
        <w:tab/>
      </w:r>
      <w:r w:rsidR="005B3D49">
        <w:t>Administrative</w:t>
      </w:r>
    </w:p>
    <w:p w:rsidR="00D41EE0" w:rsidRPr="00AA59AF" w:rsidRDefault="00D41EE0" w:rsidP="00767D0B">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Welcome</w:t>
      </w:r>
    </w:p>
    <w:p w:rsidR="00D41EE0" w:rsidRPr="00AA59AF" w:rsidRDefault="00D41EE0" w:rsidP="00767D0B">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Antitrust Guidance</w:t>
      </w:r>
    </w:p>
    <w:p w:rsidR="00D41EE0" w:rsidRDefault="00F25CB0" w:rsidP="00767D0B">
      <w:pPr>
        <w:pStyle w:val="ListParagraph"/>
        <w:numPr>
          <w:ilvl w:val="0"/>
          <w:numId w:val="37"/>
        </w:numPr>
        <w:spacing w:before="60"/>
        <w:rPr>
          <w:rFonts w:ascii="Times New Roman" w:hAnsi="Times New Roman" w:cs="Times New Roman"/>
          <w:sz w:val="20"/>
          <w:szCs w:val="20"/>
        </w:rPr>
      </w:pPr>
      <w:r>
        <w:rPr>
          <w:rFonts w:ascii="Times New Roman" w:hAnsi="Times New Roman" w:cs="Times New Roman"/>
          <w:sz w:val="20"/>
          <w:szCs w:val="20"/>
        </w:rPr>
        <w:t>Adoption of A</w:t>
      </w:r>
      <w:r w:rsidR="00D41EE0" w:rsidRPr="00AA59AF">
        <w:rPr>
          <w:rFonts w:ascii="Times New Roman" w:hAnsi="Times New Roman" w:cs="Times New Roman"/>
          <w:sz w:val="20"/>
          <w:szCs w:val="20"/>
        </w:rPr>
        <w:t>genda</w:t>
      </w:r>
    </w:p>
    <w:p w:rsidR="00D41EE0" w:rsidRDefault="00D41EE0" w:rsidP="00767D0B">
      <w:pPr>
        <w:spacing w:before="60"/>
        <w:ind w:left="720" w:hanging="720"/>
      </w:pPr>
      <w:r w:rsidRPr="00AA59AF">
        <w:t>2.</w:t>
      </w:r>
      <w:r w:rsidRPr="00AA59AF">
        <w:tab/>
      </w:r>
      <w:r w:rsidR="007E6487">
        <w:t>Review of Process to be used</w:t>
      </w:r>
    </w:p>
    <w:p w:rsidR="007E6487" w:rsidRDefault="007E6487" w:rsidP="00767D0B">
      <w:pPr>
        <w:spacing w:before="60"/>
        <w:ind w:left="720" w:hanging="720"/>
      </w:pPr>
      <w:r>
        <w:t>3.</w:t>
      </w:r>
      <w:r>
        <w:tab/>
        <w:t>Review of the Timeline</w:t>
      </w:r>
    </w:p>
    <w:p w:rsidR="007E6487" w:rsidRDefault="005B3D49" w:rsidP="00767D0B">
      <w:pPr>
        <w:spacing w:before="60"/>
        <w:ind w:left="720" w:hanging="720"/>
      </w:pPr>
      <w:r>
        <w:t>4</w:t>
      </w:r>
      <w:r w:rsidR="007E6487">
        <w:t>.</w:t>
      </w:r>
      <w:r w:rsidR="007E6487">
        <w:tab/>
      </w:r>
      <w:r w:rsidR="002F5A9E">
        <w:t xml:space="preserve">Brief Overview of the </w:t>
      </w:r>
      <w:r w:rsidR="007E6487">
        <w:t>FERC NOPR Proposal</w:t>
      </w:r>
    </w:p>
    <w:p w:rsidR="007E6487" w:rsidRDefault="005B3D49" w:rsidP="00767D0B">
      <w:pPr>
        <w:spacing w:before="60"/>
        <w:ind w:left="720" w:hanging="720"/>
      </w:pPr>
      <w:r>
        <w:t>5</w:t>
      </w:r>
      <w:r w:rsidR="007E6487">
        <w:t>.</w:t>
      </w:r>
      <w:r w:rsidR="007E6487">
        <w:tab/>
        <w:t>Presentations of Alternatives to FERC Proposal</w:t>
      </w:r>
    </w:p>
    <w:p w:rsidR="00D41EE0" w:rsidRDefault="005B3D49" w:rsidP="00767D0B">
      <w:pPr>
        <w:spacing w:before="60"/>
        <w:ind w:left="720" w:hanging="720"/>
      </w:pPr>
      <w:r>
        <w:t>6</w:t>
      </w:r>
      <w:r w:rsidR="007E6487">
        <w:t xml:space="preserve">. </w:t>
      </w:r>
      <w:r w:rsidR="007E6487">
        <w:tab/>
        <w:t xml:space="preserve">Preparations for Next Meeting </w:t>
      </w:r>
    </w:p>
    <w:p w:rsidR="00D41EE0" w:rsidRDefault="00767D0B" w:rsidP="00767D0B">
      <w:pPr>
        <w:spacing w:before="60"/>
        <w:ind w:left="720" w:hanging="720"/>
      </w:pPr>
      <w:r>
        <w:t>7</w:t>
      </w:r>
      <w:r w:rsidR="00D41EE0">
        <w:t>.</w:t>
      </w:r>
      <w:r w:rsidR="00D41EE0">
        <w:tab/>
        <w:t>Other Business</w:t>
      </w:r>
    </w:p>
    <w:p w:rsidR="00D41EE0" w:rsidRDefault="00767D0B" w:rsidP="00767D0B">
      <w:pPr>
        <w:spacing w:before="60"/>
        <w:ind w:left="720" w:hanging="720"/>
      </w:pPr>
      <w:r>
        <w:t>8</w:t>
      </w:r>
      <w:r w:rsidR="00D41EE0">
        <w:t>.</w:t>
      </w:r>
      <w:r w:rsidR="00D41EE0">
        <w:tab/>
        <w:t>Adjourn</w:t>
      </w:r>
    </w:p>
    <w:p w:rsidR="005B3D49" w:rsidRDefault="005B3D49" w:rsidP="00767D0B">
      <w:pPr>
        <w:spacing w:before="600"/>
        <w:ind w:left="720" w:hanging="720"/>
      </w:pPr>
      <w:r>
        <w:t>Background Materials (will be updated on April 18 after the receipt of the presentations):</w:t>
      </w:r>
    </w:p>
    <w:p w:rsidR="00767D0B" w:rsidRPr="00D7247D" w:rsidRDefault="00767D0B" w:rsidP="00767D0B">
      <w:pPr>
        <w:pStyle w:val="ListParagraph"/>
        <w:numPr>
          <w:ilvl w:val="0"/>
          <w:numId w:val="46"/>
        </w:numPr>
        <w:spacing w:before="120"/>
        <w:ind w:left="720" w:hanging="720"/>
        <w:rPr>
          <w:rFonts w:ascii="Times New Roman" w:hAnsi="Times New Roman" w:cs="Times New Roman"/>
          <w:sz w:val="20"/>
          <w:szCs w:val="20"/>
        </w:rPr>
      </w:pPr>
      <w:r w:rsidRPr="00D7247D">
        <w:rPr>
          <w:rFonts w:ascii="Times New Roman" w:hAnsi="Times New Roman" w:cs="Times New Roman"/>
          <w:sz w:val="20"/>
          <w:szCs w:val="20"/>
        </w:rPr>
        <w:t xml:space="preserve">NAESB GEH Forum Distribution List: </w:t>
      </w:r>
      <w:hyperlink r:id="rId10" w:history="1">
        <w:r w:rsidRPr="00D7247D">
          <w:rPr>
            <w:rStyle w:val="Hyperlink"/>
            <w:rFonts w:ascii="Times New Roman" w:hAnsi="Times New Roman"/>
            <w:sz w:val="20"/>
            <w:szCs w:val="20"/>
          </w:rPr>
          <w:t>http://www.naesb.org/pdf4/naesb_geh_forum_distlist_2014.doc</w:t>
        </w:r>
      </w:hyperlink>
    </w:p>
    <w:p w:rsidR="005B3D49" w:rsidRPr="00D7247D" w:rsidRDefault="00767D0B" w:rsidP="00767D0B">
      <w:pPr>
        <w:pStyle w:val="ListParagraph"/>
        <w:numPr>
          <w:ilvl w:val="0"/>
          <w:numId w:val="46"/>
        </w:numPr>
        <w:spacing w:before="120"/>
        <w:ind w:left="720" w:hanging="720"/>
        <w:rPr>
          <w:rFonts w:ascii="Times New Roman" w:hAnsi="Times New Roman" w:cs="Times New Roman"/>
          <w:sz w:val="20"/>
          <w:szCs w:val="20"/>
        </w:rPr>
      </w:pPr>
      <w:r w:rsidRPr="00D7247D">
        <w:rPr>
          <w:rFonts w:ascii="Times New Roman" w:hAnsi="Times New Roman" w:cs="Times New Roman"/>
          <w:sz w:val="20"/>
          <w:szCs w:val="20"/>
        </w:rPr>
        <w:t>Antitrust Guidance:</w:t>
      </w:r>
      <w:r w:rsidR="000443C9" w:rsidRPr="00D7247D">
        <w:rPr>
          <w:rFonts w:ascii="Times New Roman" w:hAnsi="Times New Roman" w:cs="Times New Roman"/>
          <w:sz w:val="20"/>
          <w:szCs w:val="20"/>
        </w:rPr>
        <w:t xml:space="preserve"> </w:t>
      </w:r>
      <w:hyperlink r:id="rId11" w:history="1">
        <w:r w:rsidR="000443C9" w:rsidRPr="00D7247D">
          <w:rPr>
            <w:rStyle w:val="Hyperlink"/>
            <w:rFonts w:ascii="Times New Roman" w:hAnsi="Times New Roman"/>
            <w:sz w:val="20"/>
            <w:szCs w:val="20"/>
          </w:rPr>
          <w:t>http://www.naesb.org/misc/antitrust_guidance.doc</w:t>
        </w:r>
      </w:hyperlink>
    </w:p>
    <w:p w:rsidR="00767D0B" w:rsidRPr="00D7247D" w:rsidRDefault="00767D0B" w:rsidP="00D7247D">
      <w:pPr>
        <w:pStyle w:val="ListParagraph"/>
        <w:numPr>
          <w:ilvl w:val="0"/>
          <w:numId w:val="46"/>
        </w:numPr>
        <w:spacing w:before="120"/>
        <w:ind w:left="720" w:hanging="720"/>
        <w:rPr>
          <w:rFonts w:ascii="Times New Roman" w:hAnsi="Times New Roman" w:cs="Times New Roman"/>
          <w:sz w:val="20"/>
          <w:szCs w:val="20"/>
        </w:rPr>
      </w:pPr>
      <w:r w:rsidRPr="00D7247D">
        <w:rPr>
          <w:rFonts w:ascii="Times New Roman" w:hAnsi="Times New Roman" w:cs="Times New Roman"/>
          <w:sz w:val="20"/>
          <w:szCs w:val="20"/>
        </w:rPr>
        <w:t>Voting Process:</w:t>
      </w:r>
      <w:r w:rsidR="00D7247D">
        <w:rPr>
          <w:rFonts w:ascii="Times New Roman" w:hAnsi="Times New Roman" w:cs="Times New Roman"/>
          <w:sz w:val="20"/>
          <w:szCs w:val="20"/>
        </w:rPr>
        <w:t xml:space="preserve"> </w:t>
      </w:r>
      <w:hyperlink r:id="rId12" w:history="1">
        <w:r w:rsidR="00D7247D" w:rsidRPr="00D7247D">
          <w:rPr>
            <w:rStyle w:val="Hyperlink"/>
            <w:rFonts w:ascii="Times New Roman" w:hAnsi="Times New Roman"/>
            <w:sz w:val="20"/>
            <w:szCs w:val="20"/>
          </w:rPr>
          <w:t>http://www.naesb.org/pdf4/geh042214w3.docx</w:t>
        </w:r>
      </w:hyperlink>
    </w:p>
    <w:p w:rsidR="00767D0B" w:rsidRPr="00D7247D" w:rsidRDefault="00767D0B" w:rsidP="00D7247D">
      <w:pPr>
        <w:pStyle w:val="ListParagraph"/>
        <w:numPr>
          <w:ilvl w:val="0"/>
          <w:numId w:val="46"/>
        </w:numPr>
        <w:spacing w:before="120"/>
        <w:ind w:left="720" w:hanging="720"/>
        <w:rPr>
          <w:rFonts w:ascii="Times New Roman" w:hAnsi="Times New Roman" w:cs="Times New Roman"/>
          <w:sz w:val="20"/>
          <w:szCs w:val="20"/>
        </w:rPr>
      </w:pPr>
      <w:r w:rsidRPr="00D7247D">
        <w:rPr>
          <w:rFonts w:ascii="Times New Roman" w:hAnsi="Times New Roman" w:cs="Times New Roman"/>
          <w:sz w:val="20"/>
          <w:szCs w:val="20"/>
        </w:rPr>
        <w:t>Segment Descriptions:</w:t>
      </w:r>
      <w:r w:rsidR="00D7247D">
        <w:rPr>
          <w:rFonts w:ascii="Times New Roman" w:hAnsi="Times New Roman" w:cs="Times New Roman"/>
          <w:sz w:val="20"/>
          <w:szCs w:val="20"/>
        </w:rPr>
        <w:t xml:space="preserve"> </w:t>
      </w:r>
      <w:hyperlink r:id="rId13" w:history="1">
        <w:r w:rsidR="00D7247D" w:rsidRPr="00D7247D">
          <w:rPr>
            <w:rStyle w:val="Hyperlink"/>
            <w:rFonts w:ascii="Times New Roman" w:hAnsi="Times New Roman"/>
            <w:sz w:val="20"/>
            <w:szCs w:val="20"/>
          </w:rPr>
          <w:t>http://www.naesb.org/pdf4/geh042214w2.doc</w:t>
        </w:r>
      </w:hyperlink>
      <w:bookmarkStart w:id="6" w:name="_GoBack"/>
      <w:bookmarkEnd w:id="6"/>
    </w:p>
    <w:p w:rsidR="00767D0B" w:rsidRPr="00D7247D" w:rsidRDefault="00767D0B" w:rsidP="00767D0B">
      <w:pPr>
        <w:pStyle w:val="ListParagraph"/>
        <w:numPr>
          <w:ilvl w:val="0"/>
          <w:numId w:val="46"/>
        </w:numPr>
        <w:spacing w:before="120"/>
        <w:ind w:left="720" w:hanging="720"/>
        <w:rPr>
          <w:rFonts w:ascii="Times New Roman" w:hAnsi="Times New Roman" w:cs="Times New Roman"/>
          <w:sz w:val="20"/>
          <w:szCs w:val="20"/>
        </w:rPr>
      </w:pPr>
      <w:r w:rsidRPr="00D7247D">
        <w:rPr>
          <w:rFonts w:ascii="Times New Roman" w:hAnsi="Times New Roman" w:cs="Times New Roman"/>
          <w:sz w:val="20"/>
          <w:szCs w:val="20"/>
        </w:rPr>
        <w:t xml:space="preserve">Timeline: </w:t>
      </w:r>
      <w:hyperlink r:id="rId14" w:history="1">
        <w:r w:rsidRPr="00D7247D">
          <w:rPr>
            <w:rStyle w:val="Hyperlink"/>
            <w:rFonts w:ascii="Times New Roman" w:hAnsi="Times New Roman"/>
            <w:sz w:val="20"/>
            <w:szCs w:val="20"/>
          </w:rPr>
          <w:t>http://www.naesb.org/pdf4/geh042214w1.pdf</w:t>
        </w:r>
      </w:hyperlink>
    </w:p>
    <w:p w:rsidR="000F7439" w:rsidRDefault="000F7439" w:rsidP="00767D0B">
      <w:pPr>
        <w:pStyle w:val="ListParagraph"/>
        <w:numPr>
          <w:ilvl w:val="0"/>
          <w:numId w:val="46"/>
        </w:numPr>
        <w:spacing w:before="120"/>
        <w:ind w:left="720" w:hanging="720"/>
        <w:rPr>
          <w:rFonts w:ascii="Times New Roman" w:hAnsi="Times New Roman" w:cs="Times New Roman"/>
          <w:sz w:val="20"/>
          <w:szCs w:val="20"/>
        </w:rPr>
      </w:pPr>
      <w:r w:rsidRPr="00D7247D">
        <w:rPr>
          <w:rFonts w:ascii="Times New Roman" w:hAnsi="Times New Roman" w:cs="Times New Roman"/>
          <w:sz w:val="20"/>
          <w:szCs w:val="20"/>
        </w:rPr>
        <w:t xml:space="preserve">FERC Notice of Proposed Rulemaking, </w:t>
      </w:r>
      <w:r w:rsidRPr="00D7247D">
        <w:rPr>
          <w:rFonts w:ascii="Times New Roman" w:hAnsi="Times New Roman" w:cs="Times New Roman"/>
          <w:i/>
          <w:iCs/>
          <w:sz w:val="20"/>
          <w:szCs w:val="20"/>
        </w:rPr>
        <w:t>Coordination of the Scheduling Process of Interstate Natural Gas Pipelines and Public Utilities</w:t>
      </w:r>
      <w:r w:rsidRPr="00D7247D">
        <w:rPr>
          <w:rFonts w:ascii="Times New Roman" w:hAnsi="Times New Roman" w:cs="Times New Roman"/>
          <w:sz w:val="20"/>
          <w:szCs w:val="20"/>
        </w:rPr>
        <w:t xml:space="preserve">, </w:t>
      </w:r>
      <w:r w:rsidRPr="00D7247D">
        <w:rPr>
          <w:rFonts w:ascii="Times New Roman" w:hAnsi="Times New Roman" w:cs="Times New Roman"/>
          <w:iCs/>
          <w:sz w:val="20"/>
          <w:szCs w:val="20"/>
        </w:rPr>
        <w:t>can be found through the following</w:t>
      </w:r>
      <w:r w:rsidRPr="000F7439">
        <w:rPr>
          <w:rFonts w:ascii="Times New Roman" w:hAnsi="Times New Roman" w:cs="Times New Roman"/>
          <w:iCs/>
          <w:sz w:val="20"/>
          <w:szCs w:val="20"/>
        </w:rPr>
        <w:t xml:space="preserve"> hyperlink:</w:t>
      </w:r>
      <w:r w:rsidRPr="000F7439">
        <w:rPr>
          <w:rFonts w:ascii="Times New Roman" w:hAnsi="Times New Roman" w:cs="Times New Roman"/>
          <w:i/>
          <w:iCs/>
          <w:sz w:val="20"/>
          <w:szCs w:val="20"/>
        </w:rPr>
        <w:t xml:space="preserve">  </w:t>
      </w:r>
      <w:r w:rsidRPr="000F7439">
        <w:rPr>
          <w:rFonts w:ascii="Times New Roman" w:hAnsi="Times New Roman" w:cs="Times New Roman"/>
          <w:sz w:val="20"/>
          <w:szCs w:val="20"/>
        </w:rPr>
        <w:t xml:space="preserve"> </w:t>
      </w:r>
      <w:hyperlink r:id="rId15" w:history="1">
        <w:r w:rsidRPr="000F7439">
          <w:rPr>
            <w:rStyle w:val="Hyperlink"/>
            <w:rFonts w:ascii="Times New Roman" w:hAnsi="Times New Roman"/>
            <w:sz w:val="20"/>
            <w:szCs w:val="20"/>
          </w:rPr>
          <w:t>http://www.ferc.gov/whats-new/comm-meet/2014/032014/M-1.pdf</w:t>
        </w:r>
      </w:hyperlink>
      <w:r w:rsidRPr="000F7439">
        <w:rPr>
          <w:rFonts w:ascii="Times New Roman" w:hAnsi="Times New Roman" w:cs="Times New Roman"/>
          <w:sz w:val="20"/>
          <w:szCs w:val="20"/>
        </w:rPr>
        <w:t>.</w:t>
      </w:r>
    </w:p>
    <w:p w:rsidR="00767D0B" w:rsidRPr="000F7439" w:rsidRDefault="00767D0B" w:rsidP="00767D0B">
      <w:pPr>
        <w:pStyle w:val="ListParagraph"/>
        <w:numPr>
          <w:ilvl w:val="0"/>
          <w:numId w:val="46"/>
        </w:numPr>
        <w:spacing w:before="120"/>
        <w:ind w:left="720" w:hanging="720"/>
        <w:rPr>
          <w:rFonts w:ascii="Times New Roman" w:hAnsi="Times New Roman" w:cs="Times New Roman"/>
          <w:sz w:val="20"/>
          <w:szCs w:val="20"/>
        </w:rPr>
      </w:pPr>
      <w:r w:rsidRPr="000F7439">
        <w:rPr>
          <w:rFonts w:ascii="Times New Roman" w:hAnsi="Times New Roman" w:cs="Times New Roman"/>
          <w:sz w:val="20"/>
          <w:szCs w:val="20"/>
        </w:rPr>
        <w:t xml:space="preserve">FERC </w:t>
      </w:r>
      <w:r w:rsidR="000F7439">
        <w:rPr>
          <w:rFonts w:ascii="Times New Roman" w:hAnsi="Times New Roman" w:cs="Times New Roman"/>
          <w:sz w:val="20"/>
          <w:szCs w:val="20"/>
        </w:rPr>
        <w:t xml:space="preserve">NOPR </w:t>
      </w:r>
      <w:r w:rsidRPr="000F7439">
        <w:rPr>
          <w:rFonts w:ascii="Times New Roman" w:hAnsi="Times New Roman" w:cs="Times New Roman"/>
          <w:sz w:val="20"/>
          <w:szCs w:val="20"/>
        </w:rPr>
        <w:t xml:space="preserve">Excerpts: </w:t>
      </w:r>
      <w:hyperlink r:id="rId16" w:history="1">
        <w:r w:rsidRPr="000F7439">
          <w:rPr>
            <w:rStyle w:val="Hyperlink"/>
            <w:rFonts w:ascii="Times New Roman" w:hAnsi="Times New Roman"/>
            <w:sz w:val="20"/>
            <w:szCs w:val="20"/>
          </w:rPr>
          <w:t>http://www.naesb.org/pdf4/excerpts_ferc_nopr_rm14_2_000.docx</w:t>
        </w:r>
      </w:hyperlink>
    </w:p>
    <w:p w:rsidR="00767D0B" w:rsidRPr="00767D0B" w:rsidRDefault="00767D0B" w:rsidP="000F7439">
      <w:pPr>
        <w:spacing w:before="600"/>
      </w:pPr>
      <w:r>
        <w:t xml:space="preserve">Information on all NAESB activities can be found at </w:t>
      </w:r>
      <w:hyperlink r:id="rId17" w:history="1">
        <w:r w:rsidR="0069471D">
          <w:rPr>
            <w:rStyle w:val="Hyperlink"/>
          </w:rPr>
          <w:t>http://www.naesb.org</w:t>
        </w:r>
      </w:hyperlink>
      <w:r>
        <w:t xml:space="preserve">, and for GEH Forum activities at </w:t>
      </w:r>
      <w:hyperlink r:id="rId18" w:history="1">
        <w:r w:rsidRPr="00767D0B">
          <w:rPr>
            <w:rStyle w:val="Hyperlink"/>
          </w:rPr>
          <w:t>http://www.naesb.org/naesb_geh_forum.asp</w:t>
        </w:r>
      </w:hyperlink>
      <w:r>
        <w:t>.</w:t>
      </w:r>
    </w:p>
    <w:sectPr w:rsidR="00767D0B" w:rsidRPr="00767D0B" w:rsidSect="001275E9">
      <w:headerReference w:type="even" r:id="rId19"/>
      <w:headerReference w:type="default" r:id="rId20"/>
      <w:headerReference w:type="first" r:id="rId21"/>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0F" w:rsidRDefault="005D610F">
      <w:r>
        <w:separator/>
      </w:r>
    </w:p>
  </w:endnote>
  <w:endnote w:type="continuationSeparator" w:id="0">
    <w:p w:rsidR="005D610F" w:rsidRDefault="005D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0F" w:rsidRDefault="005D610F">
      <w:r>
        <w:separator/>
      </w:r>
    </w:p>
  </w:footnote>
  <w:footnote w:type="continuationSeparator" w:id="0">
    <w:p w:rsidR="005D610F" w:rsidRDefault="005D610F">
      <w:r>
        <w:continuationSeparator/>
      </w:r>
    </w:p>
  </w:footnote>
  <w:footnote w:id="1">
    <w:p w:rsidR="000F7439" w:rsidRDefault="000F7439" w:rsidP="005B3D49">
      <w:pPr>
        <w:pStyle w:val="FootnoteText"/>
      </w:pPr>
      <w:r>
        <w:rPr>
          <w:rStyle w:val="FootnoteReference"/>
        </w:rPr>
        <w:footnoteRef/>
      </w:r>
      <w:r>
        <w:t xml:space="preserve"> Natural Gas Council,  INGAA, National Grid, Southern Company Services, ISO/RTO Council or individual ISOs and RTOs, Washington Gas Light, Northern Natural Gas, Conservation Law Foundation, Skipping Stone, Direct Energy, Southwest Customer Group, Desert Southwest Pipeline Stakeholders, and PG&amp;E</w:t>
      </w:r>
    </w:p>
  </w:footnote>
  <w:footnote w:id="2">
    <w:p w:rsidR="000F7439" w:rsidRDefault="000F7439" w:rsidP="000F7439">
      <w:pPr>
        <w:pStyle w:val="FootnoteText"/>
      </w:pPr>
      <w:r>
        <w:rPr>
          <w:rStyle w:val="FootnoteReference"/>
        </w:rPr>
        <w:footnoteRef/>
      </w:r>
      <w:r>
        <w:t xml:space="preserve"> Hilton Americas is located in downtown Houston, Hilton Americas-Houston, 1600 Lamar,  Houston,  Texas,  77010,  Phone -- 713-739-8000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9" w:rsidRDefault="000F7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9" w:rsidRDefault="000F7439">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7BABD332" wp14:editId="09D21975">
          <wp:simplePos x="0" y="0"/>
          <wp:positionH relativeFrom="column">
            <wp:posOffset>-26035</wp:posOffset>
          </wp:positionH>
          <wp:positionV relativeFrom="paragraph">
            <wp:posOffset>-9525</wp:posOffset>
          </wp:positionV>
          <wp:extent cx="981075" cy="923925"/>
          <wp:effectExtent l="0" t="0" r="9525" b="952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C274D62" wp14:editId="6AD08510">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439" w:rsidRDefault="000F74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350806" w:rsidRDefault="00350806"/>
                </w:txbxContent>
              </v:textbox>
            </v:rect>
          </w:pict>
        </mc:Fallback>
      </mc:AlternateContent>
    </w:r>
  </w:p>
  <w:p w:rsidR="000F7439" w:rsidRDefault="000F7439">
    <w:pPr>
      <w:pStyle w:val="Header"/>
      <w:tabs>
        <w:tab w:val="left" w:pos="1080"/>
      </w:tabs>
      <w:ind w:left="1800"/>
      <w:jc w:val="right"/>
      <w:rPr>
        <w:b/>
        <w:spacing w:val="20"/>
        <w:sz w:val="32"/>
      </w:rPr>
    </w:pPr>
    <w:r>
      <w:rPr>
        <w:b/>
        <w:spacing w:val="20"/>
        <w:sz w:val="32"/>
      </w:rPr>
      <w:t>North American Energy Standards Board</w:t>
    </w:r>
  </w:p>
  <w:p w:rsidR="000F7439" w:rsidRDefault="000F7439">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0F7439" w:rsidRDefault="000F7439">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0F7439" w:rsidRDefault="000F7439">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F7439" w:rsidRDefault="000F7439">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9" w:rsidRDefault="000F7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54360D"/>
    <w:multiLevelType w:val="hybridMultilevel"/>
    <w:tmpl w:val="CAEC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D0916"/>
    <w:multiLevelType w:val="hybridMultilevel"/>
    <w:tmpl w:val="9446B2A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9">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CFA12C7"/>
    <w:multiLevelType w:val="hybridMultilevel"/>
    <w:tmpl w:val="7736D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10685D"/>
    <w:multiLevelType w:val="hybridMultilevel"/>
    <w:tmpl w:val="23B684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106A4A"/>
    <w:multiLevelType w:val="hybridMultilevel"/>
    <w:tmpl w:val="F14C9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4">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5">
    <w:nsid w:val="7E891E37"/>
    <w:multiLevelType w:val="hybridMultilevel"/>
    <w:tmpl w:val="9F700D2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18"/>
  </w:num>
  <w:num w:numId="2">
    <w:abstractNumId w:val="21"/>
  </w:num>
  <w:num w:numId="3">
    <w:abstractNumId w:val="2"/>
  </w:num>
  <w:num w:numId="4">
    <w:abstractNumId w:val="36"/>
  </w:num>
  <w:num w:numId="5">
    <w:abstractNumId w:val="3"/>
  </w:num>
  <w:num w:numId="6">
    <w:abstractNumId w:val="15"/>
  </w:num>
  <w:num w:numId="7">
    <w:abstractNumId w:val="5"/>
  </w:num>
  <w:num w:numId="8">
    <w:abstractNumId w:val="28"/>
  </w:num>
  <w:num w:numId="9">
    <w:abstractNumId w:val="33"/>
  </w:num>
  <w:num w:numId="10">
    <w:abstractNumId w:val="44"/>
  </w:num>
  <w:num w:numId="11">
    <w:abstractNumId w:val="4"/>
  </w:num>
  <w:num w:numId="12">
    <w:abstractNumId w:val="14"/>
  </w:num>
  <w:num w:numId="13">
    <w:abstractNumId w:val="43"/>
  </w:num>
  <w:num w:numId="14">
    <w:abstractNumId w:val="12"/>
  </w:num>
  <w:num w:numId="15">
    <w:abstractNumId w:val="8"/>
  </w:num>
  <w:num w:numId="16">
    <w:abstractNumId w:val="27"/>
  </w:num>
  <w:num w:numId="17">
    <w:abstractNumId w:val="17"/>
  </w:num>
  <w:num w:numId="18">
    <w:abstractNumId w:val="1"/>
  </w:num>
  <w:num w:numId="19">
    <w:abstractNumId w:val="34"/>
  </w:num>
  <w:num w:numId="20">
    <w:abstractNumId w:val="25"/>
  </w:num>
  <w:num w:numId="21">
    <w:abstractNumId w:val="30"/>
  </w:num>
  <w:num w:numId="22">
    <w:abstractNumId w:val="26"/>
  </w:num>
  <w:num w:numId="23">
    <w:abstractNumId w:val="38"/>
  </w:num>
  <w:num w:numId="24">
    <w:abstractNumId w:val="13"/>
  </w:num>
  <w:num w:numId="25">
    <w:abstractNumId w:val="32"/>
  </w:num>
  <w:num w:numId="26">
    <w:abstractNumId w:val="9"/>
  </w:num>
  <w:num w:numId="27">
    <w:abstractNumId w:val="16"/>
  </w:num>
  <w:num w:numId="28">
    <w:abstractNumId w:val="35"/>
  </w:num>
  <w:num w:numId="29">
    <w:abstractNumId w:val="29"/>
  </w:num>
  <w:num w:numId="30">
    <w:abstractNumId w:val="23"/>
  </w:num>
  <w:num w:numId="31">
    <w:abstractNumId w:val="19"/>
  </w:num>
  <w:num w:numId="32">
    <w:abstractNumId w:val="41"/>
  </w:num>
  <w:num w:numId="33">
    <w:abstractNumId w:val="7"/>
  </w:num>
  <w:num w:numId="34">
    <w:abstractNumId w:val="31"/>
  </w:num>
  <w:num w:numId="35">
    <w:abstractNumId w:val="40"/>
  </w:num>
  <w:num w:numId="36">
    <w:abstractNumId w:val="22"/>
  </w:num>
  <w:num w:numId="37">
    <w:abstractNumId w:val="11"/>
  </w:num>
  <w:num w:numId="38">
    <w:abstractNumId w:val="20"/>
  </w:num>
  <w:num w:numId="39">
    <w:abstractNumId w:val="37"/>
  </w:num>
  <w:num w:numId="40">
    <w:abstractNumId w:val="24"/>
  </w:num>
  <w:num w:numId="41">
    <w:abstractNumId w:val="39"/>
  </w:num>
  <w:num w:numId="42">
    <w:abstractNumId w:val="42"/>
  </w:num>
  <w:num w:numId="43">
    <w:abstractNumId w:val="45"/>
  </w:num>
  <w:num w:numId="44">
    <w:abstractNumId w:val="6"/>
  </w:num>
  <w:num w:numId="45">
    <w:abstractNumId w:val="1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13B96"/>
    <w:rsid w:val="000167CF"/>
    <w:rsid w:val="000443C9"/>
    <w:rsid w:val="0006209A"/>
    <w:rsid w:val="000630F5"/>
    <w:rsid w:val="000A0EB9"/>
    <w:rsid w:val="000B0E4A"/>
    <w:rsid w:val="000F7439"/>
    <w:rsid w:val="001275E9"/>
    <w:rsid w:val="00186996"/>
    <w:rsid w:val="001E4B53"/>
    <w:rsid w:val="002044D5"/>
    <w:rsid w:val="002101D6"/>
    <w:rsid w:val="002168BF"/>
    <w:rsid w:val="002718B7"/>
    <w:rsid w:val="0027644C"/>
    <w:rsid w:val="002B074F"/>
    <w:rsid w:val="002E6AB8"/>
    <w:rsid w:val="002F5A9E"/>
    <w:rsid w:val="00336BA2"/>
    <w:rsid w:val="00344C3F"/>
    <w:rsid w:val="00350806"/>
    <w:rsid w:val="003667B4"/>
    <w:rsid w:val="003674EE"/>
    <w:rsid w:val="003802C1"/>
    <w:rsid w:val="00497E30"/>
    <w:rsid w:val="004C7CEC"/>
    <w:rsid w:val="00564EBB"/>
    <w:rsid w:val="0059325D"/>
    <w:rsid w:val="005B3D49"/>
    <w:rsid w:val="005D610F"/>
    <w:rsid w:val="00650E25"/>
    <w:rsid w:val="0069471D"/>
    <w:rsid w:val="006A4249"/>
    <w:rsid w:val="006C685D"/>
    <w:rsid w:val="0070442A"/>
    <w:rsid w:val="00767D0B"/>
    <w:rsid w:val="007926B0"/>
    <w:rsid w:val="007C0A21"/>
    <w:rsid w:val="007E6487"/>
    <w:rsid w:val="00833B57"/>
    <w:rsid w:val="00906608"/>
    <w:rsid w:val="009076C0"/>
    <w:rsid w:val="009545D2"/>
    <w:rsid w:val="0096006B"/>
    <w:rsid w:val="009629A6"/>
    <w:rsid w:val="00962F5C"/>
    <w:rsid w:val="00967ABE"/>
    <w:rsid w:val="00972479"/>
    <w:rsid w:val="009E4BB5"/>
    <w:rsid w:val="00A12832"/>
    <w:rsid w:val="00A30BA2"/>
    <w:rsid w:val="00A360C0"/>
    <w:rsid w:val="00AA59AF"/>
    <w:rsid w:val="00AE6B33"/>
    <w:rsid w:val="00AF291A"/>
    <w:rsid w:val="00AF358A"/>
    <w:rsid w:val="00B8290E"/>
    <w:rsid w:val="00B902C8"/>
    <w:rsid w:val="00B91C8A"/>
    <w:rsid w:val="00BA209E"/>
    <w:rsid w:val="00BD7EF8"/>
    <w:rsid w:val="00C22D37"/>
    <w:rsid w:val="00C23DBA"/>
    <w:rsid w:val="00C266A5"/>
    <w:rsid w:val="00C26DF7"/>
    <w:rsid w:val="00C430F6"/>
    <w:rsid w:val="00C44A09"/>
    <w:rsid w:val="00C52243"/>
    <w:rsid w:val="00C80691"/>
    <w:rsid w:val="00CB2F9F"/>
    <w:rsid w:val="00CB501E"/>
    <w:rsid w:val="00CD6046"/>
    <w:rsid w:val="00CE7B2E"/>
    <w:rsid w:val="00CF4592"/>
    <w:rsid w:val="00CF7B01"/>
    <w:rsid w:val="00D41EE0"/>
    <w:rsid w:val="00D7247D"/>
    <w:rsid w:val="00D82ECE"/>
    <w:rsid w:val="00DA21D8"/>
    <w:rsid w:val="00DC2709"/>
    <w:rsid w:val="00DC67DB"/>
    <w:rsid w:val="00E260BE"/>
    <w:rsid w:val="00E47379"/>
    <w:rsid w:val="00E6258C"/>
    <w:rsid w:val="00E62B41"/>
    <w:rsid w:val="00E8037D"/>
    <w:rsid w:val="00E846CF"/>
    <w:rsid w:val="00EA4772"/>
    <w:rsid w:val="00EF7437"/>
    <w:rsid w:val="00F03648"/>
    <w:rsid w:val="00F06BE0"/>
    <w:rsid w:val="00F23A44"/>
    <w:rsid w:val="00F2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geh042214w2.doc" TargetMode="External"/><Relationship Id="rId18" Type="http://schemas.openxmlformats.org/officeDocument/2006/relationships/hyperlink" Target="http://www.naesb.org/naesb_geh_forum.asp"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naesb.org/pdf4/geh042214w3.docx" TargetMode="External"/><Relationship Id="rId17" Type="http://schemas.openxmlformats.org/officeDocument/2006/relationships/hyperlink" Target="http://www.naesb.org" TargetMode="External"/><Relationship Id="rId2" Type="http://schemas.openxmlformats.org/officeDocument/2006/relationships/numbering" Target="numbering.xml"/><Relationship Id="rId16" Type="http://schemas.openxmlformats.org/officeDocument/2006/relationships/hyperlink" Target="http://www.naesb.org/pdf4/excerpts_ferc_nopr_rm14_2_000.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antitrust_guidance.doc" TargetMode="External"/><Relationship Id="rId5" Type="http://schemas.openxmlformats.org/officeDocument/2006/relationships/settings" Target="settings.xml"/><Relationship Id="rId15" Type="http://schemas.openxmlformats.org/officeDocument/2006/relationships/hyperlink" Target="http://www.ferc.gov/whats-new/comm-meet/2014/032014/M-1.pdf" TargetMode="External"/><Relationship Id="rId23" Type="http://schemas.openxmlformats.org/officeDocument/2006/relationships/theme" Target="theme/theme1.xml"/><Relationship Id="rId10" Type="http://schemas.openxmlformats.org/officeDocument/2006/relationships/hyperlink" Target="http://www.naesb.org/pdf4/naesb_geh_forum_distlist_2014.doc"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ager@naesb.org" TargetMode="External"/><Relationship Id="rId14" Type="http://schemas.openxmlformats.org/officeDocument/2006/relationships/hyperlink" Target="http://www.naesb.org/pdf4/geh042214w1.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B303-CA1D-41E6-9D24-28365775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8</cp:revision>
  <cp:lastPrinted>2014-03-28T15:05:00Z</cp:lastPrinted>
  <dcterms:created xsi:type="dcterms:W3CDTF">2014-04-14T14:09:00Z</dcterms:created>
  <dcterms:modified xsi:type="dcterms:W3CDTF">2014-04-14T15:28:00Z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