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rsidR="009E4BB5" w:rsidRDefault="00EC0B84">
      <w:pPr>
        <w:ind w:left="1440" w:hanging="1440"/>
        <w:jc w:val="right"/>
        <w:rPr>
          <w:bCs/>
        </w:rPr>
      </w:pPr>
      <w:r>
        <w:rPr>
          <w:bCs/>
        </w:rPr>
        <w:t>March 15</w:t>
      </w:r>
      <w:r w:rsidR="00DC2709" w:rsidRPr="008933FA">
        <w:rPr>
          <w:bCs/>
        </w:rPr>
        <w:t>, 201</w:t>
      </w:r>
      <w:r w:rsidR="00A568B8" w:rsidRPr="008933FA">
        <w:rPr>
          <w:bCs/>
        </w:rPr>
        <w:t>6</w:t>
      </w:r>
    </w:p>
    <w:p w:rsidR="009E4BB5" w:rsidRDefault="009E4BB5" w:rsidP="00A568B8">
      <w:pPr>
        <w:spacing w:before="120"/>
        <w:ind w:left="900" w:hanging="900"/>
        <w:rPr>
          <w:bCs/>
        </w:rPr>
      </w:pPr>
      <w:r>
        <w:rPr>
          <w:b/>
        </w:rPr>
        <w:t xml:space="preserve">TO: </w:t>
      </w:r>
      <w:r>
        <w:rPr>
          <w:b/>
        </w:rPr>
        <w:tab/>
      </w:r>
      <w:r w:rsidRPr="00AF291A">
        <w:rPr>
          <w:bCs/>
        </w:rPr>
        <w:t xml:space="preserve">NAESB </w:t>
      </w:r>
      <w:r w:rsidR="009B09E5">
        <w:rPr>
          <w:bCs/>
        </w:rPr>
        <w:t xml:space="preserve">Board of Directors,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North American Energy Standards Board</w:t>
      </w:r>
      <w:r w:rsidR="00D6360E">
        <w:rPr>
          <w:bCs/>
        </w:rPr>
        <w:t xml:space="preserve"> Office</w:t>
      </w:r>
    </w:p>
    <w:p w:rsidR="00A568B8" w:rsidRPr="003A04CC" w:rsidRDefault="00A568B8" w:rsidP="00A568B8">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253EF7">
        <w:rPr>
          <w:bCs/>
        </w:rPr>
        <w:t xml:space="preserve">Work </w:t>
      </w:r>
      <w:r w:rsidR="00DC0246">
        <w:rPr>
          <w:bCs/>
        </w:rPr>
        <w:t>Paper for the GEH Forum Meeting</w:t>
      </w:r>
      <w:r w:rsidR="009B09E5">
        <w:rPr>
          <w:bCs/>
        </w:rPr>
        <w:t xml:space="preserve"> – </w:t>
      </w:r>
      <w:r w:rsidR="00DD62F5">
        <w:rPr>
          <w:bCs/>
        </w:rPr>
        <w:t xml:space="preserve">March </w:t>
      </w:r>
      <w:r w:rsidR="00EC0B84">
        <w:rPr>
          <w:bCs/>
        </w:rPr>
        <w:t>21-22</w:t>
      </w:r>
      <w:r w:rsidR="009B09E5">
        <w:rPr>
          <w:bCs/>
        </w:rPr>
        <w:t>, 2016</w:t>
      </w:r>
      <w:r w:rsidR="00512C79">
        <w:rPr>
          <w:bCs/>
        </w:rPr>
        <w:t xml:space="preserve"> </w:t>
      </w:r>
      <w:r w:rsidR="00512C79" w:rsidRPr="00512C79">
        <w:rPr>
          <w:bCs/>
          <w:shd w:val="clear" w:color="auto" w:fill="FFFF00"/>
        </w:rPr>
        <w:t xml:space="preserve">DRAFT Day 1 (March </w:t>
      </w:r>
      <w:r w:rsidR="00D12174">
        <w:rPr>
          <w:bCs/>
          <w:shd w:val="clear" w:color="auto" w:fill="FFFF00"/>
        </w:rPr>
        <w:t>2</w:t>
      </w:r>
      <w:r w:rsidR="00512C79" w:rsidRPr="00512C79">
        <w:rPr>
          <w:bCs/>
          <w:shd w:val="clear" w:color="auto" w:fill="FFFF00"/>
        </w:rPr>
        <w:t>1)</w:t>
      </w:r>
    </w:p>
    <w:p w:rsidR="009E4BB5" w:rsidRDefault="009B09E5" w:rsidP="00B92AB7">
      <w:pPr>
        <w:tabs>
          <w:tab w:val="left" w:pos="0"/>
        </w:tabs>
        <w:spacing w:before="360"/>
        <w:jc w:val="both"/>
        <w:rPr>
          <w:bCs/>
        </w:rPr>
      </w:pPr>
      <w:r w:rsidRPr="009B09E5">
        <w:rPr>
          <w:bCs/>
        </w:rPr>
        <w:t xml:space="preserve">Dear Board Members, </w:t>
      </w:r>
      <w:r w:rsidR="002C1AD4">
        <w:rPr>
          <w:bCs/>
        </w:rPr>
        <w:t xml:space="preserve">GEH </w:t>
      </w:r>
      <w:r w:rsidRPr="009B09E5">
        <w:rPr>
          <w:bCs/>
        </w:rPr>
        <w:t>Forum Participants and Interested Parties,</w:t>
      </w:r>
      <w:bookmarkStart w:id="6" w:name="_GoBack"/>
      <w:bookmarkEnd w:id="6"/>
    </w:p>
    <w:p w:rsidR="003E2F1B" w:rsidRDefault="00253EF7" w:rsidP="00253EF7">
      <w:pPr>
        <w:tabs>
          <w:tab w:val="left" w:pos="0"/>
        </w:tabs>
        <w:spacing w:before="120"/>
        <w:jc w:val="both"/>
        <w:rPr>
          <w:bCs/>
        </w:rPr>
      </w:pPr>
      <w:r>
        <w:rPr>
          <w:bCs/>
        </w:rPr>
        <w:t>The matrix (</w:t>
      </w:r>
      <w:hyperlink r:id="rId9" w:history="1">
        <w:r w:rsidR="00AC4E84" w:rsidRPr="00D232CD">
          <w:rPr>
            <w:rStyle w:val="Hyperlink"/>
            <w:bCs/>
          </w:rPr>
          <w:t>https://www.naesb.org/pdf4/geh032116w1.xlsx</w:t>
        </w:r>
      </w:hyperlink>
      <w:r w:rsidR="00AC4E84">
        <w:rPr>
          <w:bCs/>
        </w:rPr>
        <w:t xml:space="preserve">) </w:t>
      </w:r>
      <w:r>
        <w:rPr>
          <w:bCs/>
        </w:rPr>
        <w:t xml:space="preserve">that is provided for this meeting was created using Excel.  The data in the Excel worksheet is provided here in Word format for those of you that may be less comfortable navigating Excel.  Due to the size of the </w:t>
      </w:r>
      <w:r w:rsidR="003E2F1B">
        <w:rPr>
          <w:bCs/>
        </w:rPr>
        <w:t>work</w:t>
      </w:r>
      <w:r>
        <w:rPr>
          <w:bCs/>
        </w:rPr>
        <w:t xml:space="preserve">sheet, it is presented here in multiple tables, but all data in the tables are directly taken from the </w:t>
      </w:r>
      <w:r w:rsidR="003E2F1B">
        <w:rPr>
          <w:bCs/>
        </w:rPr>
        <w:t>work</w:t>
      </w:r>
      <w:r>
        <w:rPr>
          <w:bCs/>
        </w:rPr>
        <w:t>sheet.</w:t>
      </w:r>
      <w:r w:rsidR="003E2F1B">
        <w:rPr>
          <w:bCs/>
        </w:rPr>
        <w:t xml:space="preserve">  The tables provided here are:</w:t>
      </w:r>
    </w:p>
    <w:p w:rsidR="003E2F1B" w:rsidRDefault="003E2F1B" w:rsidP="00253EF7">
      <w:pPr>
        <w:tabs>
          <w:tab w:val="left" w:pos="0"/>
        </w:tabs>
        <w:spacing w:before="120"/>
        <w:jc w:val="both"/>
        <w:rPr>
          <w:bCs/>
        </w:rPr>
      </w:pPr>
      <w:r>
        <w:rPr>
          <w:bCs/>
        </w:rPr>
        <w:t>Page 1</w:t>
      </w:r>
      <w:r>
        <w:rPr>
          <w:bCs/>
        </w:rPr>
        <w:tab/>
      </w:r>
      <w:r>
        <w:rPr>
          <w:bCs/>
        </w:rPr>
        <w:tab/>
        <w:t>Table 1:  Description of Categories</w:t>
      </w:r>
    </w:p>
    <w:p w:rsidR="003E2F1B" w:rsidRDefault="003E2F1B" w:rsidP="00253EF7">
      <w:pPr>
        <w:tabs>
          <w:tab w:val="left" w:pos="0"/>
        </w:tabs>
        <w:spacing w:before="120"/>
        <w:jc w:val="both"/>
        <w:rPr>
          <w:bCs/>
        </w:rPr>
      </w:pPr>
      <w:r>
        <w:rPr>
          <w:bCs/>
        </w:rPr>
        <w:t>Page 3</w:t>
      </w:r>
      <w:r>
        <w:rPr>
          <w:bCs/>
        </w:rPr>
        <w:tab/>
      </w:r>
      <w:r>
        <w:rPr>
          <w:bCs/>
        </w:rPr>
        <w:tab/>
        <w:t>Table 2:  “Hashtag” Column Descriptions</w:t>
      </w:r>
    </w:p>
    <w:p w:rsidR="003E2F1B" w:rsidRDefault="003E2F1B" w:rsidP="00253EF7">
      <w:pPr>
        <w:tabs>
          <w:tab w:val="left" w:pos="0"/>
        </w:tabs>
        <w:spacing w:before="120"/>
        <w:jc w:val="both"/>
        <w:rPr>
          <w:bCs/>
        </w:rPr>
      </w:pPr>
      <w:r>
        <w:rPr>
          <w:bCs/>
        </w:rPr>
        <w:t>Page 5</w:t>
      </w:r>
      <w:r>
        <w:rPr>
          <w:bCs/>
        </w:rPr>
        <w:tab/>
      </w:r>
      <w:r>
        <w:rPr>
          <w:bCs/>
        </w:rPr>
        <w:tab/>
        <w:t>Table 3:  Issues by Category</w:t>
      </w:r>
    </w:p>
    <w:p w:rsidR="003E2F1B" w:rsidRDefault="003E2F1B" w:rsidP="00253EF7">
      <w:pPr>
        <w:tabs>
          <w:tab w:val="left" w:pos="0"/>
        </w:tabs>
        <w:spacing w:before="120"/>
        <w:jc w:val="both"/>
        <w:rPr>
          <w:bCs/>
        </w:rPr>
      </w:pPr>
      <w:r>
        <w:rPr>
          <w:bCs/>
        </w:rPr>
        <w:t xml:space="preserve">Page </w:t>
      </w:r>
      <w:r w:rsidR="00CE072D">
        <w:rPr>
          <w:bCs/>
        </w:rPr>
        <w:t>15</w:t>
      </w:r>
      <w:r>
        <w:rPr>
          <w:bCs/>
        </w:rPr>
        <w:t>:</w:t>
      </w:r>
      <w:r>
        <w:rPr>
          <w:bCs/>
        </w:rPr>
        <w:tab/>
      </w:r>
      <w:r>
        <w:rPr>
          <w:bCs/>
        </w:rPr>
        <w:tab/>
        <w:t>Table 4:</w:t>
      </w:r>
      <w:r w:rsidR="00CE072D">
        <w:rPr>
          <w:bCs/>
        </w:rPr>
        <w:t xml:space="preserve">  Hashtag Responses</w:t>
      </w:r>
    </w:p>
    <w:p w:rsidR="00253EF7" w:rsidRDefault="003E2F1B" w:rsidP="00253EF7">
      <w:pPr>
        <w:tabs>
          <w:tab w:val="left" w:pos="0"/>
        </w:tabs>
        <w:spacing w:before="120"/>
        <w:jc w:val="both"/>
        <w:rPr>
          <w:bCs/>
        </w:rPr>
      </w:pPr>
      <w:r>
        <w:rPr>
          <w:bCs/>
        </w:rPr>
        <w:t xml:space="preserve">Page </w:t>
      </w:r>
      <w:r w:rsidR="00CE072D">
        <w:rPr>
          <w:bCs/>
        </w:rPr>
        <w:t>29</w:t>
      </w:r>
      <w:r>
        <w:rPr>
          <w:bCs/>
        </w:rPr>
        <w:t>:</w:t>
      </w:r>
      <w:r w:rsidR="00253EF7">
        <w:rPr>
          <w:bCs/>
        </w:rPr>
        <w:t xml:space="preserve"> </w:t>
      </w:r>
      <w:r>
        <w:rPr>
          <w:bCs/>
        </w:rPr>
        <w:tab/>
        <w:t>Table 5</w:t>
      </w:r>
      <w:r w:rsidR="00CE072D">
        <w:rPr>
          <w:bCs/>
        </w:rPr>
        <w:t>:  Comments Provided with Hashtag Responses</w:t>
      </w:r>
    </w:p>
    <w:bookmarkEnd w:id="0"/>
    <w:bookmarkEnd w:id="1"/>
    <w:bookmarkEnd w:id="2"/>
    <w:bookmarkEnd w:id="3"/>
    <w:bookmarkEnd w:id="4"/>
    <w:bookmarkEnd w:id="5"/>
    <w:p w:rsidR="00DB4CC2" w:rsidRDefault="00DB4CC2" w:rsidP="00253EF7">
      <w:pPr>
        <w:spacing w:before="720"/>
        <w:jc w:val="center"/>
      </w:pPr>
      <w:r>
        <w:t>DESCRIPTION OF WORKSHEET FOR DISCUSSION MARCH 21-22</w:t>
      </w:r>
    </w:p>
    <w:p w:rsidR="007C50CA" w:rsidRDefault="00253EF7" w:rsidP="00DB4CC2">
      <w:pPr>
        <w:spacing w:before="120"/>
      </w:pPr>
      <w:r>
        <w:t>The Excel worksheet</w:t>
      </w:r>
      <w:r w:rsidR="00DB4CC2">
        <w:t xml:space="preserve"> itemizes the issues in the order in which they were discussed on March 7-8, and places them in one or more of the twelve categories below. The worksheet is sorted by category and then by issue within each category.  The discussion which was captured during the meeting is included by question</w:t>
      </w:r>
      <w:r w:rsidR="000A48FF">
        <w:t xml:space="preserve"> (“</w:t>
      </w:r>
      <w:r w:rsidR="007719B2">
        <w:t>#”)</w:t>
      </w:r>
      <w:r w:rsidR="00DB4CC2">
        <w:t xml:space="preserve"> along with the wording provided at the time.  Following the description of categories is a description of the questions.  The questions and responses are columns in the worksheet. </w:t>
      </w:r>
      <w:r w:rsidR="00C1167B">
        <w:t xml:space="preserve">  During out meeting the focus of discussion will be on the worksheet and any additional information that should be included.  </w:t>
      </w:r>
    </w:p>
    <w:p w:rsidR="00DB4CC2" w:rsidRPr="007719B2" w:rsidRDefault="007719B2" w:rsidP="007719B2">
      <w:pPr>
        <w:spacing w:before="600"/>
        <w:jc w:val="center"/>
        <w:rPr>
          <w:caps/>
        </w:rPr>
      </w:pPr>
      <w:r w:rsidRPr="007719B2">
        <w:rPr>
          <w:caps/>
        </w:rPr>
        <w:t>Table 1</w:t>
      </w:r>
    </w:p>
    <w:p w:rsidR="007719B2" w:rsidRDefault="007719B2" w:rsidP="007719B2">
      <w:pPr>
        <w:spacing w:before="120"/>
      </w:pPr>
      <w:r>
        <w:t xml:space="preserve">Table 1 is a listing of the categories and each issue is placed in one or more of the categories so that similar issues can be grouped for ease of consideration.   </w:t>
      </w:r>
    </w:p>
    <w:tbl>
      <w:tblPr>
        <w:tblStyle w:val="TableGrid"/>
        <w:tblW w:w="0" w:type="auto"/>
        <w:tblLook w:val="04A0" w:firstRow="1" w:lastRow="0" w:firstColumn="1" w:lastColumn="0" w:noHBand="0" w:noVBand="1"/>
      </w:tblPr>
      <w:tblGrid>
        <w:gridCol w:w="1188"/>
        <w:gridCol w:w="3150"/>
        <w:gridCol w:w="5238"/>
      </w:tblGrid>
      <w:tr w:rsidR="00DB4CC2" w:rsidTr="00253EF7">
        <w:trPr>
          <w:tblHeader/>
        </w:trPr>
        <w:tc>
          <w:tcPr>
            <w:tcW w:w="9576" w:type="dxa"/>
            <w:gridSpan w:val="3"/>
          </w:tcPr>
          <w:p w:rsidR="00DB4CC2" w:rsidRDefault="00253EF7" w:rsidP="003E2F1B">
            <w:pPr>
              <w:spacing w:before="120" w:after="120"/>
              <w:jc w:val="center"/>
            </w:pPr>
            <w:r>
              <w:t xml:space="preserve">Table 1 -- </w:t>
            </w:r>
            <w:r w:rsidR="00DB4CC2">
              <w:t>Description of Categories</w:t>
            </w:r>
          </w:p>
        </w:tc>
      </w:tr>
      <w:tr w:rsidR="00DB4CC2" w:rsidTr="00253EF7">
        <w:trPr>
          <w:tblHeader/>
        </w:trPr>
        <w:tc>
          <w:tcPr>
            <w:tcW w:w="1188" w:type="dxa"/>
          </w:tcPr>
          <w:p w:rsidR="00DB4CC2" w:rsidRDefault="00DB4CC2" w:rsidP="003E2F1B">
            <w:pPr>
              <w:spacing w:before="120" w:after="120"/>
              <w:jc w:val="center"/>
            </w:pPr>
            <w:r>
              <w:t>#</w:t>
            </w:r>
          </w:p>
        </w:tc>
        <w:tc>
          <w:tcPr>
            <w:tcW w:w="3150" w:type="dxa"/>
          </w:tcPr>
          <w:p w:rsidR="00DB4CC2" w:rsidRDefault="00DB4CC2" w:rsidP="003E2F1B">
            <w:pPr>
              <w:spacing w:before="120" w:after="120"/>
              <w:jc w:val="center"/>
            </w:pPr>
            <w:r>
              <w:t>Title</w:t>
            </w:r>
          </w:p>
        </w:tc>
        <w:tc>
          <w:tcPr>
            <w:tcW w:w="5238" w:type="dxa"/>
          </w:tcPr>
          <w:p w:rsidR="00DB4CC2" w:rsidRDefault="00DB4CC2" w:rsidP="003E2F1B">
            <w:pPr>
              <w:spacing w:before="120" w:after="120"/>
              <w:jc w:val="center"/>
            </w:pPr>
            <w:r>
              <w:t>Description</w:t>
            </w:r>
          </w:p>
        </w:tc>
      </w:tr>
      <w:tr w:rsidR="00DB4CC2" w:rsidTr="003C628C">
        <w:tc>
          <w:tcPr>
            <w:tcW w:w="1188" w:type="dxa"/>
          </w:tcPr>
          <w:p w:rsidR="00DB4CC2" w:rsidRDefault="00DB4CC2" w:rsidP="003E2F1B">
            <w:pPr>
              <w:spacing w:before="120" w:after="120"/>
              <w:jc w:val="center"/>
            </w:pPr>
            <w:r>
              <w:t>1</w:t>
            </w:r>
          </w:p>
        </w:tc>
        <w:tc>
          <w:tcPr>
            <w:tcW w:w="3150" w:type="dxa"/>
          </w:tcPr>
          <w:p w:rsidR="00DB4CC2" w:rsidRPr="0062117A" w:rsidRDefault="00DB4CC2" w:rsidP="003E2F1B">
            <w:pPr>
              <w:spacing w:before="120" w:after="120"/>
            </w:pPr>
            <w:r w:rsidRPr="0062117A">
              <w:t>No-notice Service Offerings</w:t>
            </w:r>
          </w:p>
        </w:tc>
        <w:tc>
          <w:tcPr>
            <w:tcW w:w="5238" w:type="dxa"/>
          </w:tcPr>
          <w:p w:rsidR="00DB4CC2" w:rsidRPr="0062117A" w:rsidRDefault="00DB4CC2" w:rsidP="003E2F1B">
            <w:pPr>
              <w:spacing w:before="120" w:after="120"/>
            </w:pPr>
            <w:r w:rsidRPr="0062117A">
              <w:t>Issues and discussion items pertaining to no-notice service offerings</w:t>
            </w:r>
          </w:p>
        </w:tc>
      </w:tr>
      <w:tr w:rsidR="00DB4CC2" w:rsidTr="003C628C">
        <w:tc>
          <w:tcPr>
            <w:tcW w:w="1188" w:type="dxa"/>
          </w:tcPr>
          <w:p w:rsidR="00DB4CC2" w:rsidRDefault="00DB4CC2" w:rsidP="003E2F1B">
            <w:pPr>
              <w:spacing w:before="120" w:after="120"/>
              <w:jc w:val="center"/>
            </w:pPr>
            <w:r>
              <w:t>2</w:t>
            </w:r>
          </w:p>
        </w:tc>
        <w:tc>
          <w:tcPr>
            <w:tcW w:w="3150" w:type="dxa"/>
          </w:tcPr>
          <w:p w:rsidR="00DB4CC2" w:rsidRPr="0062117A" w:rsidRDefault="00DB4CC2" w:rsidP="003E2F1B">
            <w:pPr>
              <w:spacing w:before="120" w:after="120"/>
            </w:pPr>
            <w:r w:rsidRPr="0062117A">
              <w:t>Non-ratable Takes</w:t>
            </w:r>
          </w:p>
        </w:tc>
        <w:tc>
          <w:tcPr>
            <w:tcW w:w="5238" w:type="dxa"/>
          </w:tcPr>
          <w:p w:rsidR="00DB4CC2" w:rsidRPr="0062117A" w:rsidRDefault="00DB4CC2" w:rsidP="003E2F1B">
            <w:pPr>
              <w:spacing w:before="120" w:after="120"/>
            </w:pPr>
            <w:r w:rsidRPr="0062117A">
              <w:t>Issues and discussions specific to non-ratable takes and best-efforts nominations</w:t>
            </w:r>
          </w:p>
        </w:tc>
      </w:tr>
      <w:tr w:rsidR="00DB4CC2" w:rsidTr="003C628C">
        <w:tc>
          <w:tcPr>
            <w:tcW w:w="1188" w:type="dxa"/>
          </w:tcPr>
          <w:p w:rsidR="00DB4CC2" w:rsidRDefault="00DB4CC2" w:rsidP="003E2F1B">
            <w:pPr>
              <w:spacing w:before="120" w:after="120"/>
              <w:jc w:val="center"/>
            </w:pPr>
            <w:r>
              <w:lastRenderedPageBreak/>
              <w:t>3</w:t>
            </w:r>
          </w:p>
        </w:tc>
        <w:tc>
          <w:tcPr>
            <w:tcW w:w="3150" w:type="dxa"/>
          </w:tcPr>
          <w:p w:rsidR="00DB4CC2" w:rsidRPr="0062117A" w:rsidRDefault="00DB4CC2" w:rsidP="003E2F1B">
            <w:pPr>
              <w:spacing w:before="120" w:after="120"/>
            </w:pPr>
            <w:r w:rsidRPr="0062117A">
              <w:t>Observations</w:t>
            </w:r>
          </w:p>
        </w:tc>
        <w:tc>
          <w:tcPr>
            <w:tcW w:w="5238" w:type="dxa"/>
          </w:tcPr>
          <w:p w:rsidR="00DB4CC2" w:rsidRPr="0062117A" w:rsidRDefault="00DB4CC2" w:rsidP="003E2F1B">
            <w:pPr>
              <w:spacing w:before="120" w:after="120"/>
            </w:pPr>
            <w:r w:rsidRPr="0062117A">
              <w:t>Facts or observations noted in the discussions on the presentations</w:t>
            </w:r>
          </w:p>
        </w:tc>
      </w:tr>
      <w:tr w:rsidR="00DB4CC2" w:rsidTr="003C628C">
        <w:tc>
          <w:tcPr>
            <w:tcW w:w="1188" w:type="dxa"/>
          </w:tcPr>
          <w:p w:rsidR="00DB4CC2" w:rsidRDefault="00DB4CC2" w:rsidP="003E2F1B">
            <w:pPr>
              <w:spacing w:before="120" w:after="120"/>
              <w:jc w:val="center"/>
            </w:pPr>
            <w:r>
              <w:t>4</w:t>
            </w:r>
          </w:p>
        </w:tc>
        <w:tc>
          <w:tcPr>
            <w:tcW w:w="3150" w:type="dxa"/>
          </w:tcPr>
          <w:p w:rsidR="00DB4CC2" w:rsidRPr="0062117A" w:rsidRDefault="00DB4CC2" w:rsidP="003E2F1B">
            <w:pPr>
              <w:spacing w:before="120" w:after="120"/>
            </w:pPr>
            <w:r w:rsidRPr="0062117A">
              <w:t>Support for Multiple Versions of Standards</w:t>
            </w:r>
          </w:p>
        </w:tc>
        <w:tc>
          <w:tcPr>
            <w:tcW w:w="5238" w:type="dxa"/>
          </w:tcPr>
          <w:p w:rsidR="00DB4CC2" w:rsidRPr="0062117A" w:rsidRDefault="00DB4CC2" w:rsidP="003E2F1B">
            <w:pPr>
              <w:spacing w:before="120" w:after="120"/>
            </w:pPr>
            <w:r w:rsidRPr="0062117A">
              <w:t>Issues and discussion items pertaining to support for multiple versions of NAESB standards, even though only one version is mandated by the FERC</w:t>
            </w:r>
          </w:p>
        </w:tc>
      </w:tr>
      <w:tr w:rsidR="00DB4CC2" w:rsidTr="003C628C">
        <w:tc>
          <w:tcPr>
            <w:tcW w:w="1188" w:type="dxa"/>
          </w:tcPr>
          <w:p w:rsidR="00DB4CC2" w:rsidRDefault="00DB4CC2" w:rsidP="003E2F1B">
            <w:pPr>
              <w:spacing w:before="120" w:after="120"/>
              <w:jc w:val="center"/>
            </w:pPr>
            <w:r>
              <w:t>5</w:t>
            </w:r>
          </w:p>
        </w:tc>
        <w:tc>
          <w:tcPr>
            <w:tcW w:w="3150" w:type="dxa"/>
          </w:tcPr>
          <w:p w:rsidR="00DB4CC2" w:rsidRPr="0062117A" w:rsidRDefault="00DB4CC2" w:rsidP="003E2F1B">
            <w:pPr>
              <w:spacing w:before="120" w:after="120"/>
            </w:pPr>
            <w:r w:rsidRPr="0062117A">
              <w:t>Levels of Confirmations</w:t>
            </w:r>
          </w:p>
        </w:tc>
        <w:tc>
          <w:tcPr>
            <w:tcW w:w="5238" w:type="dxa"/>
          </w:tcPr>
          <w:p w:rsidR="00DB4CC2" w:rsidRPr="0062117A" w:rsidRDefault="00DB4CC2" w:rsidP="003E2F1B">
            <w:pPr>
              <w:spacing w:before="120" w:after="120"/>
            </w:pPr>
            <w:r w:rsidRPr="0062117A">
              <w:t>Issues and discussion items pertaining to types and levels of confirmations, synchronization of processes and number of iterations, including those supporting best-efforts nominations</w:t>
            </w:r>
          </w:p>
        </w:tc>
      </w:tr>
      <w:tr w:rsidR="00DB4CC2" w:rsidTr="003C628C">
        <w:tc>
          <w:tcPr>
            <w:tcW w:w="1188" w:type="dxa"/>
          </w:tcPr>
          <w:p w:rsidR="00DB4CC2" w:rsidRDefault="00DB4CC2" w:rsidP="003E2F1B">
            <w:pPr>
              <w:spacing w:before="120" w:after="120"/>
              <w:jc w:val="center"/>
            </w:pPr>
            <w:r>
              <w:t>6</w:t>
            </w:r>
          </w:p>
        </w:tc>
        <w:tc>
          <w:tcPr>
            <w:tcW w:w="3150" w:type="dxa"/>
          </w:tcPr>
          <w:p w:rsidR="00DB4CC2" w:rsidRPr="0062117A" w:rsidRDefault="00DB4CC2" w:rsidP="003E2F1B">
            <w:pPr>
              <w:spacing w:before="120" w:after="120"/>
            </w:pPr>
            <w:r w:rsidRPr="0062117A">
              <w:t>Additional Nomination Cycles</w:t>
            </w:r>
          </w:p>
        </w:tc>
        <w:tc>
          <w:tcPr>
            <w:tcW w:w="5238" w:type="dxa"/>
          </w:tcPr>
          <w:p w:rsidR="00DB4CC2" w:rsidRPr="0062117A" w:rsidRDefault="00DB4CC2" w:rsidP="003E2F1B">
            <w:pPr>
              <w:spacing w:before="120" w:after="120"/>
            </w:pPr>
            <w:r w:rsidRPr="0062117A">
              <w:t>Issues and discussion items pertaining to the introduction of additional cycles for nominations and scheduling for a variety of services and the corresponding shorter processing time frames along with potential scheduling flexibility.  This category may also address best-efforts processes and addressing changes to support renewable energy.</w:t>
            </w:r>
          </w:p>
        </w:tc>
      </w:tr>
      <w:tr w:rsidR="00DB4CC2" w:rsidTr="003C628C">
        <w:tc>
          <w:tcPr>
            <w:tcW w:w="1188" w:type="dxa"/>
          </w:tcPr>
          <w:p w:rsidR="00DB4CC2" w:rsidRDefault="00DB4CC2" w:rsidP="003E2F1B">
            <w:pPr>
              <w:spacing w:before="120" w:after="120"/>
              <w:jc w:val="center"/>
            </w:pPr>
            <w:r>
              <w:t>7</w:t>
            </w:r>
          </w:p>
        </w:tc>
        <w:tc>
          <w:tcPr>
            <w:tcW w:w="3150" w:type="dxa"/>
          </w:tcPr>
          <w:p w:rsidR="00DB4CC2" w:rsidRPr="0062117A" w:rsidRDefault="00DB4CC2" w:rsidP="003E2F1B">
            <w:pPr>
              <w:spacing w:before="120" w:after="120"/>
            </w:pPr>
            <w:r w:rsidRPr="0062117A">
              <w:t>Scheduling Issues Surrounding Interconnects</w:t>
            </w:r>
          </w:p>
        </w:tc>
        <w:tc>
          <w:tcPr>
            <w:tcW w:w="5238" w:type="dxa"/>
          </w:tcPr>
          <w:p w:rsidR="00DB4CC2" w:rsidRPr="0062117A" w:rsidRDefault="00DB4CC2" w:rsidP="003E2F1B">
            <w:pPr>
              <w:spacing w:before="120" w:after="120"/>
            </w:pPr>
            <w:r w:rsidRPr="0062117A">
              <w:t>Issues and discussion items pertaining to electronic scheduling and impacts at interconnect points</w:t>
            </w:r>
          </w:p>
        </w:tc>
      </w:tr>
      <w:tr w:rsidR="00DB4CC2" w:rsidTr="003C628C">
        <w:tc>
          <w:tcPr>
            <w:tcW w:w="1188" w:type="dxa"/>
          </w:tcPr>
          <w:p w:rsidR="00DB4CC2" w:rsidRDefault="00DB4CC2" w:rsidP="003E2F1B">
            <w:pPr>
              <w:spacing w:before="120" w:after="120"/>
              <w:jc w:val="center"/>
            </w:pPr>
            <w:r>
              <w:t>8</w:t>
            </w:r>
          </w:p>
        </w:tc>
        <w:tc>
          <w:tcPr>
            <w:tcW w:w="3150" w:type="dxa"/>
          </w:tcPr>
          <w:p w:rsidR="00DB4CC2" w:rsidRPr="0062117A" w:rsidRDefault="00DB4CC2" w:rsidP="006E6620">
            <w:pPr>
              <w:spacing w:before="120" w:after="120"/>
            </w:pPr>
            <w:r w:rsidRPr="0062117A">
              <w:t xml:space="preserve">Access to </w:t>
            </w:r>
            <w:r w:rsidR="006E6620">
              <w:t>Confirmations</w:t>
            </w:r>
            <w:r w:rsidRPr="0062117A">
              <w:t xml:space="preserve"> </w:t>
            </w:r>
            <w:r w:rsidR="006E6620">
              <w:t xml:space="preserve">and </w:t>
            </w:r>
            <w:r w:rsidR="006E6620" w:rsidRPr="0062117A">
              <w:t>Scheduling</w:t>
            </w:r>
            <w:r w:rsidR="006E6620">
              <w:t xml:space="preserve"> </w:t>
            </w:r>
            <w:r w:rsidRPr="0062117A">
              <w:t>During Non-business Hours</w:t>
            </w:r>
          </w:p>
        </w:tc>
        <w:tc>
          <w:tcPr>
            <w:tcW w:w="5238" w:type="dxa"/>
          </w:tcPr>
          <w:p w:rsidR="00DB4CC2" w:rsidRPr="0062117A" w:rsidRDefault="00DB4CC2" w:rsidP="003E2F1B">
            <w:pPr>
              <w:spacing w:before="120" w:after="120"/>
            </w:pPr>
            <w:r w:rsidRPr="0062117A">
              <w:t>Issues and discussion items pertaining to access to services during non-traditional business hours</w:t>
            </w:r>
          </w:p>
        </w:tc>
      </w:tr>
      <w:tr w:rsidR="00DB4CC2" w:rsidTr="003C628C">
        <w:tc>
          <w:tcPr>
            <w:tcW w:w="1188" w:type="dxa"/>
          </w:tcPr>
          <w:p w:rsidR="00DB4CC2" w:rsidRDefault="00DB4CC2" w:rsidP="003E2F1B">
            <w:pPr>
              <w:spacing w:before="120" w:after="120"/>
              <w:jc w:val="center"/>
            </w:pPr>
            <w:r>
              <w:t>9</w:t>
            </w:r>
          </w:p>
        </w:tc>
        <w:tc>
          <w:tcPr>
            <w:tcW w:w="3150" w:type="dxa"/>
          </w:tcPr>
          <w:p w:rsidR="00DB4CC2" w:rsidRPr="0062117A" w:rsidRDefault="00DB4CC2" w:rsidP="003E2F1B">
            <w:pPr>
              <w:spacing w:before="120" w:after="120"/>
            </w:pPr>
            <w:r w:rsidRPr="0062117A">
              <w:t>Communications</w:t>
            </w:r>
          </w:p>
        </w:tc>
        <w:tc>
          <w:tcPr>
            <w:tcW w:w="5238" w:type="dxa"/>
          </w:tcPr>
          <w:p w:rsidR="00DB4CC2" w:rsidRPr="0062117A" w:rsidRDefault="00DB4CC2" w:rsidP="003E2F1B">
            <w:pPr>
              <w:spacing w:before="120" w:after="120"/>
            </w:pPr>
            <w:r w:rsidRPr="0062117A">
              <w:t>Issues and discussion items pertaining to terminology used between trading partners and communication protocols</w:t>
            </w:r>
          </w:p>
        </w:tc>
      </w:tr>
      <w:tr w:rsidR="00DB4CC2" w:rsidTr="003C628C">
        <w:tc>
          <w:tcPr>
            <w:tcW w:w="1188" w:type="dxa"/>
          </w:tcPr>
          <w:p w:rsidR="00DB4CC2" w:rsidRDefault="00DB4CC2" w:rsidP="003E2F1B">
            <w:pPr>
              <w:spacing w:before="120" w:after="120"/>
              <w:jc w:val="center"/>
            </w:pPr>
            <w:r>
              <w:t>10</w:t>
            </w:r>
          </w:p>
        </w:tc>
        <w:tc>
          <w:tcPr>
            <w:tcW w:w="3150" w:type="dxa"/>
          </w:tcPr>
          <w:p w:rsidR="00DB4CC2" w:rsidRPr="0062117A" w:rsidRDefault="00DB4CC2" w:rsidP="003E2F1B">
            <w:pPr>
              <w:spacing w:before="120" w:after="120"/>
            </w:pPr>
            <w:r w:rsidRPr="0062117A">
              <w:t>Inconsistencies in Electric-Industry Day-Ahead Markets</w:t>
            </w:r>
          </w:p>
        </w:tc>
        <w:tc>
          <w:tcPr>
            <w:tcW w:w="5238" w:type="dxa"/>
          </w:tcPr>
          <w:p w:rsidR="00DB4CC2" w:rsidRPr="0062117A" w:rsidRDefault="00DB4CC2" w:rsidP="003E2F1B">
            <w:pPr>
              <w:spacing w:before="120" w:after="120"/>
            </w:pPr>
            <w:r w:rsidRPr="0062117A">
              <w:t xml:space="preserve">Issues and discussion items </w:t>
            </w:r>
            <w:r w:rsidR="000A48FF" w:rsidRPr="0062117A">
              <w:t>pertaining</w:t>
            </w:r>
            <w:r w:rsidRPr="0062117A">
              <w:t xml:space="preserve"> to different timing and processing of day-ahead electric markets and its impact on electronic scheduling</w:t>
            </w:r>
          </w:p>
        </w:tc>
      </w:tr>
      <w:tr w:rsidR="00DB4CC2" w:rsidTr="003C628C">
        <w:tc>
          <w:tcPr>
            <w:tcW w:w="1188" w:type="dxa"/>
          </w:tcPr>
          <w:p w:rsidR="00DB4CC2" w:rsidRDefault="00DB4CC2" w:rsidP="003E2F1B">
            <w:pPr>
              <w:spacing w:before="120" w:after="120"/>
              <w:jc w:val="center"/>
            </w:pPr>
            <w:r>
              <w:t>11</w:t>
            </w:r>
          </w:p>
        </w:tc>
        <w:tc>
          <w:tcPr>
            <w:tcW w:w="3150" w:type="dxa"/>
          </w:tcPr>
          <w:p w:rsidR="00DB4CC2" w:rsidRPr="0062117A" w:rsidRDefault="00DB4CC2" w:rsidP="003E2F1B">
            <w:pPr>
              <w:spacing w:before="120" w:after="120"/>
            </w:pPr>
            <w:r w:rsidRPr="0062117A">
              <w:t>Data Issues, Data-Transfer Issues, Field Testing and Modeling</w:t>
            </w:r>
          </w:p>
        </w:tc>
        <w:tc>
          <w:tcPr>
            <w:tcW w:w="5238" w:type="dxa"/>
          </w:tcPr>
          <w:p w:rsidR="00DB4CC2" w:rsidRPr="0062117A" w:rsidRDefault="00DB4CC2" w:rsidP="003E2F1B">
            <w:pPr>
              <w:spacing w:before="120" w:after="120"/>
            </w:pPr>
            <w:r w:rsidRPr="0062117A">
              <w:t>Issues and discussion items pertaining to the application of technology to electronic scheduling</w:t>
            </w:r>
          </w:p>
        </w:tc>
      </w:tr>
      <w:tr w:rsidR="00DB4CC2" w:rsidTr="003C628C">
        <w:tc>
          <w:tcPr>
            <w:tcW w:w="1188" w:type="dxa"/>
          </w:tcPr>
          <w:p w:rsidR="00DB4CC2" w:rsidRDefault="00DB4CC2" w:rsidP="003E2F1B">
            <w:pPr>
              <w:spacing w:before="120" w:after="120"/>
              <w:jc w:val="center"/>
            </w:pPr>
            <w:r>
              <w:t>12</w:t>
            </w:r>
          </w:p>
        </w:tc>
        <w:tc>
          <w:tcPr>
            <w:tcW w:w="3150" w:type="dxa"/>
          </w:tcPr>
          <w:p w:rsidR="00DB4CC2" w:rsidRPr="0062117A" w:rsidRDefault="00DB4CC2" w:rsidP="003E2F1B">
            <w:pPr>
              <w:spacing w:before="120" w:after="120"/>
            </w:pPr>
            <w:r w:rsidRPr="0062117A">
              <w:t>New Service Offerings</w:t>
            </w:r>
          </w:p>
        </w:tc>
        <w:tc>
          <w:tcPr>
            <w:tcW w:w="5238" w:type="dxa"/>
          </w:tcPr>
          <w:p w:rsidR="00DB4CC2" w:rsidRPr="0062117A" w:rsidRDefault="00DB4CC2" w:rsidP="003E2F1B">
            <w:pPr>
              <w:spacing w:before="120" w:after="120"/>
            </w:pPr>
            <w:r w:rsidRPr="0062117A">
              <w:t>Issues and discussion items that identified possible new service offerings that could enhance the electronic scheduling process and introduce flexibility</w:t>
            </w:r>
          </w:p>
        </w:tc>
      </w:tr>
    </w:tbl>
    <w:p w:rsidR="003E2F1B" w:rsidRDefault="003E2F1B">
      <w:pPr>
        <w:rPr>
          <w:caps/>
        </w:rPr>
      </w:pPr>
      <w:r>
        <w:rPr>
          <w:caps/>
        </w:rPr>
        <w:br w:type="page"/>
      </w:r>
    </w:p>
    <w:p w:rsidR="007719B2" w:rsidRPr="007719B2" w:rsidRDefault="007719B2" w:rsidP="007719B2">
      <w:pPr>
        <w:spacing w:before="600"/>
        <w:jc w:val="center"/>
        <w:rPr>
          <w:caps/>
        </w:rPr>
      </w:pPr>
      <w:r w:rsidRPr="007719B2">
        <w:rPr>
          <w:caps/>
        </w:rPr>
        <w:lastRenderedPageBreak/>
        <w:t xml:space="preserve">Table </w:t>
      </w:r>
      <w:r>
        <w:rPr>
          <w:caps/>
        </w:rPr>
        <w:t>2</w:t>
      </w:r>
    </w:p>
    <w:p w:rsidR="007719B2" w:rsidRDefault="007719B2" w:rsidP="007719B2">
      <w:pPr>
        <w:spacing w:before="120" w:after="120"/>
      </w:pPr>
      <w:r>
        <w:t>Table 2 is a listing of the “hashtags” or questions that were discussed for each issue.  They are presented in the Excel worksheet as columns</w:t>
      </w:r>
      <w:r w:rsidR="000A48FF">
        <w:t>.</w:t>
      </w:r>
      <w:r>
        <w:t xml:space="preserve">   </w:t>
      </w:r>
    </w:p>
    <w:tbl>
      <w:tblPr>
        <w:tblStyle w:val="TableGrid"/>
        <w:tblW w:w="0" w:type="auto"/>
        <w:tblLook w:val="04A0" w:firstRow="1" w:lastRow="0" w:firstColumn="1" w:lastColumn="0" w:noHBand="0" w:noVBand="1"/>
      </w:tblPr>
      <w:tblGrid>
        <w:gridCol w:w="558"/>
        <w:gridCol w:w="9018"/>
      </w:tblGrid>
      <w:tr w:rsidR="00163273" w:rsidRPr="00163273" w:rsidTr="00253EF7">
        <w:trPr>
          <w:tblHeader/>
        </w:trPr>
        <w:tc>
          <w:tcPr>
            <w:tcW w:w="9576" w:type="dxa"/>
            <w:gridSpan w:val="2"/>
          </w:tcPr>
          <w:p w:rsidR="00163273" w:rsidRPr="00163273" w:rsidRDefault="00253EF7" w:rsidP="003E2F1B">
            <w:pPr>
              <w:spacing w:before="120" w:after="120"/>
              <w:jc w:val="center"/>
            </w:pPr>
            <w:r>
              <w:t xml:space="preserve">Table 2 -- </w:t>
            </w:r>
            <w:r w:rsidR="00163273" w:rsidRPr="00163273">
              <w:t># Column Descriptions</w:t>
            </w:r>
          </w:p>
        </w:tc>
      </w:tr>
      <w:tr w:rsidR="00163273" w:rsidRPr="00163273" w:rsidTr="00253EF7">
        <w:trPr>
          <w:tblHeader/>
        </w:trPr>
        <w:tc>
          <w:tcPr>
            <w:tcW w:w="558" w:type="dxa"/>
          </w:tcPr>
          <w:p w:rsidR="00163273" w:rsidRPr="00163273" w:rsidRDefault="00163273" w:rsidP="003E2F1B">
            <w:pPr>
              <w:spacing w:before="120" w:after="120"/>
            </w:pPr>
            <w:r w:rsidRPr="00163273">
              <w:t>#</w:t>
            </w:r>
          </w:p>
        </w:tc>
        <w:tc>
          <w:tcPr>
            <w:tcW w:w="9018" w:type="dxa"/>
          </w:tcPr>
          <w:p w:rsidR="00163273" w:rsidRPr="00163273" w:rsidRDefault="00163273" w:rsidP="003E2F1B">
            <w:pPr>
              <w:spacing w:before="120" w:after="120"/>
            </w:pPr>
            <w:r w:rsidRPr="00163273">
              <w:t>Description</w:t>
            </w:r>
          </w:p>
        </w:tc>
      </w:tr>
      <w:tr w:rsidR="00163273" w:rsidRPr="00163273" w:rsidTr="00163273">
        <w:tc>
          <w:tcPr>
            <w:tcW w:w="558" w:type="dxa"/>
          </w:tcPr>
          <w:p w:rsidR="00163273" w:rsidRPr="00163273" w:rsidRDefault="00163273" w:rsidP="003E2F1B">
            <w:pPr>
              <w:spacing w:before="120" w:after="120"/>
            </w:pPr>
            <w:r w:rsidRPr="00163273">
              <w:t>1a</w:t>
            </w:r>
          </w:p>
        </w:tc>
        <w:tc>
          <w:tcPr>
            <w:tcW w:w="9018" w:type="dxa"/>
          </w:tcPr>
          <w:p w:rsidR="00163273" w:rsidRPr="00163273" w:rsidRDefault="00163273" w:rsidP="003E2F1B">
            <w:pPr>
              <w:spacing w:before="120" w:after="120"/>
            </w:pPr>
            <w:r w:rsidRPr="00163273">
              <w:t>This issue is within the scope of the Commission's request</w:t>
            </w:r>
          </w:p>
        </w:tc>
      </w:tr>
      <w:tr w:rsidR="00163273" w:rsidRPr="00163273" w:rsidTr="00163273">
        <w:tc>
          <w:tcPr>
            <w:tcW w:w="558" w:type="dxa"/>
          </w:tcPr>
          <w:p w:rsidR="00163273" w:rsidRPr="00163273" w:rsidRDefault="00163273" w:rsidP="003E2F1B">
            <w:pPr>
              <w:spacing w:before="120" w:after="120"/>
            </w:pPr>
            <w:r w:rsidRPr="00163273">
              <w:t>1b</w:t>
            </w:r>
          </w:p>
        </w:tc>
        <w:tc>
          <w:tcPr>
            <w:tcW w:w="9018" w:type="dxa"/>
          </w:tcPr>
          <w:p w:rsidR="00163273" w:rsidRPr="00163273" w:rsidRDefault="00163273" w:rsidP="003E2F1B">
            <w:pPr>
              <w:spacing w:before="120" w:after="120"/>
            </w:pPr>
            <w:r w:rsidRPr="00163273">
              <w:t>This issue is within the scope of NAESB's purview</w:t>
            </w:r>
            <w:r w:rsidR="00421FBD">
              <w:t>, without necessarily suggesting any action be taken by NAESB.</w:t>
            </w:r>
          </w:p>
        </w:tc>
      </w:tr>
      <w:tr w:rsidR="00163273" w:rsidRPr="00163273" w:rsidTr="00163273">
        <w:tc>
          <w:tcPr>
            <w:tcW w:w="558" w:type="dxa"/>
          </w:tcPr>
          <w:p w:rsidR="00163273" w:rsidRPr="00163273" w:rsidRDefault="00163273" w:rsidP="003E2F1B">
            <w:pPr>
              <w:spacing w:before="120" w:after="120"/>
            </w:pPr>
            <w:r w:rsidRPr="00163273">
              <w:t>2a</w:t>
            </w:r>
          </w:p>
        </w:tc>
        <w:tc>
          <w:tcPr>
            <w:tcW w:w="9018" w:type="dxa"/>
          </w:tcPr>
          <w:p w:rsidR="00163273" w:rsidRPr="00163273" w:rsidRDefault="00163273" w:rsidP="003E2F1B">
            <w:pPr>
              <w:spacing w:before="120" w:after="120"/>
            </w:pPr>
            <w:r w:rsidRPr="00163273">
              <w:t>This issue could be pursued where more uniformity or streamlining would meet the Commission's request</w:t>
            </w:r>
          </w:p>
        </w:tc>
      </w:tr>
      <w:tr w:rsidR="00163273" w:rsidRPr="00163273" w:rsidTr="00163273">
        <w:tc>
          <w:tcPr>
            <w:tcW w:w="558" w:type="dxa"/>
          </w:tcPr>
          <w:p w:rsidR="00163273" w:rsidRPr="00163273" w:rsidRDefault="00163273" w:rsidP="003E2F1B">
            <w:pPr>
              <w:spacing w:before="120" w:after="120"/>
            </w:pPr>
            <w:r w:rsidRPr="00163273">
              <w:t>2b</w:t>
            </w:r>
          </w:p>
        </w:tc>
        <w:tc>
          <w:tcPr>
            <w:tcW w:w="9018" w:type="dxa"/>
          </w:tcPr>
          <w:p w:rsidR="00163273" w:rsidRPr="00163273" w:rsidRDefault="00163273" w:rsidP="003E2F1B">
            <w:pPr>
              <w:spacing w:before="120" w:after="120"/>
            </w:pPr>
            <w:r w:rsidRPr="00163273">
              <w:t>This issue could be economically pursued</w:t>
            </w:r>
          </w:p>
        </w:tc>
      </w:tr>
      <w:tr w:rsidR="00163273" w:rsidRPr="00163273" w:rsidTr="00163273">
        <w:tc>
          <w:tcPr>
            <w:tcW w:w="558" w:type="dxa"/>
          </w:tcPr>
          <w:p w:rsidR="00163273" w:rsidRPr="00163273" w:rsidRDefault="00163273" w:rsidP="003E2F1B">
            <w:pPr>
              <w:spacing w:before="120" w:after="120"/>
            </w:pPr>
            <w:r w:rsidRPr="00163273">
              <w:t>2c</w:t>
            </w:r>
          </w:p>
        </w:tc>
        <w:tc>
          <w:tcPr>
            <w:tcW w:w="9018" w:type="dxa"/>
          </w:tcPr>
          <w:p w:rsidR="00163273" w:rsidRPr="00163273" w:rsidRDefault="00163273" w:rsidP="003E2F1B">
            <w:pPr>
              <w:spacing w:before="120" w:after="120"/>
            </w:pPr>
            <w:r w:rsidRPr="00163273">
              <w:t>The issue could be pursued - but would benefit from waiting until more experience has been gained after the April 1st 2016 implementation of the changes to the nomination timeline</w:t>
            </w:r>
          </w:p>
        </w:tc>
      </w:tr>
      <w:tr w:rsidR="00163273" w:rsidRPr="00163273" w:rsidTr="00E5590D">
        <w:tc>
          <w:tcPr>
            <w:tcW w:w="558" w:type="dxa"/>
            <w:shd w:val="clear" w:color="auto" w:fill="FFFF00"/>
          </w:tcPr>
          <w:p w:rsidR="00163273" w:rsidRPr="00163273" w:rsidRDefault="00163273" w:rsidP="003E2F1B">
            <w:pPr>
              <w:spacing w:before="120" w:after="120"/>
            </w:pPr>
            <w:r w:rsidRPr="00163273">
              <w:t>3</w:t>
            </w:r>
          </w:p>
        </w:tc>
        <w:tc>
          <w:tcPr>
            <w:tcW w:w="9018" w:type="dxa"/>
            <w:shd w:val="clear" w:color="auto" w:fill="FFFF00"/>
          </w:tcPr>
          <w:p w:rsidR="00163273" w:rsidRPr="00163273" w:rsidRDefault="00E5590D" w:rsidP="00E5590D">
            <w:pPr>
              <w:spacing w:before="120" w:after="120"/>
            </w:pPr>
            <w:r>
              <w:t>D</w:t>
            </w:r>
            <w:r w:rsidR="00CE6FE0">
              <w:t xml:space="preserve">ue to one or more of the following reasons </w:t>
            </w:r>
            <w:r>
              <w:t>(</w:t>
            </w:r>
            <w:r w:rsidR="00CE6FE0">
              <w:t>non</w:t>
            </w:r>
            <w:r>
              <w:t>-</w:t>
            </w:r>
            <w:r w:rsidR="00CE6FE0">
              <w:t>FERC policy issue</w:t>
            </w:r>
            <w:r>
              <w:t>,</w:t>
            </w:r>
            <w:r w:rsidR="00CE6FE0">
              <w:t xml:space="preserve"> operational issue, service issue, etc.)</w:t>
            </w:r>
            <w:r>
              <w:t>,</w:t>
            </w:r>
            <w:r w:rsidR="00421FBD">
              <w:t xml:space="preserve"> </w:t>
            </w:r>
            <w:r>
              <w:t>t</w:t>
            </w:r>
            <w:r w:rsidRPr="00F31ABB">
              <w:t xml:space="preserve">his issue </w:t>
            </w:r>
            <w:r>
              <w:t>would</w:t>
            </w:r>
            <w:r w:rsidRPr="00F31ABB">
              <w:t xml:space="preserve"> not benefit from a national standard</w:t>
            </w:r>
          </w:p>
        </w:tc>
      </w:tr>
      <w:tr w:rsidR="00163273" w:rsidRPr="00163273" w:rsidTr="00E5590D">
        <w:tc>
          <w:tcPr>
            <w:tcW w:w="558" w:type="dxa"/>
            <w:shd w:val="clear" w:color="auto" w:fill="FFFF00"/>
          </w:tcPr>
          <w:p w:rsidR="00163273" w:rsidRPr="00163273" w:rsidRDefault="00163273" w:rsidP="003E2F1B">
            <w:pPr>
              <w:spacing w:before="120" w:after="120"/>
            </w:pPr>
            <w:r w:rsidRPr="00163273">
              <w:t>4</w:t>
            </w:r>
          </w:p>
        </w:tc>
        <w:tc>
          <w:tcPr>
            <w:tcW w:w="9018" w:type="dxa"/>
            <w:shd w:val="clear" w:color="auto" w:fill="FFFF00"/>
          </w:tcPr>
          <w:p w:rsidR="00163273" w:rsidRPr="00163273" w:rsidRDefault="00E5590D" w:rsidP="00E5590D">
            <w:pPr>
              <w:spacing w:before="120" w:after="120"/>
            </w:pPr>
            <w:r>
              <w:t>This is</w:t>
            </w:r>
            <w:r w:rsidRPr="00163273">
              <w:t xml:space="preserve"> a potential area where, for example, tools could be used to address the Commission's request</w:t>
            </w:r>
            <w:r>
              <w:t xml:space="preserve"> and therefore would n</w:t>
            </w:r>
            <w:r w:rsidR="00163273" w:rsidRPr="00163273">
              <w:t>ot benefit from additional uniformity</w:t>
            </w:r>
            <w:r>
              <w:t>.</w:t>
            </w:r>
            <w:r w:rsidR="00163273" w:rsidRPr="00163273">
              <w:t xml:space="preserve"> </w:t>
            </w:r>
          </w:p>
        </w:tc>
      </w:tr>
      <w:tr w:rsidR="00163273" w:rsidRPr="00163273" w:rsidTr="00163273">
        <w:tc>
          <w:tcPr>
            <w:tcW w:w="558" w:type="dxa"/>
          </w:tcPr>
          <w:p w:rsidR="00163273" w:rsidRPr="00163273" w:rsidRDefault="00163273" w:rsidP="003E2F1B">
            <w:pPr>
              <w:spacing w:before="120" w:after="120"/>
            </w:pPr>
            <w:r w:rsidRPr="00163273">
              <w:t>5</w:t>
            </w:r>
          </w:p>
        </w:tc>
        <w:tc>
          <w:tcPr>
            <w:tcW w:w="9018" w:type="dxa"/>
          </w:tcPr>
          <w:p w:rsidR="00163273" w:rsidRPr="00163273" w:rsidRDefault="00163273" w:rsidP="003E2F1B">
            <w:pPr>
              <w:spacing w:before="120" w:after="120"/>
            </w:pPr>
            <w:r w:rsidRPr="00163273">
              <w:t>This issue has policy implications that would require Commission direction before NAESB (or others) were to proceed further, or where there are other issues that stand in the way of moving forward at present</w:t>
            </w:r>
          </w:p>
        </w:tc>
      </w:tr>
      <w:tr w:rsidR="00163273" w:rsidRPr="00163273" w:rsidTr="00163273">
        <w:tc>
          <w:tcPr>
            <w:tcW w:w="558" w:type="dxa"/>
          </w:tcPr>
          <w:p w:rsidR="00163273" w:rsidRPr="00163273" w:rsidRDefault="00163273" w:rsidP="003E2F1B">
            <w:pPr>
              <w:spacing w:before="120" w:after="120"/>
            </w:pPr>
            <w:r w:rsidRPr="00163273">
              <w:t>6</w:t>
            </w:r>
          </w:p>
        </w:tc>
        <w:tc>
          <w:tcPr>
            <w:tcW w:w="9018" w:type="dxa"/>
          </w:tcPr>
          <w:p w:rsidR="00163273" w:rsidRPr="00163273" w:rsidRDefault="00163273" w:rsidP="003E2F1B">
            <w:pPr>
              <w:spacing w:before="120" w:after="120"/>
            </w:pPr>
            <w:r w:rsidRPr="00163273">
              <w:t>This issue has been identified as a statement of fact or an observation</w:t>
            </w:r>
          </w:p>
        </w:tc>
      </w:tr>
    </w:tbl>
    <w:p w:rsidR="00163273" w:rsidRPr="00163273" w:rsidRDefault="00163273" w:rsidP="00163273">
      <w:pPr>
        <w:spacing w:before="120"/>
        <w:jc w:val="center"/>
      </w:pPr>
    </w:p>
    <w:p w:rsidR="00253EF7" w:rsidRDefault="00253EF7" w:rsidP="00163273">
      <w:pPr>
        <w:spacing w:before="120"/>
      </w:pPr>
      <w:r>
        <w:t>Notes on Table 2:</w:t>
      </w:r>
    </w:p>
    <w:p w:rsidR="00163273" w:rsidRDefault="00163273" w:rsidP="00163273">
      <w:pPr>
        <w:spacing w:before="120"/>
      </w:pPr>
      <w:r>
        <w:t>The “# Columns” are directly related to the questions posed during the discussions of each issue on March 7-8, with questions 1 an 2 separated into parts:</w:t>
      </w:r>
    </w:p>
    <w:p w:rsidR="00163273" w:rsidRPr="007C50CA" w:rsidRDefault="00163273" w:rsidP="00163273">
      <w:pPr>
        <w:pStyle w:val="ListParagraph"/>
        <w:numPr>
          <w:ilvl w:val="0"/>
          <w:numId w:val="27"/>
        </w:numPr>
        <w:spacing w:before="120" w:after="120"/>
        <w:rPr>
          <w:rFonts w:ascii="Times New Roman" w:hAnsi="Times New Roman" w:cs="Times New Roman"/>
          <w:sz w:val="20"/>
          <w:szCs w:val="20"/>
        </w:rPr>
      </w:pPr>
      <w:r w:rsidRPr="007C50CA">
        <w:rPr>
          <w:rFonts w:ascii="Times New Roman" w:hAnsi="Times New Roman" w:cs="Times New Roman"/>
          <w:sz w:val="20"/>
          <w:szCs w:val="20"/>
        </w:rPr>
        <w:t xml:space="preserve">Is a discussion of this issue within the </w:t>
      </w:r>
      <w:r>
        <w:rPr>
          <w:rFonts w:ascii="Times New Roman" w:hAnsi="Times New Roman" w:cs="Times New Roman"/>
          <w:sz w:val="20"/>
          <w:szCs w:val="20"/>
        </w:rPr>
        <w:t xml:space="preserve">scope </w:t>
      </w:r>
      <w:r w:rsidRPr="007C50CA">
        <w:rPr>
          <w:rFonts w:ascii="Times New Roman" w:hAnsi="Times New Roman" w:cs="Times New Roman"/>
          <w:sz w:val="20"/>
          <w:szCs w:val="20"/>
        </w:rPr>
        <w:t>of the Commission’s request that “… gas and electric industries, through NAESB, explore the potential for faster, computerized scheduling when shippers and confirming parties all submit electronic nominations and confirmations, including a streamlined confirmation process if necessary?” and “… natural gas and electric industries, through NAESB, begin considering the development of standards related to faster, computerized scheduling”?</w:t>
      </w:r>
    </w:p>
    <w:p w:rsidR="00163273" w:rsidRPr="007C50CA" w:rsidRDefault="00163273" w:rsidP="00163273">
      <w:pPr>
        <w:pStyle w:val="ListParagraph"/>
        <w:numPr>
          <w:ilvl w:val="0"/>
          <w:numId w:val="27"/>
        </w:numPr>
        <w:spacing w:before="120" w:after="120"/>
        <w:rPr>
          <w:rFonts w:ascii="Times New Roman" w:hAnsi="Times New Roman" w:cs="Times New Roman"/>
          <w:sz w:val="20"/>
          <w:szCs w:val="20"/>
        </w:rPr>
      </w:pPr>
      <w:r w:rsidRPr="007C50CA">
        <w:rPr>
          <w:rFonts w:ascii="Times New Roman" w:hAnsi="Times New Roman" w:cs="Times New Roman"/>
          <w:sz w:val="20"/>
          <w:szCs w:val="20"/>
        </w:rPr>
        <w:t>Is</w:t>
      </w:r>
      <w:r>
        <w:rPr>
          <w:rFonts w:ascii="Times New Roman" w:hAnsi="Times New Roman" w:cs="Times New Roman"/>
          <w:sz w:val="20"/>
          <w:szCs w:val="20"/>
        </w:rPr>
        <w:t xml:space="preserve"> it an </w:t>
      </w:r>
      <w:r w:rsidRPr="007C50CA">
        <w:rPr>
          <w:rFonts w:ascii="Times New Roman" w:hAnsi="Times New Roman" w:cs="Times New Roman"/>
          <w:sz w:val="20"/>
          <w:szCs w:val="20"/>
        </w:rPr>
        <w:t xml:space="preserve">issue that could be pursued where more uniformity or streamlining would meet the Commission’s request?  Would it be economical and efficient to do so?  </w:t>
      </w:r>
      <w:r>
        <w:rPr>
          <w:rFonts w:ascii="Times New Roman" w:hAnsi="Times New Roman" w:cs="Times New Roman"/>
          <w:sz w:val="20"/>
          <w:szCs w:val="20"/>
        </w:rPr>
        <w:t xml:space="preserve">Should consideration of this issue be </w:t>
      </w:r>
      <w:r w:rsidR="000A48FF">
        <w:rPr>
          <w:rFonts w:ascii="Times New Roman" w:hAnsi="Times New Roman" w:cs="Times New Roman"/>
          <w:sz w:val="20"/>
          <w:szCs w:val="20"/>
        </w:rPr>
        <w:t>postponed until</w:t>
      </w:r>
      <w:r>
        <w:rPr>
          <w:rFonts w:ascii="Times New Roman" w:hAnsi="Times New Roman" w:cs="Times New Roman"/>
          <w:sz w:val="20"/>
          <w:szCs w:val="20"/>
        </w:rPr>
        <w:t xml:space="preserve"> we </w:t>
      </w:r>
      <w:r w:rsidRPr="007C50CA">
        <w:rPr>
          <w:rFonts w:ascii="Times New Roman" w:hAnsi="Times New Roman" w:cs="Times New Roman"/>
          <w:sz w:val="20"/>
          <w:szCs w:val="20"/>
        </w:rPr>
        <w:t>have more experience and a better understanding of the impact of changing the nominations timeline which is to be implemented April 1?</w:t>
      </w:r>
    </w:p>
    <w:p w:rsidR="00163273" w:rsidRPr="007C50CA" w:rsidRDefault="00163273" w:rsidP="00163273">
      <w:pPr>
        <w:pStyle w:val="ListParagraph"/>
        <w:numPr>
          <w:ilvl w:val="0"/>
          <w:numId w:val="27"/>
        </w:numPr>
        <w:spacing w:before="120" w:after="120"/>
        <w:rPr>
          <w:rFonts w:ascii="Times New Roman" w:hAnsi="Times New Roman" w:cs="Times New Roman"/>
          <w:sz w:val="20"/>
          <w:szCs w:val="20"/>
        </w:rPr>
      </w:pPr>
      <w:r w:rsidRPr="007C50CA">
        <w:rPr>
          <w:rFonts w:ascii="Times New Roman" w:hAnsi="Times New Roman" w:cs="Times New Roman"/>
          <w:sz w:val="20"/>
          <w:szCs w:val="20"/>
        </w:rPr>
        <w:t>Is this an issue where</w:t>
      </w:r>
      <w:r>
        <w:rPr>
          <w:rFonts w:ascii="Times New Roman" w:hAnsi="Times New Roman" w:cs="Times New Roman"/>
          <w:sz w:val="20"/>
          <w:szCs w:val="20"/>
        </w:rPr>
        <w:t xml:space="preserve"> a national </w:t>
      </w:r>
      <w:r w:rsidR="000A48FF">
        <w:rPr>
          <w:rFonts w:ascii="Times New Roman" w:hAnsi="Times New Roman" w:cs="Times New Roman"/>
          <w:sz w:val="20"/>
          <w:szCs w:val="20"/>
        </w:rPr>
        <w:t xml:space="preserve">standard </w:t>
      </w:r>
      <w:r w:rsidR="000A48FF" w:rsidRPr="007C50CA">
        <w:rPr>
          <w:rFonts w:ascii="Times New Roman" w:hAnsi="Times New Roman" w:cs="Times New Roman"/>
          <w:sz w:val="20"/>
          <w:szCs w:val="20"/>
        </w:rPr>
        <w:t>is</w:t>
      </w:r>
      <w:r w:rsidRPr="007C50CA">
        <w:rPr>
          <w:rFonts w:ascii="Times New Roman" w:hAnsi="Times New Roman" w:cs="Times New Roman"/>
          <w:sz w:val="20"/>
          <w:szCs w:val="20"/>
        </w:rPr>
        <w:t xml:space="preserve"> not helpful, and it best addressed by services individually tailored to customer’s needs and reflecting individual inherent operational requirements?</w:t>
      </w:r>
    </w:p>
    <w:p w:rsidR="00163273" w:rsidRPr="007C50CA" w:rsidRDefault="00163273" w:rsidP="00163273">
      <w:pPr>
        <w:pStyle w:val="ListParagraph"/>
        <w:numPr>
          <w:ilvl w:val="0"/>
          <w:numId w:val="27"/>
        </w:numPr>
        <w:spacing w:before="120" w:after="120"/>
        <w:rPr>
          <w:rFonts w:ascii="Times New Roman" w:hAnsi="Times New Roman" w:cs="Times New Roman"/>
          <w:sz w:val="20"/>
          <w:szCs w:val="20"/>
        </w:rPr>
      </w:pPr>
      <w:r w:rsidRPr="007C50CA">
        <w:rPr>
          <w:rFonts w:ascii="Times New Roman" w:hAnsi="Times New Roman" w:cs="Times New Roman"/>
          <w:sz w:val="20"/>
          <w:szCs w:val="20"/>
        </w:rPr>
        <w:lastRenderedPageBreak/>
        <w:t>Is this issue a topic where tools can be used to address the Commission’s request and uniformity is not helpful or is more detrimental than beneficial?</w:t>
      </w:r>
    </w:p>
    <w:p w:rsidR="00163273" w:rsidRDefault="00163273" w:rsidP="00163273">
      <w:pPr>
        <w:pStyle w:val="ListParagraph"/>
        <w:numPr>
          <w:ilvl w:val="0"/>
          <w:numId w:val="27"/>
        </w:numPr>
        <w:spacing w:before="120"/>
        <w:rPr>
          <w:rFonts w:ascii="Times New Roman" w:hAnsi="Times New Roman" w:cs="Times New Roman"/>
          <w:sz w:val="20"/>
          <w:szCs w:val="20"/>
        </w:rPr>
      </w:pPr>
      <w:r w:rsidRPr="007C50CA">
        <w:rPr>
          <w:rFonts w:ascii="Times New Roman" w:hAnsi="Times New Roman" w:cs="Times New Roman"/>
          <w:sz w:val="20"/>
          <w:szCs w:val="20"/>
        </w:rPr>
        <w:t>Is this an issue where the Commission itself should consider addressing the issue (without presuming a conclusion that the Commission would actually decide to introduce policy changes, but still entertaining the possibility that additional action may be warranted af</w:t>
      </w:r>
      <w:r>
        <w:rPr>
          <w:rFonts w:ascii="Times New Roman" w:hAnsi="Times New Roman" w:cs="Times New Roman"/>
          <w:sz w:val="20"/>
          <w:szCs w:val="20"/>
        </w:rPr>
        <w:t>ter a full record is developed)?</w:t>
      </w:r>
    </w:p>
    <w:p w:rsidR="00253EF7" w:rsidRDefault="00163273" w:rsidP="00DB4CC2">
      <w:pPr>
        <w:pStyle w:val="ListParagraph"/>
        <w:numPr>
          <w:ilvl w:val="0"/>
          <w:numId w:val="27"/>
        </w:numPr>
        <w:spacing w:before="120"/>
      </w:pPr>
      <w:r w:rsidRPr="007C50CA">
        <w:rPr>
          <w:rFonts w:ascii="Times New Roman" w:hAnsi="Times New Roman" w:cs="Times New Roman"/>
          <w:sz w:val="20"/>
          <w:szCs w:val="20"/>
        </w:rPr>
        <w:t xml:space="preserve">Is this an issue </w:t>
      </w:r>
      <w:r>
        <w:rPr>
          <w:rFonts w:ascii="Times New Roman" w:hAnsi="Times New Roman" w:cs="Times New Roman"/>
          <w:sz w:val="20"/>
          <w:szCs w:val="20"/>
        </w:rPr>
        <w:t>better described as a statement of fact or an observation?</w:t>
      </w:r>
      <w:r w:rsidR="00DB4CC2" w:rsidRPr="00B1369D">
        <w:t xml:space="preserve"> </w:t>
      </w:r>
    </w:p>
    <w:p w:rsidR="003C628C" w:rsidRDefault="003C628C" w:rsidP="007719B2">
      <w:pPr>
        <w:spacing w:before="600"/>
        <w:ind w:left="360"/>
        <w:jc w:val="center"/>
        <w:rPr>
          <w:caps/>
        </w:rPr>
        <w:sectPr w:rsidR="003C628C" w:rsidSect="00DB4CC2">
          <w:headerReference w:type="even" r:id="rId10"/>
          <w:headerReference w:type="default" r:id="rId11"/>
          <w:footerReference w:type="default" r:id="rId12"/>
          <w:headerReference w:type="first" r:id="rId13"/>
          <w:pgSz w:w="12240" w:h="15840" w:code="1"/>
          <w:pgMar w:top="1440" w:right="1440" w:bottom="1440" w:left="1440" w:header="720" w:footer="720" w:gutter="0"/>
          <w:cols w:space="720"/>
          <w:docGrid w:linePitch="272"/>
        </w:sectPr>
      </w:pPr>
    </w:p>
    <w:p w:rsidR="007719B2" w:rsidRPr="007719B2" w:rsidRDefault="007719B2" w:rsidP="007719B2">
      <w:pPr>
        <w:spacing w:before="600"/>
        <w:ind w:left="360"/>
        <w:jc w:val="center"/>
        <w:rPr>
          <w:caps/>
        </w:rPr>
      </w:pPr>
      <w:r w:rsidRPr="007719B2">
        <w:rPr>
          <w:caps/>
        </w:rPr>
        <w:lastRenderedPageBreak/>
        <w:t>Table</w:t>
      </w:r>
      <w:r>
        <w:rPr>
          <w:caps/>
        </w:rPr>
        <w:t xml:space="preserve"> 3</w:t>
      </w:r>
    </w:p>
    <w:p w:rsidR="007719B2" w:rsidRDefault="007719B2" w:rsidP="007719B2">
      <w:pPr>
        <w:spacing w:before="120" w:after="120"/>
      </w:pPr>
      <w:r w:rsidRPr="007719B2">
        <w:t xml:space="preserve">Table </w:t>
      </w:r>
      <w:r>
        <w:t>3</w:t>
      </w:r>
      <w:r w:rsidRPr="007719B2">
        <w:t xml:space="preserve"> is a listing of the </w:t>
      </w:r>
      <w:r>
        <w:t xml:space="preserve">issues by category.  An issue may reside in more than one category.    </w:t>
      </w:r>
    </w:p>
    <w:p w:rsidR="00596152" w:rsidRDefault="00596152"/>
    <w:tbl>
      <w:tblPr>
        <w:tblStyle w:val="TableGrid"/>
        <w:tblW w:w="0" w:type="auto"/>
        <w:tblLayout w:type="fixed"/>
        <w:tblLook w:val="04A0" w:firstRow="1" w:lastRow="0" w:firstColumn="1" w:lastColumn="0" w:noHBand="0" w:noVBand="1"/>
      </w:tblPr>
      <w:tblGrid>
        <w:gridCol w:w="468"/>
        <w:gridCol w:w="630"/>
        <w:gridCol w:w="450"/>
        <w:gridCol w:w="8550"/>
        <w:gridCol w:w="3060"/>
      </w:tblGrid>
      <w:tr w:rsidR="00513E7C" w:rsidTr="003C628C">
        <w:trPr>
          <w:tblHeader/>
        </w:trPr>
        <w:tc>
          <w:tcPr>
            <w:tcW w:w="13158" w:type="dxa"/>
            <w:gridSpan w:val="5"/>
          </w:tcPr>
          <w:p w:rsidR="00513E7C" w:rsidRDefault="00513E7C" w:rsidP="00002E39">
            <w:pPr>
              <w:spacing w:before="120" w:after="120"/>
              <w:jc w:val="center"/>
            </w:pPr>
            <w:r>
              <w:t>Table 3 – Issues by Category</w:t>
            </w:r>
          </w:p>
        </w:tc>
      </w:tr>
      <w:tr w:rsidR="00513E7C" w:rsidTr="001625DD">
        <w:trPr>
          <w:tblHeader/>
        </w:trPr>
        <w:tc>
          <w:tcPr>
            <w:tcW w:w="1098" w:type="dxa"/>
            <w:gridSpan w:val="2"/>
          </w:tcPr>
          <w:p w:rsidR="00513E7C" w:rsidRDefault="00513E7C" w:rsidP="00002E39">
            <w:pPr>
              <w:spacing w:before="120" w:after="120"/>
            </w:pPr>
            <w:r>
              <w:t>Category</w:t>
            </w:r>
          </w:p>
        </w:tc>
        <w:tc>
          <w:tcPr>
            <w:tcW w:w="9000" w:type="dxa"/>
            <w:gridSpan w:val="2"/>
          </w:tcPr>
          <w:p w:rsidR="00513E7C" w:rsidRDefault="00513E7C" w:rsidP="00002E39">
            <w:pPr>
              <w:spacing w:before="120" w:after="120"/>
            </w:pPr>
            <w:r>
              <w:t>Issue</w:t>
            </w:r>
          </w:p>
        </w:tc>
        <w:tc>
          <w:tcPr>
            <w:tcW w:w="3060" w:type="dxa"/>
          </w:tcPr>
          <w:p w:rsidR="00513E7C" w:rsidRDefault="00513E7C" w:rsidP="00002E39">
            <w:pPr>
              <w:spacing w:before="120" w:after="120"/>
            </w:pPr>
            <w:r>
              <w:t>Presentation</w:t>
            </w:r>
          </w:p>
        </w:tc>
      </w:tr>
      <w:tr w:rsidR="00513E7C" w:rsidTr="003C628C">
        <w:tc>
          <w:tcPr>
            <w:tcW w:w="468" w:type="dxa"/>
          </w:tcPr>
          <w:p w:rsidR="00513E7C" w:rsidRDefault="00513E7C" w:rsidP="00002E39">
            <w:pPr>
              <w:spacing w:before="120" w:after="120"/>
              <w:jc w:val="center"/>
            </w:pPr>
            <w:r>
              <w:t>1</w:t>
            </w:r>
          </w:p>
        </w:tc>
        <w:tc>
          <w:tcPr>
            <w:tcW w:w="12690" w:type="dxa"/>
            <w:gridSpan w:val="4"/>
          </w:tcPr>
          <w:p w:rsidR="00513E7C" w:rsidRDefault="00513E7C" w:rsidP="00002E39">
            <w:pPr>
              <w:spacing w:before="120" w:after="120"/>
            </w:pPr>
            <w:r w:rsidRPr="0062117A">
              <w:t>No-notice Service Offerings</w:t>
            </w:r>
          </w:p>
        </w:tc>
      </w:tr>
      <w:tr w:rsidR="00513E7C" w:rsidTr="001625DD">
        <w:tc>
          <w:tcPr>
            <w:tcW w:w="468" w:type="dxa"/>
          </w:tcPr>
          <w:p w:rsidR="00513E7C" w:rsidRDefault="00513E7C" w:rsidP="00002E39">
            <w:pPr>
              <w:spacing w:before="120" w:after="120"/>
              <w:jc w:val="center"/>
            </w:pPr>
          </w:p>
        </w:tc>
        <w:tc>
          <w:tcPr>
            <w:tcW w:w="630" w:type="dxa"/>
          </w:tcPr>
          <w:p w:rsidR="00513E7C" w:rsidRPr="0062117A" w:rsidRDefault="00513E7C" w:rsidP="00002E39">
            <w:pPr>
              <w:spacing w:before="120" w:after="120"/>
            </w:pPr>
          </w:p>
        </w:tc>
        <w:tc>
          <w:tcPr>
            <w:tcW w:w="450" w:type="dxa"/>
          </w:tcPr>
          <w:p w:rsidR="00513E7C" w:rsidRDefault="00002E39" w:rsidP="00002E39">
            <w:pPr>
              <w:spacing w:before="120" w:after="120"/>
            </w:pPr>
            <w:r>
              <w:t>1</w:t>
            </w:r>
          </w:p>
        </w:tc>
        <w:tc>
          <w:tcPr>
            <w:tcW w:w="8550" w:type="dxa"/>
            <w:vAlign w:val="center"/>
          </w:tcPr>
          <w:p w:rsidR="00513E7C" w:rsidRDefault="00513E7C" w:rsidP="00002E39">
            <w:pPr>
              <w:spacing w:before="120" w:after="120"/>
            </w:pPr>
            <w:r>
              <w:t>No-notice needs for capacity to support anticipated usage of services purchased, which may or may not be scheduled (e.g., if no notice is not scheduled, such capacity can be made available to other shippers).  This issue is one way to address the potential for greater flexibility. Pipelines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tc>
        <w:tc>
          <w:tcPr>
            <w:tcW w:w="3060" w:type="dxa"/>
          </w:tcPr>
          <w:p w:rsidR="00513E7C" w:rsidRDefault="00002E39" w:rsidP="00002E39">
            <w:pPr>
              <w:spacing w:before="120" w:after="120"/>
            </w:pPr>
            <w:r>
              <w:t>NAESB WGQ Pipeline Segment</w:t>
            </w:r>
          </w:p>
        </w:tc>
      </w:tr>
      <w:tr w:rsidR="00513E7C" w:rsidTr="001625DD">
        <w:tc>
          <w:tcPr>
            <w:tcW w:w="468" w:type="dxa"/>
          </w:tcPr>
          <w:p w:rsidR="00513E7C" w:rsidRDefault="00513E7C" w:rsidP="00002E39">
            <w:pPr>
              <w:spacing w:before="120" w:after="120"/>
              <w:jc w:val="center"/>
            </w:pPr>
          </w:p>
        </w:tc>
        <w:tc>
          <w:tcPr>
            <w:tcW w:w="630" w:type="dxa"/>
          </w:tcPr>
          <w:p w:rsidR="00513E7C" w:rsidRPr="0062117A" w:rsidRDefault="00513E7C" w:rsidP="00002E39">
            <w:pPr>
              <w:spacing w:before="120" w:after="120"/>
            </w:pPr>
          </w:p>
        </w:tc>
        <w:tc>
          <w:tcPr>
            <w:tcW w:w="450" w:type="dxa"/>
          </w:tcPr>
          <w:p w:rsidR="00513E7C" w:rsidRDefault="00002E39" w:rsidP="00002E39">
            <w:pPr>
              <w:spacing w:before="120" w:after="120"/>
            </w:pPr>
            <w:r>
              <w:t>29</w:t>
            </w:r>
          </w:p>
        </w:tc>
        <w:tc>
          <w:tcPr>
            <w:tcW w:w="8550" w:type="dxa"/>
            <w:vAlign w:val="center"/>
          </w:tcPr>
          <w:p w:rsidR="00513E7C" w:rsidRDefault="00513E7C" w:rsidP="00002E39">
            <w:pPr>
              <w:spacing w:before="120" w:after="120"/>
            </w:pPr>
            <w:r>
              <w:t xml:space="preserve">Generators rely on flexibility for a number of operational issues on the electric side. (Electric systems may require very-short periods of gas use to address perturbations on the systems, and electric systems also need to address forecasting error for flexible power-plant operations.)  Interruptible services are needed because firm service doesn’t always provide for all of the flexibility attributes needed for reliability of power system operations.   There are no-notice services, but they are limited.  It is challenging to generators that flexibility elements of services are themselves interruptible. </w:t>
            </w:r>
          </w:p>
        </w:tc>
        <w:tc>
          <w:tcPr>
            <w:tcW w:w="3060" w:type="dxa"/>
          </w:tcPr>
          <w:p w:rsidR="00513E7C" w:rsidRDefault="00002E39" w:rsidP="00002E39">
            <w:pPr>
              <w:spacing w:before="120" w:after="120"/>
            </w:pPr>
            <w:r>
              <w:t>Aces Power</w:t>
            </w:r>
          </w:p>
        </w:tc>
      </w:tr>
      <w:tr w:rsidR="00513E7C" w:rsidTr="003C628C">
        <w:tc>
          <w:tcPr>
            <w:tcW w:w="468" w:type="dxa"/>
          </w:tcPr>
          <w:p w:rsidR="00513E7C" w:rsidRDefault="00513E7C" w:rsidP="00002E39">
            <w:pPr>
              <w:spacing w:before="120" w:after="120"/>
              <w:jc w:val="center"/>
            </w:pPr>
            <w:r>
              <w:t>2</w:t>
            </w:r>
          </w:p>
        </w:tc>
        <w:tc>
          <w:tcPr>
            <w:tcW w:w="12690" w:type="dxa"/>
            <w:gridSpan w:val="4"/>
          </w:tcPr>
          <w:p w:rsidR="00513E7C" w:rsidRDefault="00513E7C" w:rsidP="00002E39">
            <w:pPr>
              <w:spacing w:before="120" w:after="120"/>
            </w:pPr>
            <w:r w:rsidRPr="0062117A">
              <w:t>Non-ratable Takes</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2</w:t>
            </w:r>
          </w:p>
        </w:tc>
        <w:tc>
          <w:tcPr>
            <w:tcW w:w="8550" w:type="dxa"/>
          </w:tcPr>
          <w:p w:rsidR="00002E39" w:rsidRDefault="00002E39" w:rsidP="00002E39">
            <w:pPr>
              <w:spacing w:before="120" w:after="120"/>
            </w:pPr>
            <w:r>
              <w:t>Non-ratable flexibility, both required to support services purchased and on a best efforts basis. Pipelines  that offer no-notice service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23</w:t>
            </w:r>
          </w:p>
        </w:tc>
        <w:tc>
          <w:tcPr>
            <w:tcW w:w="8550" w:type="dxa"/>
          </w:tcPr>
          <w:p w:rsidR="00002E39" w:rsidRDefault="00002E39" w:rsidP="00002E39">
            <w:pPr>
              <w:spacing w:before="120" w:after="120"/>
            </w:pPr>
            <w:r>
              <w:t>For certain service types, the ability to provide a more granular (e.g., 24 hour) take pattern could alleviate/reduce reliance on intraday to achieve that take pattern.</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40</w:t>
            </w:r>
          </w:p>
        </w:tc>
        <w:tc>
          <w:tcPr>
            <w:tcW w:w="8550" w:type="dxa"/>
          </w:tcPr>
          <w:p w:rsidR="00002E39" w:rsidRDefault="00002E39" w:rsidP="00002E39">
            <w:pPr>
              <w:spacing w:before="120" w:after="120"/>
            </w:pPr>
            <w:r>
              <w:t>Some parties seek more opportunities to change the shape of flows over the course of a gas day so that the actual flows may differ from the 1/24th per hour rate.  For example: use more nomination cycles and schedules to achieve non-ratable takes, instead of /in addition to using other tools like no-notice and hourly nomination services.</w:t>
            </w:r>
          </w:p>
        </w:tc>
        <w:tc>
          <w:tcPr>
            <w:tcW w:w="3060" w:type="dxa"/>
          </w:tcPr>
          <w:p w:rsidR="00002E39" w:rsidRDefault="00002E39" w:rsidP="00002E39">
            <w:pPr>
              <w:spacing w:before="120" w:after="120"/>
            </w:pPr>
            <w:r>
              <w:t>Skipping Stone</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42</w:t>
            </w:r>
          </w:p>
        </w:tc>
        <w:tc>
          <w:tcPr>
            <w:tcW w:w="8550" w:type="dxa"/>
          </w:tcPr>
          <w:p w:rsidR="00002E39" w:rsidRDefault="00002E39" w:rsidP="00002E39">
            <w:pPr>
              <w:spacing w:before="120" w:after="120"/>
            </w:pPr>
            <w:r>
              <w:t xml:space="preserve">A field test for best-efforts scheduling may be able to give us information as to demand and utility of services supporting non-ratable service.  </w:t>
            </w:r>
          </w:p>
        </w:tc>
        <w:tc>
          <w:tcPr>
            <w:tcW w:w="3060" w:type="dxa"/>
          </w:tcPr>
          <w:p w:rsidR="00002E39" w:rsidRDefault="00002E39" w:rsidP="00002E39">
            <w:pPr>
              <w:spacing w:before="120" w:after="120"/>
            </w:pPr>
            <w:r>
              <w:t>Skipping Stone</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46</w:t>
            </w:r>
          </w:p>
        </w:tc>
        <w:tc>
          <w:tcPr>
            <w:tcW w:w="8550" w:type="dxa"/>
          </w:tcPr>
          <w:p w:rsidR="00002E39" w:rsidRDefault="00002E39" w:rsidP="00002E39">
            <w:pPr>
              <w:spacing w:before="120" w:after="120"/>
            </w:pPr>
            <w:r>
              <w:t>Best-efforts scheduling could also be applied to day-ahead shaped flows.</w:t>
            </w:r>
          </w:p>
        </w:tc>
        <w:tc>
          <w:tcPr>
            <w:tcW w:w="3060" w:type="dxa"/>
          </w:tcPr>
          <w:p w:rsidR="00002E39" w:rsidRDefault="00002E39" w:rsidP="00002E39">
            <w:pPr>
              <w:spacing w:before="120" w:after="120"/>
            </w:pPr>
            <w:r>
              <w:t>Skipping Stone</w:t>
            </w:r>
          </w:p>
        </w:tc>
      </w:tr>
      <w:tr w:rsidR="00513E7C" w:rsidTr="003C628C">
        <w:tc>
          <w:tcPr>
            <w:tcW w:w="468" w:type="dxa"/>
          </w:tcPr>
          <w:p w:rsidR="00513E7C" w:rsidRDefault="00513E7C" w:rsidP="00002E39">
            <w:pPr>
              <w:spacing w:before="120" w:after="120"/>
            </w:pPr>
            <w:r>
              <w:t>3</w:t>
            </w:r>
          </w:p>
        </w:tc>
        <w:tc>
          <w:tcPr>
            <w:tcW w:w="12690" w:type="dxa"/>
            <w:gridSpan w:val="4"/>
          </w:tcPr>
          <w:p w:rsidR="00513E7C" w:rsidRDefault="00513E7C" w:rsidP="00002E39">
            <w:pPr>
              <w:spacing w:before="120" w:after="120"/>
            </w:pPr>
            <w:r w:rsidRPr="0062117A">
              <w:t>Observations</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3</w:t>
            </w:r>
          </w:p>
        </w:tc>
        <w:tc>
          <w:tcPr>
            <w:tcW w:w="8550" w:type="dxa"/>
          </w:tcPr>
          <w:p w:rsidR="00002E39" w:rsidRDefault="00002E39" w:rsidP="00002E39">
            <w:pPr>
              <w:spacing w:before="120" w:after="120"/>
            </w:pPr>
            <w:r>
              <w:t>Performance of receipt/delivery locations – off-rate (daily/hourly)</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4</w:t>
            </w:r>
          </w:p>
        </w:tc>
        <w:tc>
          <w:tcPr>
            <w:tcW w:w="8550" w:type="dxa"/>
          </w:tcPr>
          <w:p w:rsidR="00002E39" w:rsidRDefault="00002E39" w:rsidP="00002E39">
            <w:pPr>
              <w:spacing w:before="120" w:after="120"/>
            </w:pPr>
            <w:r>
              <w:t>Redirection of net scheduled flows resulting from nominations can occur through other portions of the pipeline</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5</w:t>
            </w:r>
          </w:p>
        </w:tc>
        <w:tc>
          <w:tcPr>
            <w:tcW w:w="8550" w:type="dxa"/>
          </w:tcPr>
          <w:p w:rsidR="00002E39" w:rsidRDefault="00002E39" w:rsidP="00002E39">
            <w:pPr>
              <w:spacing w:before="120" w:after="120"/>
            </w:pPr>
            <w:r>
              <w:t>Interdependent capacity changes due to location of receipts/deliveries</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6</w:t>
            </w:r>
          </w:p>
        </w:tc>
        <w:tc>
          <w:tcPr>
            <w:tcW w:w="8550" w:type="dxa"/>
          </w:tcPr>
          <w:p w:rsidR="00002E39" w:rsidRDefault="00002E39" w:rsidP="00002E39">
            <w:pPr>
              <w:spacing w:before="120" w:after="120"/>
            </w:pPr>
            <w:r>
              <w:t>Impact of weather on supply/demand and compressor efficiencies</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7</w:t>
            </w:r>
          </w:p>
        </w:tc>
        <w:tc>
          <w:tcPr>
            <w:tcW w:w="8550" w:type="dxa"/>
          </w:tcPr>
          <w:p w:rsidR="00002E39" w:rsidRDefault="00002E39" w:rsidP="00002E39">
            <w:pPr>
              <w:spacing w:before="120" w:after="120"/>
            </w:pPr>
            <w:r>
              <w:t>Pipeline line pack, pipeline storage, and third party storage(including LDC storage) levels/location in relation to supply/demand</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8</w:t>
            </w:r>
          </w:p>
        </w:tc>
        <w:tc>
          <w:tcPr>
            <w:tcW w:w="8550" w:type="dxa"/>
          </w:tcPr>
          <w:p w:rsidR="00002E39" w:rsidRDefault="00002E39" w:rsidP="00002E39">
            <w:pPr>
              <w:spacing w:before="120" w:after="120"/>
            </w:pPr>
            <w:r>
              <w:t>Gas quality fluctuation – heat content, etc.</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9</w:t>
            </w:r>
          </w:p>
        </w:tc>
        <w:tc>
          <w:tcPr>
            <w:tcW w:w="8550" w:type="dxa"/>
          </w:tcPr>
          <w:p w:rsidR="00002E39" w:rsidRDefault="00002E39" w:rsidP="00002E39">
            <w:pPr>
              <w:spacing w:before="120" w:after="120"/>
            </w:pPr>
            <w:r>
              <w:t>Backhaul/displacement reliability.  Pipelines evaluate historic patterns of backhaul/displacement transactions to determine whether such transactions can be relied upon during evaluation of the following scheduling cycles. (E.g.: Can the backhaul happen? Can you keep relying on it and does it create space for forward haul?)</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10</w:t>
            </w:r>
          </w:p>
        </w:tc>
        <w:tc>
          <w:tcPr>
            <w:tcW w:w="8550" w:type="dxa"/>
          </w:tcPr>
          <w:p w:rsidR="00002E39" w:rsidRDefault="00002E39" w:rsidP="00002E39">
            <w:pPr>
              <w:spacing w:before="120" w:after="120"/>
            </w:pPr>
            <w:r>
              <w:t>Maintenance activities</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12</w:t>
            </w:r>
          </w:p>
        </w:tc>
        <w:tc>
          <w:tcPr>
            <w:tcW w:w="8550" w:type="dxa"/>
          </w:tcPr>
          <w:p w:rsidR="00002E39" w:rsidRDefault="00002E39" w:rsidP="00002E39">
            <w:pPr>
              <w:spacing w:before="120" w:after="120"/>
            </w:pPr>
            <w:r>
              <w:t>Order of applying reductions (optimization) – location v. segments, order of scheduling segments, timing of the balancing</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13</w:t>
            </w:r>
          </w:p>
        </w:tc>
        <w:tc>
          <w:tcPr>
            <w:tcW w:w="8550" w:type="dxa"/>
          </w:tcPr>
          <w:p w:rsidR="00002E39" w:rsidRDefault="00002E39" w:rsidP="00002E39">
            <w:pPr>
              <w:spacing w:before="120" w:after="120"/>
            </w:pPr>
            <w:r>
              <w:t xml:space="preserve"> Identification of opportunities for imbalance management</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14</w:t>
            </w:r>
          </w:p>
        </w:tc>
        <w:tc>
          <w:tcPr>
            <w:tcW w:w="8550" w:type="dxa"/>
          </w:tcPr>
          <w:p w:rsidR="00002E39" w:rsidRDefault="00002E39" w:rsidP="00002E39">
            <w:pPr>
              <w:spacing w:before="120" w:after="120"/>
            </w:pPr>
            <w:r>
              <w:t>Balancing of pools</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15</w:t>
            </w:r>
          </w:p>
        </w:tc>
        <w:tc>
          <w:tcPr>
            <w:tcW w:w="8550" w:type="dxa"/>
          </w:tcPr>
          <w:p w:rsidR="00002E39" w:rsidRDefault="00002E39" w:rsidP="00002E39">
            <w:pPr>
              <w:spacing w:before="120" w:after="120"/>
            </w:pPr>
            <w:r>
              <w:t>Flexibility of EPSQ, its level and when it should apply</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24</w:t>
            </w:r>
          </w:p>
        </w:tc>
        <w:tc>
          <w:tcPr>
            <w:tcW w:w="8550" w:type="dxa"/>
          </w:tcPr>
          <w:p w:rsidR="00002E39" w:rsidRDefault="00002E39" w:rsidP="00002E39">
            <w:pPr>
              <w:spacing w:before="120" w:after="120"/>
            </w:pPr>
            <w:r>
              <w:t>Operational risk assessment.  Some grid operators take into consideration impacts of gas scheduling and nomination on the electric grid through routine risk assessments.</w:t>
            </w:r>
          </w:p>
        </w:tc>
        <w:tc>
          <w:tcPr>
            <w:tcW w:w="3060" w:type="dxa"/>
          </w:tcPr>
          <w:p w:rsidR="00002E39" w:rsidRDefault="00002E39" w:rsidP="00002E39">
            <w:pPr>
              <w:spacing w:before="120" w:after="120"/>
            </w:pPr>
            <w:r>
              <w:t>PJM</w:t>
            </w:r>
          </w:p>
        </w:tc>
      </w:tr>
      <w:tr w:rsidR="00513E7C" w:rsidTr="003C628C">
        <w:tc>
          <w:tcPr>
            <w:tcW w:w="468" w:type="dxa"/>
          </w:tcPr>
          <w:p w:rsidR="00513E7C" w:rsidRDefault="00513E7C" w:rsidP="00002E39">
            <w:pPr>
              <w:spacing w:before="120" w:after="120"/>
              <w:jc w:val="center"/>
            </w:pPr>
            <w:r>
              <w:t>4</w:t>
            </w:r>
          </w:p>
        </w:tc>
        <w:tc>
          <w:tcPr>
            <w:tcW w:w="12690" w:type="dxa"/>
            <w:gridSpan w:val="4"/>
          </w:tcPr>
          <w:p w:rsidR="00513E7C" w:rsidRDefault="00513E7C" w:rsidP="00002E39">
            <w:pPr>
              <w:spacing w:before="120" w:after="120"/>
            </w:pPr>
            <w:r w:rsidRPr="0062117A">
              <w:t>Support for Multiple Versions of Standards</w:t>
            </w:r>
          </w:p>
        </w:tc>
      </w:tr>
      <w:tr w:rsidR="00513E7C" w:rsidTr="001625DD">
        <w:tc>
          <w:tcPr>
            <w:tcW w:w="468" w:type="dxa"/>
          </w:tcPr>
          <w:p w:rsidR="00513E7C" w:rsidRDefault="00513E7C" w:rsidP="00002E39">
            <w:pPr>
              <w:spacing w:before="120" w:after="120"/>
              <w:jc w:val="center"/>
            </w:pPr>
          </w:p>
        </w:tc>
        <w:tc>
          <w:tcPr>
            <w:tcW w:w="630" w:type="dxa"/>
          </w:tcPr>
          <w:p w:rsidR="00513E7C" w:rsidRPr="0062117A" w:rsidRDefault="00513E7C" w:rsidP="00002E39">
            <w:pPr>
              <w:spacing w:before="120" w:after="120"/>
            </w:pPr>
          </w:p>
        </w:tc>
        <w:tc>
          <w:tcPr>
            <w:tcW w:w="450" w:type="dxa"/>
          </w:tcPr>
          <w:p w:rsidR="00513E7C" w:rsidRDefault="00002E39" w:rsidP="00002E39">
            <w:pPr>
              <w:spacing w:before="120" w:after="120"/>
            </w:pPr>
            <w:r>
              <w:t>16</w:t>
            </w:r>
          </w:p>
        </w:tc>
        <w:tc>
          <w:tcPr>
            <w:tcW w:w="8550" w:type="dxa"/>
          </w:tcPr>
          <w:p w:rsidR="00513E7C" w:rsidRDefault="00002E39" w:rsidP="00002E39">
            <w:pPr>
              <w:spacing w:before="120" w:after="120"/>
            </w:pPr>
            <w:r>
              <w:t>Application of various NAESB versions and support provided by pipelines for several versions</w:t>
            </w:r>
          </w:p>
        </w:tc>
        <w:tc>
          <w:tcPr>
            <w:tcW w:w="3060" w:type="dxa"/>
          </w:tcPr>
          <w:p w:rsidR="00513E7C" w:rsidRDefault="00002E39" w:rsidP="00002E39">
            <w:pPr>
              <w:spacing w:before="120" w:after="120"/>
            </w:pPr>
            <w:r>
              <w:t>NAESB WGQ Pipeline Segment</w:t>
            </w:r>
          </w:p>
        </w:tc>
      </w:tr>
      <w:tr w:rsidR="00513E7C" w:rsidTr="003C628C">
        <w:tc>
          <w:tcPr>
            <w:tcW w:w="468" w:type="dxa"/>
          </w:tcPr>
          <w:p w:rsidR="00513E7C" w:rsidRDefault="00513E7C" w:rsidP="00002E39">
            <w:pPr>
              <w:spacing w:before="120" w:after="120"/>
              <w:jc w:val="center"/>
            </w:pPr>
            <w:r>
              <w:t>5</w:t>
            </w:r>
          </w:p>
        </w:tc>
        <w:tc>
          <w:tcPr>
            <w:tcW w:w="12690" w:type="dxa"/>
            <w:gridSpan w:val="4"/>
          </w:tcPr>
          <w:p w:rsidR="00513E7C" w:rsidRDefault="00513E7C" w:rsidP="00002E39">
            <w:pPr>
              <w:spacing w:before="120" w:after="120"/>
            </w:pPr>
            <w:r w:rsidRPr="0062117A">
              <w:t>Levels of Confirmations</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17</w:t>
            </w:r>
          </w:p>
        </w:tc>
        <w:tc>
          <w:tcPr>
            <w:tcW w:w="8550" w:type="dxa"/>
          </w:tcPr>
          <w:p w:rsidR="00881461" w:rsidRDefault="00881461" w:rsidP="00881461">
            <w:pPr>
              <w:spacing w:before="120" w:after="120"/>
            </w:pPr>
            <w:r>
              <w:t>Levels of confirmation</w:t>
            </w:r>
          </w:p>
        </w:tc>
        <w:tc>
          <w:tcPr>
            <w:tcW w:w="3060" w:type="dxa"/>
          </w:tcPr>
          <w:p w:rsidR="00881461" w:rsidRDefault="00881461" w:rsidP="00881461">
            <w:pPr>
              <w:spacing w:before="120" w:after="120"/>
            </w:pPr>
            <w:r>
              <w:t>NAESB WGQ Pipeline Segment</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19</w:t>
            </w:r>
          </w:p>
        </w:tc>
        <w:tc>
          <w:tcPr>
            <w:tcW w:w="8550" w:type="dxa"/>
          </w:tcPr>
          <w:p w:rsidR="00881461" w:rsidRDefault="00881461" w:rsidP="00881461">
            <w:pPr>
              <w:spacing w:before="120" w:after="120"/>
            </w:pPr>
            <w:r>
              <w:t>Manual confirmation processes</w:t>
            </w:r>
          </w:p>
        </w:tc>
        <w:tc>
          <w:tcPr>
            <w:tcW w:w="3060" w:type="dxa"/>
          </w:tcPr>
          <w:p w:rsidR="00881461" w:rsidRDefault="00881461" w:rsidP="00881461">
            <w:pPr>
              <w:spacing w:before="120" w:after="120"/>
            </w:pPr>
            <w:r>
              <w:t>NAESB WGQ Pipeline Segment</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33</w:t>
            </w:r>
          </w:p>
        </w:tc>
        <w:tc>
          <w:tcPr>
            <w:tcW w:w="8550" w:type="dxa"/>
          </w:tcPr>
          <w:p w:rsidR="00881461" w:rsidRDefault="00881461" w:rsidP="00881461">
            <w:pPr>
              <w:spacing w:before="120" w:after="120"/>
            </w:pPr>
            <w:r>
              <w:t>Use of multiple confirmation methods in addition to traditional confirmations for intraday nominations. There is currently a</w:t>
            </w:r>
            <w:r>
              <w:rPr>
                <w:strike/>
              </w:rPr>
              <w:t>s</w:t>
            </w:r>
            <w:r>
              <w:t xml:space="preserve"> good definition of Confirmation by Exception (CBE) in NAESB standards.  CBE however, may not be available everywhere but there may also be additional confirmation methods that could benefit from standardization.</w:t>
            </w:r>
          </w:p>
        </w:tc>
        <w:tc>
          <w:tcPr>
            <w:tcW w:w="3060" w:type="dxa"/>
          </w:tcPr>
          <w:p w:rsidR="00881461" w:rsidRDefault="00881461" w:rsidP="00881461">
            <w:pPr>
              <w:spacing w:before="120" w:after="120"/>
            </w:pPr>
            <w:r>
              <w:t>Fidelity National Information Services (FIS - formerly SunGard)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34</w:t>
            </w:r>
          </w:p>
        </w:tc>
        <w:tc>
          <w:tcPr>
            <w:tcW w:w="8550" w:type="dxa"/>
          </w:tcPr>
          <w:p w:rsidR="00881461" w:rsidRDefault="00881461" w:rsidP="00881461">
            <w:pPr>
              <w:spacing w:before="120" w:after="120"/>
            </w:pPr>
            <w:r>
              <w:t xml:space="preserve">There are non-bumping best-efforts nomination opportunities with streamlined confirmations as an intra-cycle nomination subject to operating conditions of the pipeline.  True-up processes at the end of the gas day are examples of best efforts. This may be necessary but not sufficient to effectuate a transaction that can be scheduled. </w:t>
            </w:r>
          </w:p>
        </w:tc>
        <w:tc>
          <w:tcPr>
            <w:tcW w:w="3060" w:type="dxa"/>
          </w:tcPr>
          <w:p w:rsidR="00881461" w:rsidRDefault="00881461" w:rsidP="00881461">
            <w:pPr>
              <w:spacing w:before="120" w:after="120"/>
            </w:pPr>
            <w:r>
              <w:t>Fidelity National Information Services (FIS - formerly SunGard)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35</w:t>
            </w:r>
          </w:p>
        </w:tc>
        <w:tc>
          <w:tcPr>
            <w:tcW w:w="8550" w:type="dxa"/>
          </w:tcPr>
          <w:p w:rsidR="00881461" w:rsidRDefault="00881461" w:rsidP="00881461">
            <w:pPr>
              <w:spacing w:before="120" w:after="120"/>
            </w:pPr>
            <w:r>
              <w:t xml:space="preserve">Lining up the processes and timeframes that occur within the confirmations/scheduling window to gain efficiency of data exchange. </w:t>
            </w:r>
          </w:p>
        </w:tc>
        <w:tc>
          <w:tcPr>
            <w:tcW w:w="3060" w:type="dxa"/>
          </w:tcPr>
          <w:p w:rsidR="00881461" w:rsidRDefault="00881461" w:rsidP="00881461">
            <w:pPr>
              <w:spacing w:before="120" w:after="120"/>
            </w:pPr>
            <w:r>
              <w:t>Fidelity National Information Services (FIS - formerly SunGard)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36</w:t>
            </w:r>
          </w:p>
        </w:tc>
        <w:tc>
          <w:tcPr>
            <w:tcW w:w="8550" w:type="dxa"/>
          </w:tcPr>
          <w:p w:rsidR="00881461" w:rsidRDefault="00881461" w:rsidP="00881461">
            <w:pPr>
              <w:spacing w:before="120" w:after="120"/>
            </w:pPr>
            <w: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tc>
        <w:tc>
          <w:tcPr>
            <w:tcW w:w="3060" w:type="dxa"/>
          </w:tcPr>
          <w:p w:rsidR="00881461" w:rsidRDefault="00881461" w:rsidP="00881461">
            <w:pPr>
              <w:spacing w:before="120" w:after="120"/>
            </w:pPr>
            <w:r>
              <w:t>Fidelity National Information Services (FIS - formerly SunGard)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37</w:t>
            </w:r>
          </w:p>
        </w:tc>
        <w:tc>
          <w:tcPr>
            <w:tcW w:w="8550" w:type="dxa"/>
          </w:tcPr>
          <w:p w:rsidR="00881461" w:rsidRDefault="00881461" w:rsidP="00881461">
            <w:pPr>
              <w:spacing w:before="120" w:after="120"/>
            </w:pPr>
            <w:r>
              <w:t xml:space="preserve">Investigate the need to define the number of iterations to support confirmation, including on a best-effort basis.  Defined iterations needed to support confirmations, including best efforts. Taking a look at these issues does not necessarily presume there is a magic number of iterations, in part to changing market conditions and because of respecting the goal of maximizing flow.  </w:t>
            </w:r>
          </w:p>
        </w:tc>
        <w:tc>
          <w:tcPr>
            <w:tcW w:w="3060" w:type="dxa"/>
          </w:tcPr>
          <w:p w:rsidR="00881461" w:rsidRDefault="00881461" w:rsidP="00881461">
            <w:pPr>
              <w:spacing w:before="120" w:after="120"/>
            </w:pPr>
            <w:r>
              <w:t>Fidelity National Information Services (FIS - formerly SunGard)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38</w:t>
            </w:r>
          </w:p>
        </w:tc>
        <w:tc>
          <w:tcPr>
            <w:tcW w:w="8550" w:type="dxa"/>
          </w:tcPr>
          <w:p w:rsidR="00881461" w:rsidRDefault="00881461" w:rsidP="00881461">
            <w:pPr>
              <w:spacing w:before="120" w:after="120"/>
            </w:pPr>
            <w: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3060" w:type="dxa"/>
          </w:tcPr>
          <w:p w:rsidR="00881461" w:rsidRDefault="00881461" w:rsidP="00881461">
            <w:pPr>
              <w:spacing w:before="120" w:after="120"/>
            </w:pPr>
            <w:r>
              <w:t>Fidelity National Information Services (FIS - formerly SunGard)</w:t>
            </w:r>
          </w:p>
        </w:tc>
      </w:tr>
      <w:tr w:rsidR="00881461" w:rsidTr="001625DD">
        <w:tc>
          <w:tcPr>
            <w:tcW w:w="468" w:type="dxa"/>
          </w:tcPr>
          <w:p w:rsidR="00881461" w:rsidRDefault="00881461" w:rsidP="003E2F1B">
            <w:pPr>
              <w:keepNext/>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39</w:t>
            </w:r>
          </w:p>
        </w:tc>
        <w:tc>
          <w:tcPr>
            <w:tcW w:w="8550" w:type="dxa"/>
          </w:tcPr>
          <w:p w:rsidR="00881461" w:rsidRDefault="00881461" w:rsidP="00881461">
            <w:pPr>
              <w:spacing w:before="120" w:after="120"/>
            </w:pPr>
            <w:r>
              <w:t>Addressing the communication of characteristics of the information in the confirmation process could require a fundamental redesign, with potential changes to make confirmations more efficient. (Reasonable) commercial confidentiality issues must be respected.  Note that some pipeline practices already may include this kind of information in the confirmation process.</w:t>
            </w:r>
          </w:p>
        </w:tc>
        <w:tc>
          <w:tcPr>
            <w:tcW w:w="3060" w:type="dxa"/>
          </w:tcPr>
          <w:p w:rsidR="00881461" w:rsidRDefault="00881461" w:rsidP="00881461">
            <w:pPr>
              <w:spacing w:before="120" w:after="120"/>
            </w:pPr>
            <w:r>
              <w:t>Fidelity National Information Services (FIS - formerly SunGard)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56</w:t>
            </w:r>
          </w:p>
        </w:tc>
        <w:tc>
          <w:tcPr>
            <w:tcW w:w="8550" w:type="dxa"/>
          </w:tcPr>
          <w:p w:rsidR="00881461" w:rsidRDefault="00881461" w:rsidP="00881461">
            <w:pPr>
              <w:spacing w:before="120" w:after="120"/>
            </w:pPr>
            <w:r>
              <w:t>Compress confirmations by expediting verification of nominations. Using simulation to recreate “The Art of Scheduling” tools of software models could support more efficient and effective decision making.</w:t>
            </w:r>
          </w:p>
        </w:tc>
        <w:tc>
          <w:tcPr>
            <w:tcW w:w="3060" w:type="dxa"/>
          </w:tcPr>
          <w:p w:rsidR="00881461" w:rsidRDefault="00881461" w:rsidP="00881461">
            <w:pPr>
              <w:spacing w:before="120" w:after="120"/>
            </w:pPr>
            <w:r>
              <w:t>Coalition of Energy Technology Firms - EnCORE Partners, RBN Energy for support</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57</w:t>
            </w:r>
          </w:p>
        </w:tc>
        <w:tc>
          <w:tcPr>
            <w:tcW w:w="8550" w:type="dxa"/>
          </w:tcPr>
          <w:p w:rsidR="00881461" w:rsidRDefault="00881461" w:rsidP="00881461">
            <w:pPr>
              <w:spacing w:before="120" w:after="120"/>
            </w:pPr>
            <w:r>
              <w:t xml:space="preserve">Could eTag be applied to the gas industry to mimic the significant number </w:t>
            </w:r>
            <w:r w:rsidR="000A48FF">
              <w:t>of transactions</w:t>
            </w:r>
            <w:r>
              <w:t xml:space="preserve"> processed on the power grid that use eTag in short processing windows, and if so, can it result in a streamlined scheduling process for natural gas?</w:t>
            </w:r>
          </w:p>
        </w:tc>
        <w:tc>
          <w:tcPr>
            <w:tcW w:w="3060" w:type="dxa"/>
          </w:tcPr>
          <w:p w:rsidR="00881461" w:rsidRDefault="00881461" w:rsidP="00881461">
            <w:pPr>
              <w:spacing w:before="120" w:after="120"/>
            </w:pPr>
            <w:r>
              <w:t>OATI, Inc.</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58</w:t>
            </w:r>
          </w:p>
        </w:tc>
        <w:tc>
          <w:tcPr>
            <w:tcW w:w="8550" w:type="dxa"/>
          </w:tcPr>
          <w:p w:rsidR="00881461" w:rsidRDefault="00881461" w:rsidP="00881461">
            <w:pPr>
              <w:spacing w:before="120" w:after="120"/>
            </w:pPr>
            <w:r>
              <w:t>Are there “lessons learned” in the electric industry that could benefit the gas industry as it considers the feasibility of modifying the scheduling process to make it more efficient?</w:t>
            </w:r>
          </w:p>
        </w:tc>
        <w:tc>
          <w:tcPr>
            <w:tcW w:w="3060" w:type="dxa"/>
          </w:tcPr>
          <w:p w:rsidR="00881461" w:rsidRDefault="00881461" w:rsidP="00881461">
            <w:pPr>
              <w:spacing w:before="120" w:after="120"/>
            </w:pPr>
            <w:r>
              <w:t>OATI, Inc.</w:t>
            </w:r>
          </w:p>
        </w:tc>
      </w:tr>
      <w:tr w:rsidR="00513E7C" w:rsidTr="003C628C">
        <w:tc>
          <w:tcPr>
            <w:tcW w:w="468" w:type="dxa"/>
          </w:tcPr>
          <w:p w:rsidR="00513E7C" w:rsidRDefault="00513E7C" w:rsidP="00002E39">
            <w:pPr>
              <w:spacing w:before="120" w:after="120"/>
              <w:jc w:val="center"/>
            </w:pPr>
            <w:r>
              <w:t>6</w:t>
            </w:r>
          </w:p>
        </w:tc>
        <w:tc>
          <w:tcPr>
            <w:tcW w:w="12690" w:type="dxa"/>
            <w:gridSpan w:val="4"/>
          </w:tcPr>
          <w:p w:rsidR="00513E7C" w:rsidRDefault="00513E7C" w:rsidP="00002E39">
            <w:pPr>
              <w:spacing w:before="120" w:after="120"/>
            </w:pPr>
            <w:r w:rsidRPr="0062117A">
              <w:t>Additional Nomination Cycles</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18</w:t>
            </w:r>
          </w:p>
        </w:tc>
        <w:tc>
          <w:tcPr>
            <w:tcW w:w="8550" w:type="dxa"/>
          </w:tcPr>
          <w:p w:rsidR="00881461" w:rsidRDefault="00881461" w:rsidP="00881461">
            <w:pPr>
              <w:spacing w:before="120" w:after="120"/>
            </w:pPr>
            <w:r>
              <w:t>Nomination errors requiring manual intervention for mismatches during the confirmation process</w:t>
            </w:r>
          </w:p>
        </w:tc>
        <w:tc>
          <w:tcPr>
            <w:tcW w:w="3060" w:type="dxa"/>
          </w:tcPr>
          <w:p w:rsidR="00881461" w:rsidRDefault="00881461" w:rsidP="00881461">
            <w:pPr>
              <w:spacing w:before="120" w:after="120"/>
            </w:pPr>
            <w:r>
              <w:t>NAESB WGQ Pipeline Segment</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28</w:t>
            </w:r>
          </w:p>
        </w:tc>
        <w:tc>
          <w:tcPr>
            <w:tcW w:w="8550" w:type="dxa"/>
          </w:tcPr>
          <w:p w:rsidR="00881461" w:rsidRDefault="00881461" w:rsidP="00881461">
            <w:pPr>
              <w:spacing w:before="120" w:after="120"/>
            </w:pPr>
            <w:r>
              <w:t>Tight execution windows for gas markets</w:t>
            </w:r>
          </w:p>
        </w:tc>
        <w:tc>
          <w:tcPr>
            <w:tcW w:w="3060" w:type="dxa"/>
          </w:tcPr>
          <w:p w:rsidR="00881461" w:rsidRDefault="00881461" w:rsidP="00881461">
            <w:pPr>
              <w:spacing w:before="120" w:after="120"/>
            </w:pPr>
            <w:r>
              <w:t>ACES Power</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30</w:t>
            </w:r>
          </w:p>
        </w:tc>
        <w:tc>
          <w:tcPr>
            <w:tcW w:w="8550" w:type="dxa"/>
          </w:tcPr>
          <w:p w:rsidR="00881461" w:rsidRDefault="00881461" w:rsidP="00881461">
            <w:pPr>
              <w:spacing w:before="120" w:after="120"/>
            </w:pPr>
            <w:r>
              <w:t xml:space="preserve">Decreasing operational flexibility provided by IT service when providing the possibility of more frequent opportunities for FT and IT through additional nominations/scheduling cycles.  The status quo has certain rights and benefits that have been baked into expectations about the amount of flexibility that is available under different services.  Changes ahead in either the gas or electric industries may disrupt the flexibility that has worked in the past and may not in the future. </w:t>
            </w:r>
          </w:p>
        </w:tc>
        <w:tc>
          <w:tcPr>
            <w:tcW w:w="3060" w:type="dxa"/>
          </w:tcPr>
          <w:p w:rsidR="00881461" w:rsidRDefault="00881461" w:rsidP="00881461">
            <w:pPr>
              <w:spacing w:before="120" w:after="120"/>
            </w:pPr>
            <w:r>
              <w:t>ACES Power</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31</w:t>
            </w:r>
          </w:p>
        </w:tc>
        <w:tc>
          <w:tcPr>
            <w:tcW w:w="8550" w:type="dxa"/>
          </w:tcPr>
          <w:p w:rsidR="00881461" w:rsidRDefault="00881461" w:rsidP="00881461">
            <w:pPr>
              <w:spacing w:before="120" w:after="120"/>
            </w:pPr>
            <w:r>
              <w:t>Coordination/timing challenges</w:t>
            </w:r>
          </w:p>
        </w:tc>
        <w:tc>
          <w:tcPr>
            <w:tcW w:w="3060" w:type="dxa"/>
          </w:tcPr>
          <w:p w:rsidR="00881461" w:rsidRDefault="00881461" w:rsidP="00881461">
            <w:pPr>
              <w:spacing w:before="120" w:after="120"/>
            </w:pPr>
            <w:r>
              <w:t>ACES Power</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32</w:t>
            </w:r>
          </w:p>
        </w:tc>
        <w:tc>
          <w:tcPr>
            <w:tcW w:w="8550" w:type="dxa"/>
          </w:tcPr>
          <w:p w:rsidR="00881461" w:rsidRDefault="00881461" w:rsidP="00881461">
            <w:pPr>
              <w:spacing w:before="120" w:after="120"/>
            </w:pPr>
            <w:r>
              <w:t>Forcing pipelines to process quicker may decrease operational flexibility because there may be less time to determine if interruptible transportation is available.  Shorter timeframes may inadvertently introduce too much rigidity.</w:t>
            </w:r>
          </w:p>
        </w:tc>
        <w:tc>
          <w:tcPr>
            <w:tcW w:w="3060" w:type="dxa"/>
          </w:tcPr>
          <w:p w:rsidR="00881461" w:rsidRDefault="00881461" w:rsidP="00881461">
            <w:pPr>
              <w:spacing w:before="120" w:after="120"/>
            </w:pPr>
            <w:r>
              <w:t>ACES Power</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34</w:t>
            </w:r>
          </w:p>
        </w:tc>
        <w:tc>
          <w:tcPr>
            <w:tcW w:w="8550" w:type="dxa"/>
          </w:tcPr>
          <w:p w:rsidR="00881461" w:rsidRDefault="00881461" w:rsidP="00881461">
            <w:pPr>
              <w:spacing w:before="120" w:after="120"/>
            </w:pPr>
            <w:r>
              <w:t xml:space="preserve">Non-bumping best-efforts nomination opportunities with streamlined confirmations as an intra-cycle nomination subject to operating conditions of the pipeline.  True up processes at the end of the gas day are examples of best efforts. This may be necessary but not sufficient to effectuate a transaction that can be scheduled. </w:t>
            </w:r>
          </w:p>
        </w:tc>
        <w:tc>
          <w:tcPr>
            <w:tcW w:w="3060" w:type="dxa"/>
          </w:tcPr>
          <w:p w:rsidR="00881461" w:rsidRDefault="00881461" w:rsidP="00881461">
            <w:pPr>
              <w:spacing w:before="120" w:after="120"/>
            </w:pPr>
            <w:r>
              <w:t>Fidelity National Information Services (FIS - formerly SunGard)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45</w:t>
            </w:r>
          </w:p>
        </w:tc>
        <w:tc>
          <w:tcPr>
            <w:tcW w:w="8550" w:type="dxa"/>
          </w:tcPr>
          <w:p w:rsidR="00881461" w:rsidRDefault="00881461" w:rsidP="00881461">
            <w:pPr>
              <w:spacing w:before="120" w:after="120"/>
            </w:pPr>
            <w:r>
              <w:t>Intra-cycle capacity releases may improve best efforts scheduling.  Conversely best-efforts scheduling may improve the effectiveness of existing intraday capacity releases.</w:t>
            </w:r>
          </w:p>
        </w:tc>
        <w:tc>
          <w:tcPr>
            <w:tcW w:w="3060" w:type="dxa"/>
          </w:tcPr>
          <w:p w:rsidR="00881461" w:rsidRDefault="00881461" w:rsidP="00881461">
            <w:pPr>
              <w:spacing w:before="120" w:after="120"/>
            </w:pPr>
            <w:r>
              <w:t>Skipping Stone</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47</w:t>
            </w:r>
          </w:p>
        </w:tc>
        <w:tc>
          <w:tcPr>
            <w:tcW w:w="8550" w:type="dxa"/>
          </w:tcPr>
          <w:p w:rsidR="00881461" w:rsidRDefault="00881461" w:rsidP="00881461">
            <w:pPr>
              <w:spacing w:before="120" w:after="120"/>
            </w:pPr>
            <w:r>
              <w:t xml:space="preserve"> Episodic analysis of daily flows suggests that more opportunities to schedule may provide additional flexibility to generators and electric consumers benefits. </w:t>
            </w:r>
          </w:p>
        </w:tc>
        <w:tc>
          <w:tcPr>
            <w:tcW w:w="3060" w:type="dxa"/>
          </w:tcPr>
          <w:p w:rsidR="00881461" w:rsidRDefault="00881461" w:rsidP="00881461">
            <w:pPr>
              <w:spacing w:before="120" w:after="120"/>
            </w:pPr>
            <w:r>
              <w:t>Environmental Defense Fund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49</w:t>
            </w:r>
          </w:p>
        </w:tc>
        <w:tc>
          <w:tcPr>
            <w:tcW w:w="8550" w:type="dxa"/>
          </w:tcPr>
          <w:p w:rsidR="00881461" w:rsidRDefault="00881461" w:rsidP="00881461">
            <w:pPr>
              <w:spacing w:before="120" w:after="120"/>
            </w:pPr>
            <w:r>
              <w:t xml:space="preserve">As the electric system continues to evolve into a peakier and a more renewable grid, the need for enhanced scheduling and flexibility from the gas transportation system will grow. </w:t>
            </w:r>
          </w:p>
        </w:tc>
        <w:tc>
          <w:tcPr>
            <w:tcW w:w="3060" w:type="dxa"/>
          </w:tcPr>
          <w:p w:rsidR="00881461" w:rsidRDefault="00881461" w:rsidP="00881461">
            <w:pPr>
              <w:spacing w:before="120" w:after="120"/>
            </w:pPr>
            <w:r>
              <w:t>Environmental Defense Fund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52</w:t>
            </w:r>
          </w:p>
        </w:tc>
        <w:tc>
          <w:tcPr>
            <w:tcW w:w="8550" w:type="dxa"/>
          </w:tcPr>
          <w:p w:rsidR="00881461" w:rsidRDefault="00881461" w:rsidP="00881461">
            <w:pPr>
              <w:spacing w:before="120" w:after="120"/>
            </w:pPr>
            <w:r>
              <w:t>How to address less time to validate nomination data that would not lead to errors or legal risks?  Using simulation to recreate “The Art of Scheduling” tools of software models could support more efficient and effective decision making.</w:t>
            </w:r>
          </w:p>
        </w:tc>
        <w:tc>
          <w:tcPr>
            <w:tcW w:w="3060" w:type="dxa"/>
          </w:tcPr>
          <w:p w:rsidR="00881461" w:rsidRDefault="00881461" w:rsidP="00881461">
            <w:pPr>
              <w:spacing w:before="120" w:after="120"/>
            </w:pPr>
            <w:r>
              <w:t>Coalition of Energy Technology Firms - EnCORE Partners, RBN Energy for support</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53</w:t>
            </w:r>
          </w:p>
        </w:tc>
        <w:tc>
          <w:tcPr>
            <w:tcW w:w="8550" w:type="dxa"/>
          </w:tcPr>
          <w:p w:rsidR="00881461" w:rsidRDefault="00881461" w:rsidP="00881461">
            <w:pPr>
              <w:spacing w:before="120" w:after="120"/>
            </w:pPr>
            <w:r>
              <w:t>How to address tighter deadlines that hamper gas controllers ability to account for shifts in volume. Using simulation to recreate “The Art of Scheduling” tools of software models could support more efficient and effective decision making.</w:t>
            </w:r>
          </w:p>
        </w:tc>
        <w:tc>
          <w:tcPr>
            <w:tcW w:w="3060" w:type="dxa"/>
          </w:tcPr>
          <w:p w:rsidR="00881461" w:rsidRDefault="00881461" w:rsidP="00881461">
            <w:pPr>
              <w:spacing w:before="120" w:after="120"/>
            </w:pPr>
            <w:r>
              <w:t>Coalition of Energy Technology Firms - EnCORE Partners, RBN Energy for support</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54</w:t>
            </w:r>
          </w:p>
        </w:tc>
        <w:tc>
          <w:tcPr>
            <w:tcW w:w="8550" w:type="dxa"/>
          </w:tcPr>
          <w:p w:rsidR="00881461" w:rsidRDefault="00881461" w:rsidP="00881461">
            <w:pPr>
              <w:spacing w:before="120" w:after="120"/>
            </w:pPr>
            <w: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tc>
        <w:tc>
          <w:tcPr>
            <w:tcW w:w="3060" w:type="dxa"/>
          </w:tcPr>
          <w:p w:rsidR="00881461" w:rsidRDefault="00881461" w:rsidP="00881461">
            <w:pPr>
              <w:spacing w:before="120" w:after="120"/>
            </w:pPr>
            <w:r>
              <w:t>Coalition of Energy Technology Firms - EnCORE Partners, RBN Energy for support</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58</w:t>
            </w:r>
          </w:p>
        </w:tc>
        <w:tc>
          <w:tcPr>
            <w:tcW w:w="8550" w:type="dxa"/>
          </w:tcPr>
          <w:p w:rsidR="00881461" w:rsidRDefault="00881461" w:rsidP="00881461">
            <w:pPr>
              <w:spacing w:before="120" w:after="120"/>
            </w:pPr>
            <w:r>
              <w:t>Are there “lessons learned” in the electric industry that can benefit the gas industry as it considers the feasibility of modifying the scheduling process to make it more efficient?</w:t>
            </w:r>
          </w:p>
        </w:tc>
        <w:tc>
          <w:tcPr>
            <w:tcW w:w="3060" w:type="dxa"/>
          </w:tcPr>
          <w:p w:rsidR="00881461" w:rsidRDefault="00881461" w:rsidP="00881461">
            <w:pPr>
              <w:spacing w:before="120" w:after="120"/>
            </w:pPr>
            <w:r>
              <w:t>OATI, Inc.</w:t>
            </w:r>
          </w:p>
        </w:tc>
      </w:tr>
      <w:tr w:rsidR="00513E7C" w:rsidTr="003C628C">
        <w:tc>
          <w:tcPr>
            <w:tcW w:w="468" w:type="dxa"/>
          </w:tcPr>
          <w:p w:rsidR="00513E7C" w:rsidRDefault="00513E7C" w:rsidP="00002E39">
            <w:pPr>
              <w:spacing w:before="120" w:after="120"/>
              <w:jc w:val="center"/>
            </w:pPr>
            <w:r>
              <w:t>7</w:t>
            </w:r>
          </w:p>
        </w:tc>
        <w:tc>
          <w:tcPr>
            <w:tcW w:w="12690" w:type="dxa"/>
            <w:gridSpan w:val="4"/>
          </w:tcPr>
          <w:p w:rsidR="00513E7C" w:rsidRDefault="00513E7C" w:rsidP="00002E39">
            <w:pPr>
              <w:spacing w:before="120" w:after="120"/>
            </w:pPr>
            <w:r w:rsidRPr="0062117A">
              <w:t>Scheduling Issues Surrounding Interconnects</w:t>
            </w:r>
          </w:p>
        </w:tc>
      </w:tr>
      <w:tr w:rsidR="00881461" w:rsidTr="001625DD">
        <w:tc>
          <w:tcPr>
            <w:tcW w:w="468" w:type="dxa"/>
          </w:tcPr>
          <w:p w:rsidR="00881461" w:rsidRDefault="00881461" w:rsidP="00881461">
            <w:pPr>
              <w:spacing w:before="120" w:after="120"/>
            </w:pPr>
          </w:p>
        </w:tc>
        <w:tc>
          <w:tcPr>
            <w:tcW w:w="630" w:type="dxa"/>
          </w:tcPr>
          <w:p w:rsidR="00881461" w:rsidRPr="0062117A" w:rsidRDefault="00881461" w:rsidP="00881461">
            <w:pPr>
              <w:spacing w:before="120" w:after="120"/>
            </w:pPr>
          </w:p>
        </w:tc>
        <w:tc>
          <w:tcPr>
            <w:tcW w:w="450" w:type="dxa"/>
          </w:tcPr>
          <w:p w:rsidR="00881461" w:rsidRDefault="00881461" w:rsidP="00881461">
            <w:pPr>
              <w:spacing w:before="120" w:after="120"/>
            </w:pPr>
            <w:r>
              <w:t>11</w:t>
            </w:r>
          </w:p>
        </w:tc>
        <w:tc>
          <w:tcPr>
            <w:tcW w:w="8550" w:type="dxa"/>
          </w:tcPr>
          <w:p w:rsidR="00881461" w:rsidRDefault="00881461" w:rsidP="00881461">
            <w:pPr>
              <w:spacing w:before="120" w:after="120"/>
            </w:pPr>
            <w:r>
              <w:t>Physical assistance agreed upon between interconnecting parties. OBAs and similar type of arrangement (the implementing devices), seem to be working well.</w:t>
            </w:r>
          </w:p>
        </w:tc>
        <w:tc>
          <w:tcPr>
            <w:tcW w:w="3060" w:type="dxa"/>
          </w:tcPr>
          <w:p w:rsidR="00881461" w:rsidRDefault="00881461" w:rsidP="00881461">
            <w:pPr>
              <w:spacing w:before="120" w:after="120"/>
            </w:pPr>
            <w:r>
              <w:t>NAESB WGQ Pipeline Segment</w:t>
            </w:r>
          </w:p>
        </w:tc>
      </w:tr>
      <w:tr w:rsidR="00881461" w:rsidTr="001625DD">
        <w:tc>
          <w:tcPr>
            <w:tcW w:w="468" w:type="dxa"/>
          </w:tcPr>
          <w:p w:rsidR="00881461" w:rsidRDefault="00881461" w:rsidP="00881461">
            <w:pPr>
              <w:spacing w:before="120" w:after="120"/>
            </w:pPr>
          </w:p>
        </w:tc>
        <w:tc>
          <w:tcPr>
            <w:tcW w:w="630" w:type="dxa"/>
          </w:tcPr>
          <w:p w:rsidR="00881461" w:rsidRPr="0062117A" w:rsidRDefault="00881461" w:rsidP="00881461">
            <w:pPr>
              <w:spacing w:before="120" w:after="120"/>
            </w:pPr>
          </w:p>
        </w:tc>
        <w:tc>
          <w:tcPr>
            <w:tcW w:w="450" w:type="dxa"/>
          </w:tcPr>
          <w:p w:rsidR="00881461" w:rsidRDefault="00881461" w:rsidP="00881461">
            <w:pPr>
              <w:spacing w:before="120" w:after="120"/>
            </w:pPr>
            <w:r>
              <w:t>20</w:t>
            </w:r>
          </w:p>
        </w:tc>
        <w:tc>
          <w:tcPr>
            <w:tcW w:w="8550" w:type="dxa"/>
          </w:tcPr>
          <w:p w:rsidR="00881461" w:rsidRDefault="00881461" w:rsidP="00881461">
            <w:pPr>
              <w:spacing w:before="120" w:after="120"/>
            </w:pPr>
            <w:r>
              <w:t>Availability of capacity at interconnection points.  There is currently uncertainty as to impact of tighter timeframes on the scheduling of capacity for the later cycles. (At present, the schedules tend to come out early.)</w:t>
            </w:r>
          </w:p>
        </w:tc>
        <w:tc>
          <w:tcPr>
            <w:tcW w:w="3060" w:type="dxa"/>
          </w:tcPr>
          <w:p w:rsidR="00881461" w:rsidRDefault="00881461" w:rsidP="00881461">
            <w:pPr>
              <w:spacing w:before="120" w:after="120"/>
            </w:pPr>
            <w:r>
              <w:t>NAESB WGQ Pipeline Segment</w:t>
            </w:r>
          </w:p>
        </w:tc>
      </w:tr>
      <w:tr w:rsidR="00513E7C" w:rsidTr="003C628C">
        <w:tc>
          <w:tcPr>
            <w:tcW w:w="468" w:type="dxa"/>
          </w:tcPr>
          <w:p w:rsidR="00513E7C" w:rsidRDefault="00513E7C" w:rsidP="00002E39">
            <w:pPr>
              <w:spacing w:before="120" w:after="120"/>
              <w:jc w:val="center"/>
            </w:pPr>
            <w:r>
              <w:t>8</w:t>
            </w:r>
          </w:p>
        </w:tc>
        <w:tc>
          <w:tcPr>
            <w:tcW w:w="12690" w:type="dxa"/>
            <w:gridSpan w:val="4"/>
          </w:tcPr>
          <w:p w:rsidR="00513E7C" w:rsidRDefault="00513E7C" w:rsidP="00002E39">
            <w:pPr>
              <w:spacing w:before="120" w:after="120"/>
            </w:pPr>
            <w:r w:rsidRPr="0062117A">
              <w:t>Access to Scheduling During Non-business Hours</w:t>
            </w:r>
          </w:p>
        </w:tc>
      </w:tr>
      <w:tr w:rsidR="00513E7C" w:rsidTr="001625DD">
        <w:tc>
          <w:tcPr>
            <w:tcW w:w="468" w:type="dxa"/>
          </w:tcPr>
          <w:p w:rsidR="00513E7C" w:rsidRDefault="00513E7C" w:rsidP="00881461">
            <w:pPr>
              <w:spacing w:before="120" w:after="120"/>
            </w:pPr>
          </w:p>
        </w:tc>
        <w:tc>
          <w:tcPr>
            <w:tcW w:w="630" w:type="dxa"/>
          </w:tcPr>
          <w:p w:rsidR="00513E7C" w:rsidRPr="0062117A" w:rsidRDefault="00513E7C" w:rsidP="00881461">
            <w:pPr>
              <w:spacing w:before="120" w:after="120"/>
            </w:pPr>
          </w:p>
        </w:tc>
        <w:tc>
          <w:tcPr>
            <w:tcW w:w="450" w:type="dxa"/>
          </w:tcPr>
          <w:p w:rsidR="00513E7C" w:rsidRDefault="00881461" w:rsidP="00881461">
            <w:pPr>
              <w:spacing w:before="120" w:after="120"/>
            </w:pPr>
            <w:r>
              <w:t>21</w:t>
            </w:r>
          </w:p>
        </w:tc>
        <w:tc>
          <w:tcPr>
            <w:tcW w:w="8550" w:type="dxa"/>
          </w:tcPr>
          <w:p w:rsidR="00513E7C" w:rsidRDefault="00881461" w:rsidP="00881461">
            <w:pPr>
              <w:spacing w:before="120" w:after="120"/>
            </w:pPr>
            <w:r>
              <w:t>Computerized scheduling and confirmations for nomination of subscribed services during non-traditional business hours.</w:t>
            </w:r>
          </w:p>
        </w:tc>
        <w:tc>
          <w:tcPr>
            <w:tcW w:w="3060" w:type="dxa"/>
          </w:tcPr>
          <w:p w:rsidR="00513E7C" w:rsidRDefault="00881461" w:rsidP="00881461">
            <w:pPr>
              <w:spacing w:before="120" w:after="120"/>
            </w:pPr>
            <w:r>
              <w:t>NAESB WGQ Pipeline Segment</w:t>
            </w:r>
          </w:p>
        </w:tc>
      </w:tr>
      <w:tr w:rsidR="00513E7C" w:rsidTr="003C628C">
        <w:tc>
          <w:tcPr>
            <w:tcW w:w="468" w:type="dxa"/>
          </w:tcPr>
          <w:p w:rsidR="00513E7C" w:rsidRDefault="00513E7C" w:rsidP="00002E39">
            <w:pPr>
              <w:spacing w:before="120" w:after="120"/>
              <w:jc w:val="center"/>
            </w:pPr>
            <w:r>
              <w:t>9</w:t>
            </w:r>
          </w:p>
        </w:tc>
        <w:tc>
          <w:tcPr>
            <w:tcW w:w="12690" w:type="dxa"/>
            <w:gridSpan w:val="4"/>
          </w:tcPr>
          <w:p w:rsidR="00513E7C" w:rsidRDefault="00513E7C" w:rsidP="00002E39">
            <w:pPr>
              <w:spacing w:before="120" w:after="120"/>
            </w:pPr>
            <w:r w:rsidRPr="0062117A">
              <w:t>Communications</w:t>
            </w:r>
          </w:p>
        </w:tc>
      </w:tr>
      <w:tr w:rsidR="00881461" w:rsidTr="001625DD">
        <w:tc>
          <w:tcPr>
            <w:tcW w:w="468" w:type="dxa"/>
          </w:tcPr>
          <w:p w:rsidR="00881461" w:rsidRDefault="00881461" w:rsidP="00881461">
            <w:pPr>
              <w:spacing w:before="120" w:after="120"/>
            </w:pPr>
          </w:p>
        </w:tc>
        <w:tc>
          <w:tcPr>
            <w:tcW w:w="630" w:type="dxa"/>
          </w:tcPr>
          <w:p w:rsidR="00881461" w:rsidRPr="0062117A" w:rsidRDefault="00881461" w:rsidP="00881461">
            <w:pPr>
              <w:spacing w:before="120" w:after="120"/>
            </w:pPr>
          </w:p>
        </w:tc>
        <w:tc>
          <w:tcPr>
            <w:tcW w:w="450" w:type="dxa"/>
          </w:tcPr>
          <w:p w:rsidR="00881461" w:rsidRDefault="00881461" w:rsidP="00881461">
            <w:pPr>
              <w:spacing w:before="120" w:after="120"/>
            </w:pPr>
            <w:r>
              <w:t>22</w:t>
            </w:r>
          </w:p>
        </w:tc>
        <w:tc>
          <w:tcPr>
            <w:tcW w:w="8550" w:type="dxa"/>
          </w:tcPr>
          <w:p w:rsidR="00881461" w:rsidRDefault="00881461" w:rsidP="00881461">
            <w:pPr>
              <w:spacing w:before="120" w:after="120"/>
            </w:pPr>
            <w:r>
              <w:t>It would be desirable to have a set of terminology agreed upon by participants to characteristics shapes, profiles, ratable, non-ratable, and so forth to facilitate discussion.</w:t>
            </w:r>
          </w:p>
        </w:tc>
        <w:tc>
          <w:tcPr>
            <w:tcW w:w="3060" w:type="dxa"/>
          </w:tcPr>
          <w:p w:rsidR="00881461" w:rsidRDefault="00881461" w:rsidP="00881461">
            <w:pPr>
              <w:spacing w:before="120" w:after="120"/>
            </w:pPr>
            <w:r>
              <w:t>NAESB WGQ Pipeline Segment</w:t>
            </w:r>
          </w:p>
        </w:tc>
      </w:tr>
      <w:tr w:rsidR="00881461" w:rsidTr="001625DD">
        <w:tc>
          <w:tcPr>
            <w:tcW w:w="468" w:type="dxa"/>
          </w:tcPr>
          <w:p w:rsidR="00881461" w:rsidRDefault="00881461" w:rsidP="00881461">
            <w:pPr>
              <w:spacing w:before="120" w:after="120"/>
            </w:pPr>
          </w:p>
        </w:tc>
        <w:tc>
          <w:tcPr>
            <w:tcW w:w="630" w:type="dxa"/>
          </w:tcPr>
          <w:p w:rsidR="00881461" w:rsidRPr="0062117A" w:rsidRDefault="00881461" w:rsidP="00881461">
            <w:pPr>
              <w:spacing w:before="120" w:after="120"/>
            </w:pPr>
          </w:p>
        </w:tc>
        <w:tc>
          <w:tcPr>
            <w:tcW w:w="450" w:type="dxa"/>
          </w:tcPr>
          <w:p w:rsidR="00881461" w:rsidRDefault="00881461" w:rsidP="00881461">
            <w:pPr>
              <w:spacing w:before="120" w:after="120"/>
            </w:pPr>
            <w:r>
              <w:t>25</w:t>
            </w:r>
          </w:p>
        </w:tc>
        <w:tc>
          <w:tcPr>
            <w:tcW w:w="8550" w:type="dxa"/>
          </w:tcPr>
          <w:p w:rsidR="00881461" w:rsidRDefault="00881461" w:rsidP="00881461">
            <w:pPr>
              <w:spacing w:before="120" w:after="120"/>
            </w:pPr>
            <w:r>
              <w:t>Communication protocols with LDCs, gas generator operators and natural gas marketing companies</w:t>
            </w:r>
          </w:p>
        </w:tc>
        <w:tc>
          <w:tcPr>
            <w:tcW w:w="3060" w:type="dxa"/>
          </w:tcPr>
          <w:p w:rsidR="00881461" w:rsidRDefault="00881461" w:rsidP="00881461">
            <w:pPr>
              <w:spacing w:before="120" w:after="120"/>
            </w:pPr>
            <w:r>
              <w:t>PJM</w:t>
            </w:r>
          </w:p>
        </w:tc>
      </w:tr>
      <w:tr w:rsidR="00881461" w:rsidTr="001625DD">
        <w:tc>
          <w:tcPr>
            <w:tcW w:w="468" w:type="dxa"/>
          </w:tcPr>
          <w:p w:rsidR="00881461" w:rsidRDefault="00881461" w:rsidP="00881461">
            <w:pPr>
              <w:spacing w:before="120" w:after="120"/>
            </w:pPr>
          </w:p>
        </w:tc>
        <w:tc>
          <w:tcPr>
            <w:tcW w:w="630" w:type="dxa"/>
          </w:tcPr>
          <w:p w:rsidR="00881461" w:rsidRPr="0062117A" w:rsidRDefault="00881461" w:rsidP="00881461">
            <w:pPr>
              <w:spacing w:before="120" w:after="120"/>
            </w:pPr>
          </w:p>
        </w:tc>
        <w:tc>
          <w:tcPr>
            <w:tcW w:w="450" w:type="dxa"/>
          </w:tcPr>
          <w:p w:rsidR="00881461" w:rsidRDefault="00881461" w:rsidP="00881461">
            <w:pPr>
              <w:spacing w:before="120" w:after="120"/>
            </w:pPr>
            <w:r>
              <w:t>26</w:t>
            </w:r>
          </w:p>
        </w:tc>
        <w:tc>
          <w:tcPr>
            <w:tcW w:w="8550" w:type="dxa"/>
          </w:tcPr>
          <w:p w:rsidR="00881461" w:rsidRDefault="00881461" w:rsidP="00881461">
            <w:pPr>
              <w:spacing w:before="120" w:after="120"/>
            </w:pPr>
            <w:r>
              <w:t>Improve efficiency of critical information sharing (related to items 1 and 2)</w:t>
            </w:r>
          </w:p>
        </w:tc>
        <w:tc>
          <w:tcPr>
            <w:tcW w:w="3060" w:type="dxa"/>
          </w:tcPr>
          <w:p w:rsidR="00881461" w:rsidRDefault="00881461" w:rsidP="00881461">
            <w:pPr>
              <w:spacing w:before="120" w:after="120"/>
            </w:pPr>
            <w:r>
              <w:t>PJM</w:t>
            </w:r>
          </w:p>
        </w:tc>
      </w:tr>
      <w:tr w:rsidR="00513E7C" w:rsidTr="003C628C">
        <w:tc>
          <w:tcPr>
            <w:tcW w:w="468" w:type="dxa"/>
          </w:tcPr>
          <w:p w:rsidR="00513E7C" w:rsidRDefault="00513E7C" w:rsidP="00002E39">
            <w:pPr>
              <w:spacing w:before="120" w:after="120"/>
              <w:jc w:val="center"/>
            </w:pPr>
            <w:r>
              <w:t>10</w:t>
            </w:r>
          </w:p>
        </w:tc>
        <w:tc>
          <w:tcPr>
            <w:tcW w:w="12690" w:type="dxa"/>
            <w:gridSpan w:val="4"/>
          </w:tcPr>
          <w:p w:rsidR="00513E7C" w:rsidRDefault="00513E7C" w:rsidP="00002E39">
            <w:pPr>
              <w:spacing w:before="120" w:after="120"/>
            </w:pPr>
            <w:r w:rsidRPr="0062117A">
              <w:t>Inconsistencies in Electric-Industry Day-Ahead Markets</w:t>
            </w:r>
          </w:p>
        </w:tc>
      </w:tr>
      <w:tr w:rsidR="00513E7C" w:rsidTr="001625DD">
        <w:tc>
          <w:tcPr>
            <w:tcW w:w="468" w:type="dxa"/>
          </w:tcPr>
          <w:p w:rsidR="00513E7C" w:rsidRDefault="00513E7C" w:rsidP="003C628C">
            <w:pPr>
              <w:spacing w:before="120" w:after="120"/>
            </w:pPr>
          </w:p>
        </w:tc>
        <w:tc>
          <w:tcPr>
            <w:tcW w:w="630" w:type="dxa"/>
          </w:tcPr>
          <w:p w:rsidR="00513E7C" w:rsidRPr="0062117A" w:rsidRDefault="00513E7C" w:rsidP="003C628C">
            <w:pPr>
              <w:spacing w:before="120" w:after="120"/>
            </w:pPr>
          </w:p>
        </w:tc>
        <w:tc>
          <w:tcPr>
            <w:tcW w:w="450" w:type="dxa"/>
          </w:tcPr>
          <w:p w:rsidR="00513E7C" w:rsidRDefault="003C628C" w:rsidP="003C628C">
            <w:pPr>
              <w:spacing w:before="120" w:after="120"/>
            </w:pPr>
            <w:r>
              <w:t>27</w:t>
            </w:r>
          </w:p>
        </w:tc>
        <w:tc>
          <w:tcPr>
            <w:tcW w:w="8550" w:type="dxa"/>
          </w:tcPr>
          <w:p w:rsidR="00513E7C" w:rsidRDefault="003C628C" w:rsidP="003C628C">
            <w:pPr>
              <w:spacing w:before="120" w:after="120"/>
            </w:pPr>
            <w:r>
              <w:t>Timing and Processing Times for Day Ahead energy markets are different across electric markets</w:t>
            </w:r>
          </w:p>
        </w:tc>
        <w:tc>
          <w:tcPr>
            <w:tcW w:w="3060" w:type="dxa"/>
          </w:tcPr>
          <w:p w:rsidR="00513E7C" w:rsidRDefault="003C628C" w:rsidP="003C628C">
            <w:pPr>
              <w:spacing w:before="120" w:after="120"/>
            </w:pPr>
            <w:r>
              <w:t>ACES Power</w:t>
            </w:r>
          </w:p>
        </w:tc>
      </w:tr>
      <w:tr w:rsidR="00513E7C" w:rsidTr="003C628C">
        <w:tc>
          <w:tcPr>
            <w:tcW w:w="468" w:type="dxa"/>
          </w:tcPr>
          <w:p w:rsidR="00513E7C" w:rsidRDefault="00513E7C" w:rsidP="00002E39">
            <w:pPr>
              <w:spacing w:before="120" w:after="120"/>
              <w:jc w:val="center"/>
            </w:pPr>
            <w:r>
              <w:lastRenderedPageBreak/>
              <w:t>11</w:t>
            </w:r>
          </w:p>
        </w:tc>
        <w:tc>
          <w:tcPr>
            <w:tcW w:w="12690" w:type="dxa"/>
            <w:gridSpan w:val="4"/>
          </w:tcPr>
          <w:p w:rsidR="00513E7C" w:rsidRDefault="00513E7C" w:rsidP="00002E39">
            <w:pPr>
              <w:spacing w:before="120" w:after="120"/>
            </w:pPr>
            <w:r w:rsidRPr="0062117A">
              <w:t>Data Issues, Data-Transfer Issues, Field Testing and Modeling</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35</w:t>
            </w:r>
          </w:p>
        </w:tc>
        <w:tc>
          <w:tcPr>
            <w:tcW w:w="8550" w:type="dxa"/>
          </w:tcPr>
          <w:p w:rsidR="003C628C" w:rsidRDefault="003C628C" w:rsidP="003C628C">
            <w:pPr>
              <w:spacing w:before="120" w:after="120"/>
            </w:pPr>
            <w:r>
              <w:t xml:space="preserve">Lining up the processes and timeframes that occur within the confirmations/scheduling window to gain efficiency of data exchange. </w:t>
            </w:r>
          </w:p>
        </w:tc>
        <w:tc>
          <w:tcPr>
            <w:tcW w:w="3060" w:type="dxa"/>
          </w:tcPr>
          <w:p w:rsidR="003C628C" w:rsidRDefault="003C628C" w:rsidP="003C628C">
            <w:pPr>
              <w:spacing w:before="120" w:after="120"/>
            </w:pPr>
            <w:r>
              <w:t>Fidelity National Information Services (FIS - formerly SunGard)</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36</w:t>
            </w:r>
          </w:p>
        </w:tc>
        <w:tc>
          <w:tcPr>
            <w:tcW w:w="8550" w:type="dxa"/>
          </w:tcPr>
          <w:p w:rsidR="003C628C" w:rsidRDefault="003C628C" w:rsidP="003C628C">
            <w:pPr>
              <w:spacing w:before="120" w:after="120"/>
            </w:pPr>
            <w:r>
              <w:t>Level of confirmations: there is a wide range of data elements that are exchanged from a minimum amount to a very large set of data.  In the Art of Scheduling, pipelines confirm at different level with potential for disparities; greater standardization could produce confirming efficiencies. (For example, confirm at the shipper to shipper level, or if you do it as a lower level of detail it would be driven by model type.) See issue 17 in the first presentation.</w:t>
            </w:r>
          </w:p>
        </w:tc>
        <w:tc>
          <w:tcPr>
            <w:tcW w:w="3060" w:type="dxa"/>
          </w:tcPr>
          <w:p w:rsidR="003C628C" w:rsidRDefault="003C628C" w:rsidP="003C628C">
            <w:pPr>
              <w:spacing w:before="120" w:after="120"/>
            </w:pPr>
            <w:r>
              <w:t>Fidelity National Information Services (FIS - formerly SunGard)</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38</w:t>
            </w:r>
          </w:p>
        </w:tc>
        <w:tc>
          <w:tcPr>
            <w:tcW w:w="8550" w:type="dxa"/>
          </w:tcPr>
          <w:p w:rsidR="003C628C" w:rsidRDefault="003C628C" w:rsidP="003C628C">
            <w:pPr>
              <w:spacing w:before="120" w:after="120"/>
            </w:pPr>
            <w:r>
              <w:t>Further standardizing methods and processes (for example, standardizing time frames for the different elements of the processes) could be employed to support confirmations. Standardization could clarify the steps and expectations among parties surrounding default actions that may arise from different time periods in the process.</w:t>
            </w:r>
          </w:p>
        </w:tc>
        <w:tc>
          <w:tcPr>
            <w:tcW w:w="3060" w:type="dxa"/>
          </w:tcPr>
          <w:p w:rsidR="003C628C" w:rsidRDefault="003C628C" w:rsidP="003C628C">
            <w:pPr>
              <w:spacing w:before="120" w:after="120"/>
            </w:pPr>
            <w:r>
              <w:t>Fidelity National Information Services (FIS - formerly SunGard)</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39</w:t>
            </w:r>
          </w:p>
        </w:tc>
        <w:tc>
          <w:tcPr>
            <w:tcW w:w="8550" w:type="dxa"/>
          </w:tcPr>
          <w:p w:rsidR="003C628C" w:rsidRDefault="003C628C" w:rsidP="003C628C">
            <w:pPr>
              <w:spacing w:before="120" w:after="120"/>
            </w:pPr>
            <w:r>
              <w:t>Addressing the communication of characteristics of the information in the confirmation process could require a fundamental redesign for potential changes to make confirmations more efficient. (Reasonable) commercial confidentiality issues must be respected.  Note that some pipeline practices already may include this kind of information in the confirmation process.</w:t>
            </w:r>
          </w:p>
        </w:tc>
        <w:tc>
          <w:tcPr>
            <w:tcW w:w="3060" w:type="dxa"/>
          </w:tcPr>
          <w:p w:rsidR="003C628C" w:rsidRDefault="003C628C" w:rsidP="003C628C">
            <w:pPr>
              <w:spacing w:before="120" w:after="120"/>
            </w:pPr>
            <w:r>
              <w:t>Fidelity National Information Services (FIS - formerly SunGard)</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42</w:t>
            </w:r>
          </w:p>
        </w:tc>
        <w:tc>
          <w:tcPr>
            <w:tcW w:w="8550" w:type="dxa"/>
          </w:tcPr>
          <w:p w:rsidR="003C628C" w:rsidRDefault="003C628C" w:rsidP="003C628C">
            <w:pPr>
              <w:spacing w:before="120" w:after="120"/>
            </w:pPr>
            <w:r>
              <w:t xml:space="preserve">A field test for best-efforts scheduling may be able to give us information as to demand and utility of services supporting non-ratable service.  </w:t>
            </w:r>
          </w:p>
        </w:tc>
        <w:tc>
          <w:tcPr>
            <w:tcW w:w="3060" w:type="dxa"/>
          </w:tcPr>
          <w:p w:rsidR="003C628C" w:rsidRDefault="003C628C" w:rsidP="003C628C">
            <w:pPr>
              <w:spacing w:before="120" w:after="120"/>
            </w:pPr>
            <w:r>
              <w:t>Skipping Stone</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50</w:t>
            </w:r>
          </w:p>
        </w:tc>
        <w:tc>
          <w:tcPr>
            <w:tcW w:w="8550" w:type="dxa"/>
          </w:tcPr>
          <w:p w:rsidR="003C628C" w:rsidRDefault="003C628C" w:rsidP="003C628C">
            <w:pPr>
              <w:spacing w:before="120" w:after="120"/>
            </w:pPr>
            <w:r>
              <w:t>How to support through efficient  scheduling, a better coordination of gas supplies, transport services, ISOs and RTOs needs and needs of power generators?   Using simulation to recreate “The Art of Scheduling” tools of software models could support more efficient and effective decision making.</w:t>
            </w:r>
          </w:p>
        </w:tc>
        <w:tc>
          <w:tcPr>
            <w:tcW w:w="3060" w:type="dxa"/>
          </w:tcPr>
          <w:p w:rsidR="003C628C" w:rsidRDefault="003C628C" w:rsidP="003C628C">
            <w:pPr>
              <w:spacing w:before="120" w:after="120"/>
            </w:pPr>
            <w:r>
              <w:t>Coalition of Energy Technology Firms - EnCORE Partners, RBN Energy for support</w:t>
            </w:r>
          </w:p>
        </w:tc>
      </w:tr>
      <w:tr w:rsidR="003C628C" w:rsidTr="001625DD">
        <w:tc>
          <w:tcPr>
            <w:tcW w:w="468" w:type="dxa"/>
          </w:tcPr>
          <w:p w:rsidR="003C628C" w:rsidRDefault="003C628C" w:rsidP="003E2F1B">
            <w:pPr>
              <w:keepNext/>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51</w:t>
            </w:r>
          </w:p>
        </w:tc>
        <w:tc>
          <w:tcPr>
            <w:tcW w:w="8550" w:type="dxa"/>
          </w:tcPr>
          <w:p w:rsidR="003C628C" w:rsidRDefault="003C628C" w:rsidP="003C628C">
            <w:pPr>
              <w:spacing w:before="120" w:after="120"/>
            </w:pPr>
            <w:r>
              <w:t>Through efficient nominations and scheduling, addressing service interruptions in the supply chain. Using simulation to recreate “The Art of Scheduling” tools of software models could support more efficient and effective decision making.</w:t>
            </w:r>
          </w:p>
        </w:tc>
        <w:tc>
          <w:tcPr>
            <w:tcW w:w="3060" w:type="dxa"/>
          </w:tcPr>
          <w:p w:rsidR="003C628C" w:rsidRDefault="003C628C" w:rsidP="003C628C">
            <w:pPr>
              <w:spacing w:before="120" w:after="120"/>
            </w:pPr>
            <w:r>
              <w:t>Coalition of Energy Technology Firms - EnCORE Partners, RBN Energy for support</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52</w:t>
            </w:r>
          </w:p>
        </w:tc>
        <w:tc>
          <w:tcPr>
            <w:tcW w:w="8550" w:type="dxa"/>
          </w:tcPr>
          <w:p w:rsidR="003C628C" w:rsidRDefault="003C628C" w:rsidP="003C628C">
            <w:pPr>
              <w:spacing w:before="120" w:after="120"/>
            </w:pPr>
            <w:r>
              <w:t>How to address less time to validate nomination data that would not lead to errors or legal risks?  Using simulation to recreate “The Art of Scheduling” tools of software models could support more efficient and effective decision making.</w:t>
            </w:r>
          </w:p>
        </w:tc>
        <w:tc>
          <w:tcPr>
            <w:tcW w:w="3060" w:type="dxa"/>
          </w:tcPr>
          <w:p w:rsidR="003C628C" w:rsidRDefault="003C628C" w:rsidP="003C628C">
            <w:pPr>
              <w:spacing w:before="120" w:after="120"/>
            </w:pPr>
            <w:r>
              <w:t>Coalition of Energy Technology Firms - EnCORE Partners, RBN Energy for support</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53</w:t>
            </w:r>
          </w:p>
        </w:tc>
        <w:tc>
          <w:tcPr>
            <w:tcW w:w="8550" w:type="dxa"/>
          </w:tcPr>
          <w:p w:rsidR="003C628C" w:rsidRDefault="003C628C" w:rsidP="003C628C">
            <w:pPr>
              <w:spacing w:before="120" w:after="120"/>
            </w:pPr>
            <w:r>
              <w:t>How to address tighter deadlines that hamper gas controllers ability to account for shifts in volume?   Using simulation to recreate “The Art of Scheduling” tools of software models could support more efficient and effective decision making.</w:t>
            </w:r>
          </w:p>
        </w:tc>
        <w:tc>
          <w:tcPr>
            <w:tcW w:w="3060" w:type="dxa"/>
          </w:tcPr>
          <w:p w:rsidR="003C628C" w:rsidRDefault="003C628C" w:rsidP="003C628C">
            <w:pPr>
              <w:spacing w:before="120" w:after="120"/>
            </w:pPr>
            <w:r>
              <w:t>Coalition of Energy Technology Firms - EnCORE Partners, RBN Energy for support</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54</w:t>
            </w:r>
          </w:p>
        </w:tc>
        <w:tc>
          <w:tcPr>
            <w:tcW w:w="8550" w:type="dxa"/>
          </w:tcPr>
          <w:p w:rsidR="003C628C" w:rsidRDefault="003C628C" w:rsidP="003C628C">
            <w:pPr>
              <w:spacing w:before="120" w:after="120"/>
            </w:pPr>
            <w: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tc>
        <w:tc>
          <w:tcPr>
            <w:tcW w:w="3060" w:type="dxa"/>
          </w:tcPr>
          <w:p w:rsidR="003C628C" w:rsidRDefault="003C628C" w:rsidP="003C628C">
            <w:pPr>
              <w:spacing w:before="120" w:after="120"/>
            </w:pPr>
            <w:r>
              <w:t>Coalition of Energy Technology Firms - EnCORE Partners, RBN Energy for support</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55</w:t>
            </w:r>
          </w:p>
        </w:tc>
        <w:tc>
          <w:tcPr>
            <w:tcW w:w="8550" w:type="dxa"/>
          </w:tcPr>
          <w:p w:rsidR="003C628C" w:rsidRDefault="003C628C" w:rsidP="003C628C">
            <w:pPr>
              <w:spacing w:before="120" w:after="120"/>
            </w:pPr>
            <w:r>
              <w:t>Need for role playing. Using simulation to recreate “The Art of Scheduling” tools of software models could support more efficient and effective decision making.</w:t>
            </w:r>
          </w:p>
        </w:tc>
        <w:tc>
          <w:tcPr>
            <w:tcW w:w="3060" w:type="dxa"/>
          </w:tcPr>
          <w:p w:rsidR="003C628C" w:rsidRDefault="003C628C" w:rsidP="003C628C">
            <w:pPr>
              <w:spacing w:before="120" w:after="120"/>
            </w:pPr>
            <w:r>
              <w:t>Coalition of Energy Technology Firms - EnCORE Partners, RBN Energy for support</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56</w:t>
            </w:r>
          </w:p>
        </w:tc>
        <w:tc>
          <w:tcPr>
            <w:tcW w:w="8550" w:type="dxa"/>
          </w:tcPr>
          <w:p w:rsidR="003C628C" w:rsidRDefault="003C628C" w:rsidP="003C628C">
            <w:pPr>
              <w:spacing w:before="120" w:after="120"/>
            </w:pPr>
            <w:r>
              <w:t>Compress confirmations by expediting verification of nominations. Using simulation to recreate “The Art of Scheduling” tools of software models could support more efficient and effective decision making.</w:t>
            </w:r>
          </w:p>
        </w:tc>
        <w:tc>
          <w:tcPr>
            <w:tcW w:w="3060" w:type="dxa"/>
          </w:tcPr>
          <w:p w:rsidR="003C628C" w:rsidRDefault="003C628C" w:rsidP="003C628C">
            <w:pPr>
              <w:spacing w:before="120" w:after="120"/>
            </w:pPr>
            <w:r>
              <w:t>Coalition of Energy Technology Firms - EnCORE Partners, RBN Energy for support</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57</w:t>
            </w:r>
          </w:p>
        </w:tc>
        <w:tc>
          <w:tcPr>
            <w:tcW w:w="8550" w:type="dxa"/>
          </w:tcPr>
          <w:p w:rsidR="003C628C" w:rsidRDefault="003C628C" w:rsidP="003C628C">
            <w:pPr>
              <w:spacing w:before="120" w:after="120"/>
            </w:pPr>
            <w:r>
              <w:t xml:space="preserve">Could eTag be applied to the gas industry to mimic the significant number </w:t>
            </w:r>
            <w:r w:rsidR="000A48FF">
              <w:t>of transactions</w:t>
            </w:r>
            <w:r>
              <w:t xml:space="preserve"> processed on the power grid that use eTag in short processing windows, and if so, could it result in a streamlined scheduling process for natural gas?</w:t>
            </w:r>
          </w:p>
        </w:tc>
        <w:tc>
          <w:tcPr>
            <w:tcW w:w="3060" w:type="dxa"/>
          </w:tcPr>
          <w:p w:rsidR="003C628C" w:rsidRDefault="003C628C" w:rsidP="003C628C">
            <w:pPr>
              <w:spacing w:before="120" w:after="120"/>
            </w:pPr>
            <w:r>
              <w:t>OATI, Inc.</w:t>
            </w:r>
          </w:p>
        </w:tc>
      </w:tr>
      <w:tr w:rsidR="00513E7C" w:rsidTr="003C628C">
        <w:tc>
          <w:tcPr>
            <w:tcW w:w="468" w:type="dxa"/>
          </w:tcPr>
          <w:p w:rsidR="00513E7C" w:rsidRDefault="00513E7C" w:rsidP="003E2F1B">
            <w:pPr>
              <w:keepNext/>
              <w:spacing w:before="120" w:after="120"/>
              <w:jc w:val="center"/>
            </w:pPr>
            <w:r>
              <w:lastRenderedPageBreak/>
              <w:t>12</w:t>
            </w:r>
          </w:p>
        </w:tc>
        <w:tc>
          <w:tcPr>
            <w:tcW w:w="12690" w:type="dxa"/>
            <w:gridSpan w:val="4"/>
          </w:tcPr>
          <w:p w:rsidR="00513E7C" w:rsidRDefault="00513E7C" w:rsidP="00002E39">
            <w:pPr>
              <w:spacing w:before="120" w:after="120"/>
            </w:pPr>
            <w:r w:rsidRPr="0062117A">
              <w:t>New Service Offerings</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41</w:t>
            </w:r>
          </w:p>
        </w:tc>
        <w:tc>
          <w:tcPr>
            <w:tcW w:w="8550" w:type="dxa"/>
          </w:tcPr>
          <w:p w:rsidR="003C628C" w:rsidRDefault="003C628C" w:rsidP="003C628C">
            <w:pPr>
              <w:spacing w:before="120" w:after="120"/>
            </w:pPr>
            <w:r>
              <w:t>Would the ability to reserve current contracted primary FT capacity for use tomorrow, address issues related to inability to use FT contracts to serve intermittent electric generation?</w:t>
            </w:r>
          </w:p>
        </w:tc>
        <w:tc>
          <w:tcPr>
            <w:tcW w:w="3060" w:type="dxa"/>
          </w:tcPr>
          <w:p w:rsidR="003C628C" w:rsidRDefault="003C628C" w:rsidP="003C628C">
            <w:pPr>
              <w:spacing w:before="120" w:after="120"/>
            </w:pPr>
            <w:r>
              <w:t>Skipping Stone</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43</w:t>
            </w:r>
          </w:p>
        </w:tc>
        <w:tc>
          <w:tcPr>
            <w:tcW w:w="8550" w:type="dxa"/>
          </w:tcPr>
          <w:p w:rsidR="003C628C" w:rsidRDefault="003C628C" w:rsidP="003C628C">
            <w:pPr>
              <w:spacing w:before="120" w:after="120"/>
            </w:pPr>
            <w:r>
              <w:t>Observation: the current set of firm offerings is not meeting the demands of generators in some parts of the country.  The suggestion is that it is not necessary to change the existing services, but rather to add new services (for example, one could add a block of capacity, e.g. a seasonal block in which a shipper could take x quantity and y quantity for day).  This is similar to the type of offering that some pipelines now offer (e.g. revenue banking). Of course physical capabilities of pipeline systems must be taken into account.</w:t>
            </w:r>
          </w:p>
        </w:tc>
        <w:tc>
          <w:tcPr>
            <w:tcW w:w="3060" w:type="dxa"/>
          </w:tcPr>
          <w:p w:rsidR="003C628C" w:rsidRDefault="003C628C" w:rsidP="003C628C">
            <w:pPr>
              <w:spacing w:before="120" w:after="120"/>
            </w:pPr>
            <w:r>
              <w:t>Skipping Stone</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44</w:t>
            </w:r>
          </w:p>
        </w:tc>
        <w:tc>
          <w:tcPr>
            <w:tcW w:w="8550" w:type="dxa"/>
          </w:tcPr>
          <w:p w:rsidR="003C628C" w:rsidRDefault="003C628C" w:rsidP="003C628C">
            <w:pPr>
              <w:spacing w:before="120" w:after="120"/>
            </w:pPr>
            <w:r>
              <w:t>Volumetric service to support electric generation akin to SGS (Small Generation Service) on a best-efforts basis may meet expressed needs.</w:t>
            </w:r>
          </w:p>
        </w:tc>
        <w:tc>
          <w:tcPr>
            <w:tcW w:w="3060" w:type="dxa"/>
          </w:tcPr>
          <w:p w:rsidR="003C628C" w:rsidRDefault="003C628C" w:rsidP="003C628C">
            <w:pPr>
              <w:spacing w:before="120" w:after="120"/>
            </w:pPr>
            <w:r>
              <w:t>Skipping Stone</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48</w:t>
            </w:r>
          </w:p>
        </w:tc>
        <w:tc>
          <w:tcPr>
            <w:tcW w:w="8550" w:type="dxa"/>
          </w:tcPr>
          <w:p w:rsidR="003C628C" w:rsidRDefault="003C628C" w:rsidP="003C628C">
            <w:pPr>
              <w:spacing w:before="120" w:after="120"/>
            </w:pPr>
            <w: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3060" w:type="dxa"/>
          </w:tcPr>
          <w:p w:rsidR="003C628C" w:rsidRDefault="003C628C" w:rsidP="003C628C">
            <w:pPr>
              <w:spacing w:before="120" w:after="120"/>
            </w:pPr>
            <w:r>
              <w:t>Environmental Defense Fund</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49</w:t>
            </w:r>
          </w:p>
        </w:tc>
        <w:tc>
          <w:tcPr>
            <w:tcW w:w="8550" w:type="dxa"/>
          </w:tcPr>
          <w:p w:rsidR="003C628C" w:rsidRDefault="003C628C" w:rsidP="003C628C">
            <w:pPr>
              <w:spacing w:before="120" w:after="120"/>
            </w:pPr>
            <w:r>
              <w:t xml:space="preserve">As the electric system continues to evolve into a peakier and a more renewable grid, the need for enhanced scheduling and flexibility from the gas transportation system will grow. </w:t>
            </w:r>
          </w:p>
        </w:tc>
        <w:tc>
          <w:tcPr>
            <w:tcW w:w="3060" w:type="dxa"/>
          </w:tcPr>
          <w:p w:rsidR="003C628C" w:rsidRDefault="003C628C" w:rsidP="003C628C">
            <w:pPr>
              <w:spacing w:before="120" w:after="120"/>
            </w:pPr>
            <w:r>
              <w:t>Environmental Defense Fund</w:t>
            </w:r>
          </w:p>
        </w:tc>
      </w:tr>
    </w:tbl>
    <w:p w:rsidR="00596152" w:rsidRDefault="00596152"/>
    <w:p w:rsidR="003E2F1B" w:rsidRDefault="003E2F1B">
      <w:pPr>
        <w:rPr>
          <w:caps/>
        </w:rPr>
      </w:pPr>
      <w:r>
        <w:rPr>
          <w:caps/>
        </w:rPr>
        <w:br w:type="page"/>
      </w:r>
    </w:p>
    <w:p w:rsidR="001625DD" w:rsidRPr="007719B2" w:rsidRDefault="001625DD" w:rsidP="001625DD">
      <w:pPr>
        <w:spacing w:before="600"/>
        <w:ind w:left="360"/>
        <w:jc w:val="center"/>
        <w:rPr>
          <w:caps/>
        </w:rPr>
      </w:pPr>
      <w:r w:rsidRPr="007719B2">
        <w:rPr>
          <w:caps/>
        </w:rPr>
        <w:lastRenderedPageBreak/>
        <w:t>Table</w:t>
      </w:r>
      <w:r>
        <w:rPr>
          <w:caps/>
        </w:rPr>
        <w:t xml:space="preserve"> 4</w:t>
      </w:r>
    </w:p>
    <w:p w:rsidR="001625DD" w:rsidRDefault="001625DD" w:rsidP="001625DD">
      <w:pPr>
        <w:spacing w:before="120" w:after="120"/>
      </w:pPr>
      <w:r w:rsidRPr="007719B2">
        <w:t xml:space="preserve">Table </w:t>
      </w:r>
      <w:r>
        <w:t>4</w:t>
      </w:r>
      <w:r w:rsidRPr="007719B2">
        <w:t xml:space="preserve"> is a listing of </w:t>
      </w:r>
      <w:r>
        <w:t xml:space="preserve">responses to the questions or “hashtags” for each issue within a category. </w:t>
      </w:r>
      <w:r w:rsidR="000D0527">
        <w:t xml:space="preserve">  The Excel worksheet includes notes for </w:t>
      </w:r>
      <w:r w:rsidR="003E2F1B">
        <w:t xml:space="preserve">some of </w:t>
      </w:r>
      <w:r w:rsidR="000D0527">
        <w:t>the responses</w:t>
      </w:r>
      <w:r w:rsidR="003E2F1B">
        <w:t>, which are included in Table 5.</w:t>
      </w:r>
    </w:p>
    <w:tbl>
      <w:tblPr>
        <w:tblStyle w:val="TableGrid"/>
        <w:tblW w:w="0" w:type="auto"/>
        <w:tblLayout w:type="fixed"/>
        <w:tblLook w:val="04A0" w:firstRow="1" w:lastRow="0" w:firstColumn="1" w:lastColumn="0" w:noHBand="0" w:noVBand="1"/>
      </w:tblPr>
      <w:tblGrid>
        <w:gridCol w:w="468"/>
        <w:gridCol w:w="630"/>
        <w:gridCol w:w="450"/>
        <w:gridCol w:w="4950"/>
        <w:gridCol w:w="740"/>
        <w:gridCol w:w="740"/>
        <w:gridCol w:w="740"/>
        <w:gridCol w:w="740"/>
        <w:gridCol w:w="740"/>
        <w:gridCol w:w="740"/>
        <w:gridCol w:w="740"/>
        <w:gridCol w:w="740"/>
        <w:gridCol w:w="740"/>
      </w:tblGrid>
      <w:tr w:rsidR="001625DD" w:rsidTr="00A5619A">
        <w:trPr>
          <w:tblHeader/>
        </w:trPr>
        <w:tc>
          <w:tcPr>
            <w:tcW w:w="13158" w:type="dxa"/>
            <w:gridSpan w:val="13"/>
          </w:tcPr>
          <w:p w:rsidR="001625DD" w:rsidRDefault="001625DD" w:rsidP="00EE5CA6">
            <w:pPr>
              <w:spacing w:before="120" w:after="120"/>
              <w:jc w:val="center"/>
            </w:pPr>
            <w:r>
              <w:t>Table 4 – Hashtag Responses</w:t>
            </w:r>
          </w:p>
        </w:tc>
      </w:tr>
      <w:tr w:rsidR="001625DD" w:rsidTr="00A5619A">
        <w:trPr>
          <w:tblHeader/>
        </w:trPr>
        <w:tc>
          <w:tcPr>
            <w:tcW w:w="1098" w:type="dxa"/>
            <w:gridSpan w:val="2"/>
          </w:tcPr>
          <w:p w:rsidR="001625DD" w:rsidRDefault="001625DD" w:rsidP="00EE5CA6">
            <w:pPr>
              <w:spacing w:before="120" w:after="120"/>
            </w:pPr>
            <w:r>
              <w:t>Category</w:t>
            </w:r>
          </w:p>
        </w:tc>
        <w:tc>
          <w:tcPr>
            <w:tcW w:w="5400" w:type="dxa"/>
            <w:gridSpan w:val="2"/>
          </w:tcPr>
          <w:p w:rsidR="001625DD" w:rsidRDefault="001625DD" w:rsidP="00EE5CA6">
            <w:pPr>
              <w:spacing w:before="120" w:after="120"/>
            </w:pPr>
            <w:r>
              <w:t>Issue</w:t>
            </w:r>
          </w:p>
        </w:tc>
        <w:tc>
          <w:tcPr>
            <w:tcW w:w="740" w:type="dxa"/>
          </w:tcPr>
          <w:p w:rsidR="001625DD" w:rsidRPr="00CF61CF" w:rsidRDefault="001625DD" w:rsidP="00EE5CA6">
            <w:pPr>
              <w:spacing w:before="120" w:after="120"/>
            </w:pPr>
            <w:r w:rsidRPr="00CF61CF">
              <w:t>#1a</w:t>
            </w:r>
          </w:p>
        </w:tc>
        <w:tc>
          <w:tcPr>
            <w:tcW w:w="740" w:type="dxa"/>
          </w:tcPr>
          <w:p w:rsidR="001625DD" w:rsidRPr="00CF61CF" w:rsidRDefault="001625DD" w:rsidP="00EE5CA6">
            <w:pPr>
              <w:spacing w:before="120" w:after="120"/>
            </w:pPr>
            <w:r w:rsidRPr="00CF61CF">
              <w:t>#1b</w:t>
            </w:r>
          </w:p>
        </w:tc>
        <w:tc>
          <w:tcPr>
            <w:tcW w:w="740" w:type="dxa"/>
          </w:tcPr>
          <w:p w:rsidR="001625DD" w:rsidRDefault="001625DD" w:rsidP="00EE5CA6">
            <w:pPr>
              <w:spacing w:before="120" w:after="120"/>
            </w:pPr>
            <w:r>
              <w:t>#2a</w:t>
            </w:r>
          </w:p>
        </w:tc>
        <w:tc>
          <w:tcPr>
            <w:tcW w:w="740" w:type="dxa"/>
          </w:tcPr>
          <w:p w:rsidR="001625DD" w:rsidRDefault="001625DD" w:rsidP="00EE5CA6">
            <w:pPr>
              <w:spacing w:before="120" w:after="120"/>
            </w:pPr>
            <w:r>
              <w:t>#2b</w:t>
            </w:r>
          </w:p>
        </w:tc>
        <w:tc>
          <w:tcPr>
            <w:tcW w:w="740" w:type="dxa"/>
          </w:tcPr>
          <w:p w:rsidR="001625DD" w:rsidRDefault="001625DD" w:rsidP="00EE5CA6">
            <w:pPr>
              <w:spacing w:before="120" w:after="120"/>
            </w:pPr>
            <w:r>
              <w:t>#2c</w:t>
            </w:r>
          </w:p>
        </w:tc>
        <w:tc>
          <w:tcPr>
            <w:tcW w:w="740" w:type="dxa"/>
          </w:tcPr>
          <w:p w:rsidR="001625DD" w:rsidRDefault="001625DD" w:rsidP="00EE5CA6">
            <w:pPr>
              <w:spacing w:before="120" w:after="120"/>
            </w:pPr>
            <w:r>
              <w:t>#3</w:t>
            </w:r>
          </w:p>
        </w:tc>
        <w:tc>
          <w:tcPr>
            <w:tcW w:w="740" w:type="dxa"/>
          </w:tcPr>
          <w:p w:rsidR="001625DD" w:rsidRDefault="001625DD" w:rsidP="00EE5CA6">
            <w:pPr>
              <w:spacing w:before="120" w:after="120"/>
            </w:pPr>
            <w:r>
              <w:t>#4</w:t>
            </w:r>
          </w:p>
        </w:tc>
        <w:tc>
          <w:tcPr>
            <w:tcW w:w="740" w:type="dxa"/>
          </w:tcPr>
          <w:p w:rsidR="001625DD" w:rsidRDefault="001625DD" w:rsidP="00EE5CA6">
            <w:pPr>
              <w:spacing w:before="120" w:after="120"/>
            </w:pPr>
            <w:r>
              <w:t>#5</w:t>
            </w:r>
          </w:p>
        </w:tc>
        <w:tc>
          <w:tcPr>
            <w:tcW w:w="740" w:type="dxa"/>
          </w:tcPr>
          <w:p w:rsidR="001625DD" w:rsidRDefault="001625DD" w:rsidP="00EE5CA6">
            <w:pPr>
              <w:spacing w:before="120" w:after="120"/>
            </w:pPr>
            <w:r>
              <w:t>#6</w:t>
            </w:r>
          </w:p>
        </w:tc>
      </w:tr>
      <w:tr w:rsidR="001625DD" w:rsidTr="00A5619A">
        <w:tc>
          <w:tcPr>
            <w:tcW w:w="468" w:type="dxa"/>
          </w:tcPr>
          <w:p w:rsidR="001625DD" w:rsidRDefault="001625DD" w:rsidP="00EE5CA6">
            <w:pPr>
              <w:spacing w:before="120" w:after="120"/>
              <w:jc w:val="center"/>
            </w:pPr>
            <w:r>
              <w:t>1</w:t>
            </w:r>
          </w:p>
        </w:tc>
        <w:tc>
          <w:tcPr>
            <w:tcW w:w="12690" w:type="dxa"/>
            <w:gridSpan w:val="12"/>
          </w:tcPr>
          <w:p w:rsidR="001625DD" w:rsidRDefault="001625DD" w:rsidP="00EE5CA6">
            <w:pPr>
              <w:spacing w:before="120" w:after="120"/>
            </w:pPr>
            <w:r w:rsidRPr="0062117A">
              <w:t>No-notice Service Offerings</w:t>
            </w:r>
          </w:p>
        </w:tc>
      </w:tr>
      <w:tr w:rsidR="001625DD" w:rsidTr="00A5619A">
        <w:tc>
          <w:tcPr>
            <w:tcW w:w="468" w:type="dxa"/>
          </w:tcPr>
          <w:p w:rsidR="001625DD" w:rsidRDefault="001625DD" w:rsidP="00EE5CA6">
            <w:pPr>
              <w:spacing w:before="120" w:after="120"/>
              <w:jc w:val="center"/>
            </w:pPr>
          </w:p>
        </w:tc>
        <w:tc>
          <w:tcPr>
            <w:tcW w:w="630" w:type="dxa"/>
          </w:tcPr>
          <w:p w:rsidR="001625DD" w:rsidRPr="0062117A" w:rsidRDefault="001625DD" w:rsidP="00EE5CA6">
            <w:pPr>
              <w:spacing w:before="120" w:after="120"/>
            </w:pPr>
          </w:p>
        </w:tc>
        <w:tc>
          <w:tcPr>
            <w:tcW w:w="450" w:type="dxa"/>
          </w:tcPr>
          <w:p w:rsidR="001625DD" w:rsidRDefault="001625DD" w:rsidP="00EE5CA6">
            <w:pPr>
              <w:spacing w:before="120" w:after="120"/>
            </w:pPr>
            <w:r>
              <w:t>1</w:t>
            </w:r>
          </w:p>
        </w:tc>
        <w:tc>
          <w:tcPr>
            <w:tcW w:w="4950" w:type="dxa"/>
            <w:vAlign w:val="center"/>
          </w:tcPr>
          <w:p w:rsidR="001625DD" w:rsidRDefault="001625DD" w:rsidP="00EE5CA6">
            <w:pPr>
              <w:spacing w:before="120" w:after="120"/>
            </w:pPr>
            <w:r>
              <w:t>No-notice needs for capacity to support anticipated usage of services purchased, which may or may not be scheduled (e.g., if no notice is not scheduled, such capacity can be made available to other shippers).  This issue is one way to address the potential for greater flexibility. Pipelines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p w:rsidR="00F21D00" w:rsidRPr="00F21D00" w:rsidRDefault="00F21D00" w:rsidP="00EE5CA6">
            <w:pPr>
              <w:spacing w:before="120" w:after="120"/>
            </w:pPr>
            <w:r w:rsidRPr="00F21D00">
              <w:t xml:space="preserve">Proposed Solution(s): </w:t>
            </w:r>
          </w:p>
          <w:p w:rsidR="00F21D00" w:rsidRDefault="00AA6F15" w:rsidP="00F21D00">
            <w:pPr>
              <w:pStyle w:val="ListParagraph"/>
              <w:numPr>
                <w:ilvl w:val="0"/>
                <w:numId w:val="29"/>
              </w:numPr>
              <w:spacing w:before="120" w:after="120"/>
            </w:pPr>
            <w:r>
              <w:rPr>
                <w:rFonts w:ascii="Times New Roman" w:hAnsi="Times New Roman" w:cs="Times New Roman"/>
                <w:sz w:val="20"/>
                <w:szCs w:val="20"/>
              </w:rPr>
              <w:t>No actionable items</w:t>
            </w:r>
          </w:p>
        </w:tc>
        <w:tc>
          <w:tcPr>
            <w:tcW w:w="740" w:type="dxa"/>
          </w:tcPr>
          <w:p w:rsidR="001625DD" w:rsidRDefault="001625DD" w:rsidP="00EE5CA6">
            <w:pPr>
              <w:spacing w:before="120" w:after="120"/>
              <w:jc w:val="center"/>
            </w:pPr>
            <w:r>
              <w:t>X</w:t>
            </w:r>
          </w:p>
        </w:tc>
        <w:tc>
          <w:tcPr>
            <w:tcW w:w="740" w:type="dxa"/>
          </w:tcPr>
          <w:p w:rsidR="001625DD" w:rsidRDefault="001625DD" w:rsidP="00EE5CA6">
            <w:pPr>
              <w:spacing w:before="120" w:after="120"/>
              <w:jc w:val="center"/>
            </w:pPr>
            <w:r>
              <w:t>X</w:t>
            </w:r>
          </w:p>
        </w:tc>
        <w:tc>
          <w:tcPr>
            <w:tcW w:w="740" w:type="dxa"/>
          </w:tcPr>
          <w:p w:rsidR="001625DD" w:rsidRDefault="001625DD" w:rsidP="00EE5CA6">
            <w:pPr>
              <w:spacing w:before="120" w:after="120"/>
              <w:jc w:val="center"/>
            </w:pPr>
            <w:r>
              <w:t>X</w:t>
            </w:r>
          </w:p>
        </w:tc>
        <w:tc>
          <w:tcPr>
            <w:tcW w:w="740" w:type="dxa"/>
          </w:tcPr>
          <w:p w:rsidR="001625DD" w:rsidRDefault="001625DD" w:rsidP="00EE5CA6">
            <w:pPr>
              <w:spacing w:before="120" w:after="120"/>
              <w:jc w:val="center"/>
            </w:pPr>
            <w:r>
              <w:t>X</w:t>
            </w:r>
          </w:p>
        </w:tc>
        <w:tc>
          <w:tcPr>
            <w:tcW w:w="740" w:type="dxa"/>
          </w:tcPr>
          <w:p w:rsidR="001625DD" w:rsidRDefault="001625DD" w:rsidP="00EE5CA6">
            <w:pPr>
              <w:spacing w:before="120" w:after="120"/>
              <w:jc w:val="center"/>
            </w:pPr>
            <w:r>
              <w:t>X</w:t>
            </w:r>
          </w:p>
        </w:tc>
        <w:tc>
          <w:tcPr>
            <w:tcW w:w="740" w:type="dxa"/>
          </w:tcPr>
          <w:p w:rsidR="001625DD" w:rsidRDefault="001625DD" w:rsidP="00EE5CA6">
            <w:pPr>
              <w:spacing w:before="120" w:after="120"/>
              <w:jc w:val="center"/>
            </w:pPr>
            <w:r>
              <w:t>X</w:t>
            </w:r>
          </w:p>
        </w:tc>
        <w:tc>
          <w:tcPr>
            <w:tcW w:w="740" w:type="dxa"/>
          </w:tcPr>
          <w:p w:rsidR="001625DD" w:rsidRDefault="001625DD" w:rsidP="00EE5CA6">
            <w:pPr>
              <w:spacing w:before="120" w:after="120"/>
              <w:jc w:val="center"/>
            </w:pPr>
          </w:p>
        </w:tc>
        <w:tc>
          <w:tcPr>
            <w:tcW w:w="740" w:type="dxa"/>
          </w:tcPr>
          <w:p w:rsidR="001625DD" w:rsidRDefault="001625DD" w:rsidP="00EE5CA6">
            <w:pPr>
              <w:spacing w:before="120" w:after="120"/>
              <w:jc w:val="center"/>
            </w:pPr>
          </w:p>
        </w:tc>
        <w:tc>
          <w:tcPr>
            <w:tcW w:w="740" w:type="dxa"/>
          </w:tcPr>
          <w:p w:rsidR="001625DD" w:rsidRDefault="001625DD" w:rsidP="00EE5CA6">
            <w:pPr>
              <w:spacing w:before="120" w:after="120"/>
              <w:jc w:val="center"/>
            </w:pPr>
            <w:r>
              <w:t>X</w:t>
            </w:r>
          </w:p>
        </w:tc>
      </w:tr>
      <w:tr w:rsidR="000D0527" w:rsidTr="00A5619A">
        <w:tc>
          <w:tcPr>
            <w:tcW w:w="468" w:type="dxa"/>
          </w:tcPr>
          <w:p w:rsidR="000D0527" w:rsidRDefault="000D0527" w:rsidP="00EE5CA6">
            <w:pPr>
              <w:spacing w:before="120" w:after="120"/>
              <w:jc w:val="center"/>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29</w:t>
            </w:r>
          </w:p>
        </w:tc>
        <w:tc>
          <w:tcPr>
            <w:tcW w:w="4950" w:type="dxa"/>
            <w:vAlign w:val="center"/>
          </w:tcPr>
          <w:p w:rsidR="000D0527" w:rsidRDefault="000D0527" w:rsidP="00EE5CA6">
            <w:pPr>
              <w:spacing w:before="120" w:after="120"/>
            </w:pPr>
            <w:r>
              <w:t xml:space="preserve">Generators rely on flexibility for a number of operational issues on the electric side. (Electric systems may require very-short periods of gas use to address perturbations on the systems, and electric systems also need to address forecasting error for flexible power-plant operations.)  Interruptible services are needed because firm service doesn’t always provide for all of the flexibility attributes needed for reliability of power system operations.   There are no-notice services, but they are limited.  It is challenging to generators that flexibility elements of </w:t>
            </w:r>
            <w:r>
              <w:lastRenderedPageBreak/>
              <w:t xml:space="preserve">services are themselves interruptible. </w:t>
            </w:r>
          </w:p>
          <w:p w:rsidR="00AA6F15" w:rsidRPr="00F21D00" w:rsidRDefault="00AA6F15" w:rsidP="00AA6F15">
            <w:pPr>
              <w:spacing w:before="120" w:after="120"/>
            </w:pPr>
            <w:r w:rsidRPr="00F21D00">
              <w:t xml:space="preserve">Proposed Solution(s): </w:t>
            </w:r>
          </w:p>
          <w:p w:rsidR="00AA6F15" w:rsidRPr="00AA6F15" w:rsidRDefault="00AA6F15" w:rsidP="00AA6F15">
            <w:pPr>
              <w:pStyle w:val="ListParagraph"/>
              <w:numPr>
                <w:ilvl w:val="0"/>
                <w:numId w:val="29"/>
              </w:numPr>
              <w:spacing w:before="120" w:after="120"/>
              <w:rPr>
                <w:rFonts w:ascii="Times New Roman" w:hAnsi="Times New Roman" w:cs="Times New Roman"/>
                <w:sz w:val="20"/>
                <w:szCs w:val="20"/>
              </w:rPr>
            </w:pPr>
            <w:r>
              <w:rPr>
                <w:rFonts w:ascii="Times New Roman" w:hAnsi="Times New Roman" w:cs="Times New Roman"/>
                <w:sz w:val="20"/>
                <w:szCs w:val="20"/>
              </w:rPr>
              <w:t>No actionable items, but if there are actions, they should occur through FERC and /or pipeline service offerings</w:t>
            </w:r>
          </w:p>
        </w:tc>
        <w:tc>
          <w:tcPr>
            <w:tcW w:w="740" w:type="dxa"/>
          </w:tcPr>
          <w:p w:rsidR="000D0527" w:rsidRDefault="000D0527" w:rsidP="00EE5CA6">
            <w:pPr>
              <w:spacing w:before="120" w:after="120"/>
              <w:jc w:val="center"/>
            </w:pPr>
            <w:r>
              <w:lastRenderedPageBreak/>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r>
              <w:t>X</w:t>
            </w:r>
          </w:p>
        </w:tc>
      </w:tr>
      <w:tr w:rsidR="000D0527" w:rsidTr="000D0527">
        <w:tc>
          <w:tcPr>
            <w:tcW w:w="468" w:type="dxa"/>
          </w:tcPr>
          <w:p w:rsidR="000D0527" w:rsidRDefault="000D0527" w:rsidP="00EE5CA6">
            <w:pPr>
              <w:spacing w:before="120" w:after="120"/>
              <w:jc w:val="center"/>
            </w:pPr>
            <w:r>
              <w:lastRenderedPageBreak/>
              <w:t>2</w:t>
            </w:r>
          </w:p>
        </w:tc>
        <w:tc>
          <w:tcPr>
            <w:tcW w:w="12690" w:type="dxa"/>
            <w:gridSpan w:val="12"/>
          </w:tcPr>
          <w:p w:rsidR="000D0527" w:rsidRDefault="000D0527" w:rsidP="00EE5CA6">
            <w:pPr>
              <w:spacing w:before="120" w:after="120"/>
            </w:pPr>
            <w:r w:rsidRPr="0062117A">
              <w:t>Non-ratable Takes</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2</w:t>
            </w:r>
          </w:p>
        </w:tc>
        <w:tc>
          <w:tcPr>
            <w:tcW w:w="4950" w:type="dxa"/>
          </w:tcPr>
          <w:p w:rsidR="000D0527" w:rsidRDefault="000D0527" w:rsidP="00EE5CA6">
            <w:pPr>
              <w:spacing w:before="120" w:after="120"/>
            </w:pPr>
            <w:r>
              <w:t>Non-ratable flexibility, both required to support services purchased and on a best efforts basis. Pipelines  that offer no-notice service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p w:rsidR="00AA6F15" w:rsidRPr="00F21D00" w:rsidRDefault="00AA6F15" w:rsidP="00AA6F15">
            <w:pPr>
              <w:spacing w:before="120" w:after="120"/>
            </w:pPr>
            <w:r w:rsidRPr="00F21D00">
              <w:t xml:space="preserve">Proposed Solution(s): </w:t>
            </w:r>
          </w:p>
          <w:p w:rsidR="00AA6F15" w:rsidRDefault="00AA6F15" w:rsidP="00AA6F15">
            <w:pPr>
              <w:pStyle w:val="ListParagraph"/>
              <w:numPr>
                <w:ilvl w:val="0"/>
                <w:numId w:val="29"/>
              </w:numPr>
              <w:spacing w:before="120" w:after="120"/>
            </w:pPr>
            <w:r>
              <w:t>No actionable item</w:t>
            </w:r>
            <w:r w:rsidR="00E17A9E">
              <w:t>s</w:t>
            </w:r>
            <w:r w:rsidR="00E17A9E">
              <w:rPr>
                <w:rFonts w:ascii="Times New Roman" w:hAnsi="Times New Roman" w:cs="Times New Roman"/>
                <w:sz w:val="20"/>
                <w:szCs w:val="20"/>
              </w:rPr>
              <w:t>, but if there are actions, they should occur through FERC and /or pipeline service offerings</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23</w:t>
            </w:r>
          </w:p>
        </w:tc>
        <w:tc>
          <w:tcPr>
            <w:tcW w:w="4950" w:type="dxa"/>
          </w:tcPr>
          <w:p w:rsidR="000D0527" w:rsidRDefault="000D0527" w:rsidP="00EE5CA6">
            <w:pPr>
              <w:spacing w:before="120" w:after="120"/>
            </w:pPr>
            <w:r>
              <w:t>For certain service types, the ability to provide a more granular (e.g., 24 hour) take pattern could alleviate/reduce reliance on intraday to achieve that take pattern.</w:t>
            </w:r>
          </w:p>
          <w:p w:rsidR="00E17A9E" w:rsidRPr="00644E38" w:rsidRDefault="00E17A9E" w:rsidP="00E17A9E">
            <w:pPr>
              <w:spacing w:before="120" w:after="120"/>
            </w:pPr>
            <w:r w:rsidRPr="00644E38">
              <w:t xml:space="preserve">Proposed Solution(s): </w:t>
            </w:r>
          </w:p>
          <w:p w:rsidR="00E17A9E" w:rsidRPr="00644E38" w:rsidRDefault="00E17A9E" w:rsidP="00E17A9E">
            <w:pPr>
              <w:pStyle w:val="ListParagraph"/>
              <w:numPr>
                <w:ilvl w:val="0"/>
                <w:numId w:val="29"/>
              </w:numPr>
              <w:spacing w:before="120" w:after="120"/>
              <w:rPr>
                <w:rFonts w:ascii="Times New Roman" w:hAnsi="Times New Roman" w:cs="Times New Roman"/>
                <w:sz w:val="20"/>
                <w:szCs w:val="20"/>
              </w:rPr>
            </w:pPr>
            <w:r w:rsidRPr="00644E38">
              <w:rPr>
                <w:rFonts w:ascii="Times New Roman" w:hAnsi="Times New Roman" w:cs="Times New Roman"/>
                <w:sz w:val="20"/>
                <w:szCs w:val="20"/>
              </w:rPr>
              <w:t xml:space="preserve">No actionable items, but if there are actions, they should occur through FERC and /or pipeline </w:t>
            </w:r>
            <w:r w:rsidRPr="00644E38">
              <w:rPr>
                <w:rFonts w:ascii="Times New Roman" w:hAnsi="Times New Roman" w:cs="Times New Roman"/>
                <w:sz w:val="20"/>
                <w:szCs w:val="20"/>
              </w:rPr>
              <w:lastRenderedPageBreak/>
              <w:t>service offerings</w:t>
            </w:r>
          </w:p>
          <w:p w:rsidR="00E17A9E" w:rsidRDefault="00E17A9E" w:rsidP="00E17A9E">
            <w:pPr>
              <w:pStyle w:val="ListParagraph"/>
              <w:numPr>
                <w:ilvl w:val="0"/>
                <w:numId w:val="29"/>
              </w:numPr>
              <w:spacing w:before="120" w:after="120"/>
            </w:pPr>
            <w:r w:rsidRPr="00644E38">
              <w:rPr>
                <w:rFonts w:ascii="Times New Roman" w:hAnsi="Times New Roman" w:cs="Times New Roman"/>
                <w:sz w:val="20"/>
                <w:szCs w:val="20"/>
              </w:rPr>
              <w:t>Actionable by NAESB in the current environment</w:t>
            </w:r>
            <w:r w:rsidR="00644E38" w:rsidRPr="00644E38">
              <w:rPr>
                <w:rFonts w:ascii="Times New Roman" w:hAnsi="Times New Roman" w:cs="Times New Roman"/>
                <w:sz w:val="20"/>
                <w:szCs w:val="20"/>
              </w:rPr>
              <w:t xml:space="preserve"> for those pipelines offering such services</w:t>
            </w:r>
          </w:p>
        </w:tc>
        <w:tc>
          <w:tcPr>
            <w:tcW w:w="740" w:type="dxa"/>
          </w:tcPr>
          <w:p w:rsidR="000D0527" w:rsidRDefault="000D0527" w:rsidP="00EE5CA6">
            <w:pPr>
              <w:spacing w:before="120" w:after="120"/>
              <w:jc w:val="center"/>
            </w:pPr>
            <w:r>
              <w:lastRenderedPageBreak/>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40</w:t>
            </w:r>
          </w:p>
        </w:tc>
        <w:tc>
          <w:tcPr>
            <w:tcW w:w="4950" w:type="dxa"/>
          </w:tcPr>
          <w:p w:rsidR="000D0527" w:rsidRDefault="000D0527" w:rsidP="00EE5CA6">
            <w:pPr>
              <w:spacing w:before="120" w:after="120"/>
            </w:pPr>
            <w:r>
              <w:t>Some parties seek more opportunities to change the shape of flows over the course of a gas day so that the actual flows may differ from the 1/24th per hour rate.  For example: use more nomination cycles and schedules to achieve non-ratable takes, instead of /in addition to using other tools like no-notice and hourly nomination services.</w:t>
            </w:r>
          </w:p>
          <w:p w:rsidR="00644E38" w:rsidRPr="00644E38" w:rsidRDefault="00644E38" w:rsidP="00644E38">
            <w:pPr>
              <w:spacing w:before="120" w:after="120"/>
            </w:pPr>
            <w:r w:rsidRPr="00644E38">
              <w:t xml:space="preserve">Proposed Solution(s): </w:t>
            </w:r>
          </w:p>
          <w:p w:rsidR="00644E38" w:rsidRDefault="005047FD" w:rsidP="00644E38">
            <w:pPr>
              <w:pStyle w:val="ListParagraph"/>
              <w:numPr>
                <w:ilvl w:val="0"/>
                <w:numId w:val="29"/>
              </w:numPr>
              <w:spacing w:before="120" w:after="120"/>
            </w:pPr>
            <w:r>
              <w:rPr>
                <w:rFonts w:ascii="Times New Roman" w:hAnsi="Times New Roman" w:cs="Times New Roman"/>
                <w:sz w:val="20"/>
                <w:szCs w:val="20"/>
              </w:rPr>
              <w:t>See item 2-23</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42</w:t>
            </w:r>
          </w:p>
        </w:tc>
        <w:tc>
          <w:tcPr>
            <w:tcW w:w="4950" w:type="dxa"/>
          </w:tcPr>
          <w:p w:rsidR="000D0527" w:rsidRDefault="000D0527" w:rsidP="00EE5CA6">
            <w:pPr>
              <w:spacing w:before="120" w:after="120"/>
            </w:pPr>
            <w:r>
              <w:t xml:space="preserve">A field test for best-efforts scheduling may be able to give us information as to demand and utility of services supporting non-ratable service.  </w:t>
            </w:r>
          </w:p>
          <w:p w:rsidR="005047FD" w:rsidRPr="00644E38" w:rsidRDefault="005047FD" w:rsidP="005047FD">
            <w:pPr>
              <w:spacing w:before="120" w:after="120"/>
            </w:pPr>
            <w:r w:rsidRPr="00644E38">
              <w:t xml:space="preserve">Proposed Solution(s): </w:t>
            </w:r>
          </w:p>
          <w:p w:rsidR="005047FD" w:rsidRPr="005047FD" w:rsidRDefault="005047FD" w:rsidP="005047FD">
            <w:pPr>
              <w:pStyle w:val="ListParagraph"/>
              <w:numPr>
                <w:ilvl w:val="0"/>
                <w:numId w:val="29"/>
              </w:numPr>
              <w:spacing w:before="120" w:after="120"/>
              <w:rPr>
                <w:rFonts w:ascii="Times New Roman" w:hAnsi="Times New Roman" w:cs="Times New Roman"/>
                <w:sz w:val="20"/>
                <w:szCs w:val="20"/>
              </w:rPr>
            </w:pPr>
            <w:r w:rsidRPr="00644E38">
              <w:rPr>
                <w:rFonts w:ascii="Times New Roman" w:hAnsi="Times New Roman" w:cs="Times New Roman"/>
                <w:sz w:val="20"/>
                <w:szCs w:val="20"/>
              </w:rPr>
              <w:t>No actionable items, but if there are actions, they should occur through FERC and /or pipeline service offerings</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46</w:t>
            </w:r>
          </w:p>
        </w:tc>
        <w:tc>
          <w:tcPr>
            <w:tcW w:w="4950" w:type="dxa"/>
          </w:tcPr>
          <w:p w:rsidR="000D0527" w:rsidRDefault="000D0527" w:rsidP="00EE5CA6">
            <w:pPr>
              <w:spacing w:before="120" w:after="120"/>
            </w:pPr>
            <w:r>
              <w:t>Best-efforts scheduling could also be applied to day-ahead shaped flows.</w:t>
            </w:r>
          </w:p>
          <w:p w:rsidR="00B63E5A" w:rsidRPr="00B63E5A" w:rsidRDefault="00B63E5A" w:rsidP="00B63E5A">
            <w:pPr>
              <w:spacing w:before="120" w:after="120"/>
            </w:pPr>
            <w:r w:rsidRPr="00B63E5A">
              <w:t xml:space="preserve">Proposed Solution(s): </w:t>
            </w:r>
          </w:p>
          <w:p w:rsidR="00B63E5A" w:rsidRPr="0057019C" w:rsidRDefault="00B63E5A" w:rsidP="00B63E5A">
            <w:pPr>
              <w:pStyle w:val="ListParagraph"/>
              <w:numPr>
                <w:ilvl w:val="0"/>
                <w:numId w:val="29"/>
              </w:numPr>
              <w:spacing w:before="120" w:after="120"/>
            </w:pPr>
            <w:r w:rsidRPr="00B63E5A">
              <w:rPr>
                <w:rFonts w:ascii="Times New Roman" w:hAnsi="Times New Roman" w:cs="Times New Roman"/>
                <w:sz w:val="20"/>
                <w:szCs w:val="20"/>
              </w:rPr>
              <w:t>No actionable items, but if there are actions, they should occur through FERC and /or pipeline service offerings</w:t>
            </w:r>
          </w:p>
          <w:p w:rsidR="0057019C" w:rsidRDefault="0057019C" w:rsidP="00B63E5A">
            <w:pPr>
              <w:pStyle w:val="ListParagraph"/>
              <w:numPr>
                <w:ilvl w:val="0"/>
                <w:numId w:val="29"/>
              </w:numPr>
              <w:spacing w:before="120" w:after="120"/>
            </w:pPr>
            <w:r w:rsidRPr="00644E38">
              <w:rPr>
                <w:rFonts w:ascii="Times New Roman" w:hAnsi="Times New Roman" w:cs="Times New Roman"/>
                <w:sz w:val="20"/>
                <w:szCs w:val="20"/>
              </w:rPr>
              <w:lastRenderedPageBreak/>
              <w:t>Actionable by NAESB in the current environment for those pipelines offering such services</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p>
        </w:tc>
      </w:tr>
      <w:tr w:rsidR="00A5619A" w:rsidTr="00A5619A">
        <w:tc>
          <w:tcPr>
            <w:tcW w:w="468" w:type="dxa"/>
          </w:tcPr>
          <w:p w:rsidR="00A5619A" w:rsidRDefault="00A5619A" w:rsidP="003E2F1B">
            <w:pPr>
              <w:keepNext/>
              <w:spacing w:before="120" w:after="120"/>
            </w:pPr>
            <w:r>
              <w:lastRenderedPageBreak/>
              <w:t>3</w:t>
            </w:r>
          </w:p>
        </w:tc>
        <w:tc>
          <w:tcPr>
            <w:tcW w:w="12690" w:type="dxa"/>
            <w:gridSpan w:val="12"/>
          </w:tcPr>
          <w:p w:rsidR="00A5619A" w:rsidRDefault="00A5619A" w:rsidP="00EE5CA6">
            <w:pPr>
              <w:spacing w:before="120" w:after="120"/>
            </w:pPr>
            <w:r w:rsidRPr="0062117A">
              <w:t>Observations</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3</w:t>
            </w:r>
          </w:p>
        </w:tc>
        <w:tc>
          <w:tcPr>
            <w:tcW w:w="4950" w:type="dxa"/>
          </w:tcPr>
          <w:p w:rsidR="000D0527" w:rsidRDefault="000D0527" w:rsidP="00EE5CA6">
            <w:pPr>
              <w:spacing w:before="120" w:after="120"/>
            </w:pPr>
            <w:r>
              <w:t>Performance of receipt/delivery locations – off-rate (daily/hourly)</w:t>
            </w:r>
          </w:p>
          <w:p w:rsidR="0057019C" w:rsidRPr="00B63E5A" w:rsidRDefault="0057019C" w:rsidP="0057019C">
            <w:pPr>
              <w:spacing w:before="120" w:after="120"/>
            </w:pPr>
            <w:r w:rsidRPr="00B63E5A">
              <w:t xml:space="preserve">Proposed Solution(s): </w:t>
            </w:r>
          </w:p>
          <w:p w:rsidR="0057019C" w:rsidRDefault="0057019C" w:rsidP="0057019C">
            <w:pPr>
              <w:pStyle w:val="ListParagraph"/>
              <w:numPr>
                <w:ilvl w:val="0"/>
                <w:numId w:val="29"/>
              </w:numPr>
              <w:spacing w:before="120" w:after="120"/>
            </w:pPr>
            <w:r w:rsidRPr="00B63E5A">
              <w:rPr>
                <w:rFonts w:ascii="Times New Roman" w:hAnsi="Times New Roman" w:cs="Times New Roman"/>
                <w:sz w:val="20"/>
                <w:szCs w:val="20"/>
              </w:rPr>
              <w:t>No actionable items</w:t>
            </w:r>
            <w:r>
              <w:rPr>
                <w:rFonts w:ascii="Times New Roman" w:hAnsi="Times New Roman" w:cs="Times New Roman"/>
                <w:sz w:val="20"/>
                <w:szCs w:val="20"/>
              </w:rPr>
              <w:t xml:space="preserve">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4</w:t>
            </w:r>
          </w:p>
        </w:tc>
        <w:tc>
          <w:tcPr>
            <w:tcW w:w="4950" w:type="dxa"/>
          </w:tcPr>
          <w:p w:rsidR="000D0527" w:rsidRDefault="000D0527" w:rsidP="00EE5CA6">
            <w:pPr>
              <w:spacing w:before="120" w:after="120"/>
            </w:pPr>
            <w:r>
              <w:t>Redirection of net scheduled flows resulting from nominations can occur through other portions of the pipeline</w:t>
            </w:r>
          </w:p>
          <w:p w:rsidR="0057019C" w:rsidRPr="0057019C" w:rsidRDefault="0057019C" w:rsidP="0057019C">
            <w:pPr>
              <w:spacing w:before="120" w:after="120"/>
            </w:pPr>
            <w:r w:rsidRPr="0057019C">
              <w:t xml:space="preserve">Proposed Solution(s): </w:t>
            </w:r>
          </w:p>
          <w:p w:rsidR="0057019C" w:rsidRDefault="0057019C" w:rsidP="0057019C">
            <w:pPr>
              <w:pStyle w:val="ListParagraph"/>
              <w:numPr>
                <w:ilvl w:val="0"/>
                <w:numId w:val="29"/>
              </w:numPr>
              <w:spacing w:before="120" w:after="120"/>
            </w:pPr>
            <w:r w:rsidRPr="0057019C">
              <w:rPr>
                <w:rFonts w:ascii="Times New Roman" w:hAnsi="Times New Roman" w:cs="Times New Roman"/>
                <w:sz w:val="20"/>
                <w:szCs w:val="20"/>
              </w:rPr>
              <w:t>No actionable items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5</w:t>
            </w:r>
          </w:p>
        </w:tc>
        <w:tc>
          <w:tcPr>
            <w:tcW w:w="4950" w:type="dxa"/>
          </w:tcPr>
          <w:p w:rsidR="000D0527" w:rsidRDefault="000D0527" w:rsidP="00EE5CA6">
            <w:pPr>
              <w:spacing w:before="120" w:after="120"/>
            </w:pPr>
            <w:r>
              <w:t>Interdependent capacity changes due to location of receipts/deliveries</w:t>
            </w:r>
          </w:p>
          <w:p w:rsidR="0057019C" w:rsidRPr="00B63E5A" w:rsidRDefault="0057019C" w:rsidP="0057019C">
            <w:pPr>
              <w:spacing w:before="120" w:after="120"/>
            </w:pPr>
            <w:r w:rsidRPr="00B63E5A">
              <w:t xml:space="preserve">Proposed Solution(s): </w:t>
            </w:r>
          </w:p>
          <w:p w:rsidR="0057019C" w:rsidRDefault="0057019C" w:rsidP="0057019C">
            <w:pPr>
              <w:spacing w:before="120" w:after="120"/>
            </w:pPr>
            <w:r w:rsidRPr="00B63E5A">
              <w:t>No actionable items</w:t>
            </w:r>
            <w:r>
              <w:t xml:space="preserve">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6</w:t>
            </w:r>
          </w:p>
        </w:tc>
        <w:tc>
          <w:tcPr>
            <w:tcW w:w="4950" w:type="dxa"/>
          </w:tcPr>
          <w:p w:rsidR="000D0527" w:rsidRDefault="000D0527" w:rsidP="00EE5CA6">
            <w:pPr>
              <w:spacing w:before="120" w:after="120"/>
            </w:pPr>
            <w:r>
              <w:t>Impact of weather on supply/demand and compressor efficiencies</w:t>
            </w:r>
          </w:p>
          <w:p w:rsidR="0057019C" w:rsidRPr="00B63E5A" w:rsidRDefault="0057019C" w:rsidP="0057019C">
            <w:pPr>
              <w:spacing w:before="120" w:after="120"/>
            </w:pPr>
            <w:r w:rsidRPr="00B63E5A">
              <w:t xml:space="preserve">Proposed Solution(s): </w:t>
            </w:r>
          </w:p>
          <w:p w:rsidR="0057019C" w:rsidRDefault="0057019C" w:rsidP="0057019C">
            <w:pPr>
              <w:spacing w:before="120" w:after="120"/>
            </w:pPr>
            <w:r w:rsidRPr="00B63E5A">
              <w:lastRenderedPageBreak/>
              <w:t>No actionable items</w:t>
            </w:r>
            <w:r>
              <w:t xml:space="preserve">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7</w:t>
            </w:r>
          </w:p>
        </w:tc>
        <w:tc>
          <w:tcPr>
            <w:tcW w:w="4950" w:type="dxa"/>
          </w:tcPr>
          <w:p w:rsidR="000D0527" w:rsidRDefault="000D0527" w:rsidP="00EE5CA6">
            <w:pPr>
              <w:spacing w:before="120" w:after="120"/>
            </w:pPr>
            <w:r>
              <w:t>Pipeline line pack, pipeline storage, and third party storage(including LDC storage) levels/location in relation to supply/demand</w:t>
            </w:r>
          </w:p>
          <w:p w:rsidR="0057019C" w:rsidRPr="00F55547" w:rsidRDefault="0057019C" w:rsidP="0057019C">
            <w:pPr>
              <w:spacing w:before="120" w:after="120"/>
            </w:pPr>
            <w:r w:rsidRPr="00F55547">
              <w:t xml:space="preserve">Proposed Solution(s): </w:t>
            </w:r>
          </w:p>
          <w:p w:rsidR="0057019C" w:rsidRDefault="0057019C" w:rsidP="00F55547">
            <w:pPr>
              <w:pStyle w:val="ListParagraph"/>
              <w:numPr>
                <w:ilvl w:val="0"/>
                <w:numId w:val="29"/>
              </w:numPr>
              <w:spacing w:before="120" w:after="120"/>
            </w:pPr>
            <w:r w:rsidRPr="00F55547">
              <w:rPr>
                <w:rFonts w:ascii="Times New Roman" w:hAnsi="Times New Roman" w:cs="Times New Roman"/>
                <w:sz w:val="20"/>
                <w:szCs w:val="20"/>
              </w:rPr>
              <w:t>No actionable items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8</w:t>
            </w:r>
          </w:p>
        </w:tc>
        <w:tc>
          <w:tcPr>
            <w:tcW w:w="4950" w:type="dxa"/>
          </w:tcPr>
          <w:p w:rsidR="000D0527" w:rsidRDefault="000D0527" w:rsidP="00EE5CA6">
            <w:pPr>
              <w:spacing w:before="120" w:after="120"/>
            </w:pPr>
            <w:r>
              <w:t>Gas quality fluctuation – heat content, etc.</w:t>
            </w:r>
          </w:p>
          <w:p w:rsidR="0057019C" w:rsidRPr="00B63E5A" w:rsidRDefault="0057019C" w:rsidP="0057019C">
            <w:pPr>
              <w:spacing w:before="120" w:after="120"/>
            </w:pPr>
            <w:r w:rsidRPr="00B63E5A">
              <w:t xml:space="preserve">Proposed Solution(s): </w:t>
            </w:r>
          </w:p>
          <w:p w:rsidR="0057019C" w:rsidRDefault="0057019C" w:rsidP="0057019C">
            <w:pPr>
              <w:spacing w:before="120" w:after="120"/>
            </w:pPr>
            <w:r w:rsidRPr="00B63E5A">
              <w:t>No actionable items</w:t>
            </w:r>
            <w:r>
              <w:t xml:space="preserve">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9</w:t>
            </w:r>
          </w:p>
        </w:tc>
        <w:tc>
          <w:tcPr>
            <w:tcW w:w="4950" w:type="dxa"/>
          </w:tcPr>
          <w:p w:rsidR="000D0527" w:rsidRDefault="000D0527" w:rsidP="00EE5CA6">
            <w:pPr>
              <w:spacing w:before="120" w:after="120"/>
            </w:pPr>
            <w:r>
              <w:t>Backhaul/displacement reliability.  Pipelines evaluate historic patterns of backhaul/displacement transactions to determine whether such transactions can be relied upon during evaluation of the following scheduling cycles. (E.g.: Can the backhaul happen? Can you keep relying on it and does it create space for forward haul?)</w:t>
            </w:r>
          </w:p>
          <w:p w:rsidR="0057019C" w:rsidRPr="00B63E5A" w:rsidRDefault="0057019C" w:rsidP="0057019C">
            <w:pPr>
              <w:spacing w:before="120" w:after="120"/>
            </w:pPr>
            <w:r w:rsidRPr="00B63E5A">
              <w:t xml:space="preserve">Proposed Solution(s): </w:t>
            </w:r>
          </w:p>
          <w:p w:rsidR="0057019C" w:rsidRDefault="0057019C" w:rsidP="0057019C">
            <w:pPr>
              <w:spacing w:before="120" w:after="120"/>
            </w:pPr>
            <w:r w:rsidRPr="00B63E5A">
              <w:t>No actionable items</w:t>
            </w:r>
            <w:r>
              <w:t xml:space="preserve">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10</w:t>
            </w:r>
          </w:p>
        </w:tc>
        <w:tc>
          <w:tcPr>
            <w:tcW w:w="4950" w:type="dxa"/>
          </w:tcPr>
          <w:p w:rsidR="000D0527" w:rsidRDefault="000D0527" w:rsidP="00EE5CA6">
            <w:pPr>
              <w:spacing w:before="120" w:after="120"/>
            </w:pPr>
            <w:r>
              <w:t>Maintenance activities</w:t>
            </w:r>
          </w:p>
          <w:p w:rsidR="0057019C" w:rsidRPr="00B63E5A" w:rsidRDefault="0057019C" w:rsidP="0057019C">
            <w:pPr>
              <w:spacing w:before="120" w:after="120"/>
            </w:pPr>
            <w:r w:rsidRPr="00B63E5A">
              <w:t xml:space="preserve">Proposed Solution(s): </w:t>
            </w:r>
          </w:p>
          <w:p w:rsidR="0057019C" w:rsidRDefault="0057019C" w:rsidP="0057019C">
            <w:pPr>
              <w:spacing w:before="120" w:after="120"/>
            </w:pPr>
            <w:r w:rsidRPr="00B63E5A">
              <w:t>No actionable items</w:t>
            </w:r>
            <w:r>
              <w:t xml:space="preserve">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12</w:t>
            </w:r>
          </w:p>
        </w:tc>
        <w:tc>
          <w:tcPr>
            <w:tcW w:w="4950" w:type="dxa"/>
          </w:tcPr>
          <w:p w:rsidR="000D0527" w:rsidRDefault="000D0527" w:rsidP="00EE5CA6">
            <w:pPr>
              <w:spacing w:before="120" w:after="120"/>
            </w:pPr>
            <w:r>
              <w:t>Order of applying reductions (optimization) – location v. segments, order of scheduling segments, timing of the balancing</w:t>
            </w:r>
          </w:p>
          <w:p w:rsidR="0057019C" w:rsidRPr="00B63E5A" w:rsidRDefault="0057019C" w:rsidP="0057019C">
            <w:pPr>
              <w:spacing w:before="120" w:after="120"/>
            </w:pPr>
            <w:r w:rsidRPr="00B63E5A">
              <w:t xml:space="preserve">Proposed Solution(s): </w:t>
            </w:r>
          </w:p>
          <w:p w:rsidR="0057019C" w:rsidRDefault="0057019C" w:rsidP="0057019C">
            <w:pPr>
              <w:spacing w:before="120" w:after="120"/>
            </w:pPr>
            <w:r w:rsidRPr="00B63E5A">
              <w:t>No actionable items</w:t>
            </w:r>
            <w:r>
              <w:t xml:space="preserve">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13</w:t>
            </w:r>
          </w:p>
        </w:tc>
        <w:tc>
          <w:tcPr>
            <w:tcW w:w="4950" w:type="dxa"/>
          </w:tcPr>
          <w:p w:rsidR="000D0527" w:rsidRDefault="000D0527" w:rsidP="00EE5CA6">
            <w:pPr>
              <w:spacing w:before="120" w:after="120"/>
            </w:pPr>
            <w:r>
              <w:t xml:space="preserve"> Identification of opportunities for imbalance management</w:t>
            </w:r>
          </w:p>
          <w:p w:rsidR="0057019C" w:rsidRPr="00B63E5A" w:rsidRDefault="0057019C" w:rsidP="0057019C">
            <w:pPr>
              <w:spacing w:before="120" w:after="120"/>
            </w:pPr>
            <w:r w:rsidRPr="00B63E5A">
              <w:t xml:space="preserve">Proposed Solution(s): </w:t>
            </w:r>
          </w:p>
          <w:p w:rsidR="0057019C" w:rsidRDefault="0057019C" w:rsidP="0057019C">
            <w:pPr>
              <w:spacing w:before="120" w:after="120"/>
            </w:pPr>
            <w:r w:rsidRPr="00B63E5A">
              <w:t>No actionable items</w:t>
            </w:r>
            <w:r>
              <w:t xml:space="preserve">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14</w:t>
            </w:r>
          </w:p>
        </w:tc>
        <w:tc>
          <w:tcPr>
            <w:tcW w:w="4950" w:type="dxa"/>
          </w:tcPr>
          <w:p w:rsidR="000D0527" w:rsidRDefault="000D0527" w:rsidP="00EE5CA6">
            <w:pPr>
              <w:spacing w:before="120" w:after="120"/>
            </w:pPr>
            <w:r>
              <w:t>Balancing of pools</w:t>
            </w:r>
          </w:p>
          <w:p w:rsidR="0057019C" w:rsidRPr="0057019C" w:rsidRDefault="0057019C" w:rsidP="0057019C">
            <w:pPr>
              <w:spacing w:before="120" w:after="120"/>
            </w:pPr>
            <w:r w:rsidRPr="0057019C">
              <w:t xml:space="preserve">Proposed Solution(s): </w:t>
            </w:r>
          </w:p>
          <w:p w:rsidR="0057019C" w:rsidRDefault="0057019C" w:rsidP="0057019C">
            <w:pPr>
              <w:pStyle w:val="ListParagraph"/>
              <w:numPr>
                <w:ilvl w:val="0"/>
                <w:numId w:val="29"/>
              </w:numPr>
              <w:spacing w:before="120" w:after="120"/>
            </w:pPr>
            <w:r w:rsidRPr="0057019C">
              <w:rPr>
                <w:rFonts w:ascii="Times New Roman" w:hAnsi="Times New Roman" w:cs="Times New Roman"/>
                <w:sz w:val="20"/>
                <w:szCs w:val="20"/>
              </w:rPr>
              <w:t>No actionable items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15</w:t>
            </w:r>
          </w:p>
        </w:tc>
        <w:tc>
          <w:tcPr>
            <w:tcW w:w="4950" w:type="dxa"/>
          </w:tcPr>
          <w:p w:rsidR="000D0527" w:rsidRDefault="000D0527" w:rsidP="00EE5CA6">
            <w:pPr>
              <w:spacing w:before="120" w:after="120"/>
            </w:pPr>
            <w:r>
              <w:t>Flexibility of EPSQ, its level and when it should apply</w:t>
            </w:r>
          </w:p>
          <w:p w:rsidR="0057019C" w:rsidRPr="0057019C" w:rsidRDefault="0057019C" w:rsidP="0057019C">
            <w:pPr>
              <w:spacing w:before="120" w:after="120"/>
            </w:pPr>
            <w:r w:rsidRPr="0057019C">
              <w:t xml:space="preserve">Proposed Solution(s): </w:t>
            </w:r>
          </w:p>
          <w:p w:rsidR="0057019C" w:rsidRDefault="0057019C" w:rsidP="0057019C">
            <w:pPr>
              <w:pStyle w:val="ListParagraph"/>
              <w:numPr>
                <w:ilvl w:val="0"/>
                <w:numId w:val="29"/>
              </w:numPr>
              <w:spacing w:before="120" w:after="120"/>
            </w:pPr>
            <w:r w:rsidRPr="0057019C">
              <w:rPr>
                <w:rFonts w:ascii="Times New Roman" w:hAnsi="Times New Roman" w:cs="Times New Roman"/>
                <w:sz w:val="20"/>
                <w:szCs w:val="20"/>
              </w:rPr>
              <w:t>No actionable items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24</w:t>
            </w:r>
          </w:p>
        </w:tc>
        <w:tc>
          <w:tcPr>
            <w:tcW w:w="4950" w:type="dxa"/>
          </w:tcPr>
          <w:p w:rsidR="000D0527" w:rsidRDefault="000D0527" w:rsidP="00EE5CA6">
            <w:pPr>
              <w:spacing w:before="120" w:after="120"/>
            </w:pPr>
            <w:r>
              <w:t>Operational risk assessment.  Some grid operators take into consideration impacts of gas scheduling and nomination on the electric grid through routine risk assessments.</w:t>
            </w:r>
          </w:p>
          <w:p w:rsidR="0057019C" w:rsidRPr="0057019C" w:rsidRDefault="0057019C" w:rsidP="0057019C">
            <w:pPr>
              <w:spacing w:before="120" w:after="120"/>
            </w:pPr>
            <w:r w:rsidRPr="0057019C">
              <w:t xml:space="preserve">Proposed Solution(s): </w:t>
            </w:r>
          </w:p>
          <w:p w:rsidR="0057019C" w:rsidRDefault="0057019C" w:rsidP="0057019C">
            <w:pPr>
              <w:pStyle w:val="ListParagraph"/>
              <w:numPr>
                <w:ilvl w:val="0"/>
                <w:numId w:val="29"/>
              </w:numPr>
              <w:spacing w:before="120" w:after="120"/>
            </w:pPr>
            <w:r w:rsidRPr="0057019C">
              <w:rPr>
                <w:rFonts w:ascii="Times New Roman" w:hAnsi="Times New Roman" w:cs="Times New Roman"/>
                <w:sz w:val="20"/>
                <w:szCs w:val="20"/>
              </w:rPr>
              <w:lastRenderedPageBreak/>
              <w:t>No actionable items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A5619A" w:rsidTr="00A5619A">
        <w:tc>
          <w:tcPr>
            <w:tcW w:w="468" w:type="dxa"/>
          </w:tcPr>
          <w:p w:rsidR="00A5619A" w:rsidRDefault="00A5619A" w:rsidP="00EE5CA6">
            <w:pPr>
              <w:spacing w:before="120" w:after="120"/>
              <w:jc w:val="center"/>
            </w:pPr>
            <w:r>
              <w:lastRenderedPageBreak/>
              <w:t>4</w:t>
            </w:r>
          </w:p>
        </w:tc>
        <w:tc>
          <w:tcPr>
            <w:tcW w:w="12690" w:type="dxa"/>
            <w:gridSpan w:val="12"/>
          </w:tcPr>
          <w:p w:rsidR="00A5619A" w:rsidRDefault="00A5619A" w:rsidP="00EE5CA6">
            <w:pPr>
              <w:spacing w:before="120" w:after="120"/>
            </w:pPr>
            <w:r w:rsidRPr="0062117A">
              <w:t>Support for Multiple Versions of Standards</w:t>
            </w:r>
          </w:p>
        </w:tc>
      </w:tr>
      <w:tr w:rsidR="000D0527" w:rsidTr="00A5619A">
        <w:tc>
          <w:tcPr>
            <w:tcW w:w="468" w:type="dxa"/>
          </w:tcPr>
          <w:p w:rsidR="000D0527" w:rsidRDefault="000D0527" w:rsidP="00EE5CA6">
            <w:pPr>
              <w:spacing w:before="120" w:after="120"/>
              <w:jc w:val="center"/>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16</w:t>
            </w:r>
          </w:p>
        </w:tc>
        <w:tc>
          <w:tcPr>
            <w:tcW w:w="4950" w:type="dxa"/>
          </w:tcPr>
          <w:p w:rsidR="000D0527" w:rsidRDefault="000D0527" w:rsidP="00EE5CA6">
            <w:pPr>
              <w:spacing w:before="120" w:after="120"/>
            </w:pPr>
            <w:r>
              <w:t>Application of various NAESB versions and support provided by pipelines for several versions</w:t>
            </w:r>
          </w:p>
          <w:p w:rsidR="0057019C" w:rsidRPr="0057019C" w:rsidRDefault="0057019C" w:rsidP="0057019C">
            <w:pPr>
              <w:spacing w:before="120" w:after="120"/>
            </w:pPr>
            <w:r w:rsidRPr="0057019C">
              <w:t xml:space="preserve">Proposed Solution(s): </w:t>
            </w:r>
          </w:p>
          <w:p w:rsidR="0057019C" w:rsidRDefault="0057019C" w:rsidP="0057019C">
            <w:pPr>
              <w:pStyle w:val="ListParagraph"/>
              <w:numPr>
                <w:ilvl w:val="0"/>
                <w:numId w:val="29"/>
              </w:numPr>
              <w:spacing w:before="120" w:after="120"/>
            </w:pPr>
            <w:r w:rsidRPr="0057019C">
              <w:rPr>
                <w:rFonts w:ascii="Times New Roman" w:hAnsi="Times New Roman" w:cs="Times New Roman"/>
                <w:sz w:val="20"/>
                <w:szCs w:val="20"/>
              </w:rPr>
              <w:t>No actionable items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A5619A" w:rsidTr="00A5619A">
        <w:tc>
          <w:tcPr>
            <w:tcW w:w="468" w:type="dxa"/>
          </w:tcPr>
          <w:p w:rsidR="00A5619A" w:rsidRDefault="00A5619A" w:rsidP="00EE5CA6">
            <w:pPr>
              <w:spacing w:before="120" w:after="120"/>
              <w:jc w:val="center"/>
            </w:pPr>
            <w:r>
              <w:t>5</w:t>
            </w:r>
          </w:p>
        </w:tc>
        <w:tc>
          <w:tcPr>
            <w:tcW w:w="12690" w:type="dxa"/>
            <w:gridSpan w:val="12"/>
          </w:tcPr>
          <w:p w:rsidR="00A5619A" w:rsidRDefault="00A5619A" w:rsidP="00EE5CA6">
            <w:pPr>
              <w:spacing w:before="120" w:after="120"/>
            </w:pPr>
            <w:r w:rsidRPr="0062117A">
              <w:t>Levels of Confirmations</w:t>
            </w:r>
          </w:p>
        </w:tc>
      </w:tr>
      <w:tr w:rsidR="000D0527" w:rsidTr="00EE5CA6">
        <w:tc>
          <w:tcPr>
            <w:tcW w:w="468" w:type="dxa"/>
          </w:tcPr>
          <w:p w:rsidR="000D0527" w:rsidRDefault="000D0527" w:rsidP="00EE5CA6">
            <w:pPr>
              <w:spacing w:before="120" w:after="120"/>
              <w:jc w:val="center"/>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17</w:t>
            </w:r>
          </w:p>
        </w:tc>
        <w:tc>
          <w:tcPr>
            <w:tcW w:w="4950" w:type="dxa"/>
          </w:tcPr>
          <w:p w:rsidR="000D0527" w:rsidRDefault="000D0527" w:rsidP="00EE5CA6">
            <w:pPr>
              <w:spacing w:before="120" w:after="120"/>
            </w:pPr>
            <w:r>
              <w:t>Levels of confirmation</w:t>
            </w:r>
          </w:p>
          <w:p w:rsidR="0057019C" w:rsidRPr="0057019C" w:rsidRDefault="0057019C" w:rsidP="0057019C">
            <w:pPr>
              <w:spacing w:before="120" w:after="120"/>
            </w:pPr>
            <w:r w:rsidRPr="0057019C">
              <w:t xml:space="preserve">Proposed Solution(s): </w:t>
            </w:r>
          </w:p>
          <w:p w:rsidR="0057019C" w:rsidRDefault="0057019C" w:rsidP="0057019C">
            <w:pPr>
              <w:pStyle w:val="ListParagraph"/>
              <w:numPr>
                <w:ilvl w:val="0"/>
                <w:numId w:val="29"/>
              </w:numPr>
              <w:spacing w:before="120" w:after="120"/>
            </w:pPr>
            <w:r w:rsidRPr="0057019C">
              <w:rPr>
                <w:rFonts w:ascii="Times New Roman" w:hAnsi="Times New Roman" w:cs="Times New Roman"/>
                <w:sz w:val="20"/>
                <w:szCs w:val="20"/>
              </w:rPr>
              <w:t>Actionable by NAESB in the current environment</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jc w:val="center"/>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19</w:t>
            </w:r>
          </w:p>
        </w:tc>
        <w:tc>
          <w:tcPr>
            <w:tcW w:w="4950" w:type="dxa"/>
          </w:tcPr>
          <w:p w:rsidR="000D0527" w:rsidRDefault="000D0527" w:rsidP="00EE5CA6">
            <w:pPr>
              <w:spacing w:before="120" w:after="120"/>
            </w:pPr>
            <w:r>
              <w:t>Manual confirmation processes</w:t>
            </w:r>
          </w:p>
          <w:p w:rsidR="00082048" w:rsidRPr="00082048" w:rsidRDefault="00082048" w:rsidP="00082048">
            <w:pPr>
              <w:spacing w:before="120" w:after="120"/>
            </w:pPr>
            <w:r w:rsidRPr="00082048">
              <w:t xml:space="preserve">Proposed Solution(s): </w:t>
            </w:r>
          </w:p>
          <w:p w:rsidR="00082048" w:rsidRDefault="00082048" w:rsidP="00082048">
            <w:pPr>
              <w:pStyle w:val="ListParagraph"/>
              <w:numPr>
                <w:ilvl w:val="0"/>
                <w:numId w:val="29"/>
              </w:numPr>
              <w:spacing w:before="120" w:after="120"/>
            </w:pPr>
            <w:r w:rsidRPr="00082048">
              <w:rPr>
                <w:rFonts w:ascii="Times New Roman" w:hAnsi="Times New Roman" w:cs="Times New Roman"/>
                <w:sz w:val="20"/>
                <w:szCs w:val="20"/>
              </w:rPr>
              <w:t>No actionable items</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A5619A" w:rsidTr="00EE5CA6">
        <w:tc>
          <w:tcPr>
            <w:tcW w:w="468" w:type="dxa"/>
          </w:tcPr>
          <w:p w:rsidR="00A5619A" w:rsidRDefault="00A5619A" w:rsidP="003E2F1B">
            <w:pPr>
              <w:keepNext/>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33</w:t>
            </w:r>
          </w:p>
        </w:tc>
        <w:tc>
          <w:tcPr>
            <w:tcW w:w="4950" w:type="dxa"/>
          </w:tcPr>
          <w:p w:rsidR="00A5619A" w:rsidRDefault="00A5619A" w:rsidP="00EE5CA6">
            <w:pPr>
              <w:spacing w:before="120" w:after="120"/>
            </w:pPr>
            <w: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p w:rsidR="00082048" w:rsidRPr="00082048" w:rsidRDefault="00082048" w:rsidP="00082048">
            <w:pPr>
              <w:spacing w:before="120" w:after="120"/>
            </w:pPr>
            <w:r w:rsidRPr="00082048">
              <w:t xml:space="preserve">Proposed Solution(s): </w:t>
            </w:r>
          </w:p>
          <w:p w:rsidR="00082048" w:rsidRDefault="00082048" w:rsidP="004A08E4">
            <w:pPr>
              <w:pStyle w:val="ListParagraph"/>
              <w:numPr>
                <w:ilvl w:val="0"/>
                <w:numId w:val="29"/>
              </w:numPr>
              <w:spacing w:before="120" w:after="120"/>
            </w:pPr>
            <w:r w:rsidRPr="00082048">
              <w:rPr>
                <w:rFonts w:ascii="Times New Roman" w:hAnsi="Times New Roman" w:cs="Times New Roman"/>
                <w:sz w:val="20"/>
                <w:szCs w:val="20"/>
              </w:rPr>
              <w:t xml:space="preserve">Actionable by NAESB in the current environment </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34</w:t>
            </w:r>
            <w:r w:rsidR="005D659E">
              <w:t>a,b</w:t>
            </w:r>
          </w:p>
        </w:tc>
        <w:tc>
          <w:tcPr>
            <w:tcW w:w="4950" w:type="dxa"/>
          </w:tcPr>
          <w:p w:rsidR="004A08E4" w:rsidRDefault="00A5619A" w:rsidP="00EE5CA6">
            <w:pPr>
              <w:spacing w:before="120" w:after="120"/>
            </w:pPr>
            <w:r>
              <w:t xml:space="preserve">There are non-bumping best-efforts nomination opportunities with streamlined confirmations as an intra-cycle nomination subject to operating conditions of the pipeline.  </w:t>
            </w:r>
          </w:p>
          <w:p w:rsidR="004A08E4" w:rsidRPr="005D659E" w:rsidRDefault="004A08E4" w:rsidP="004A08E4">
            <w:pPr>
              <w:spacing w:before="120" w:after="120"/>
            </w:pPr>
            <w:r w:rsidRPr="005D659E">
              <w:t xml:space="preserve">Proposed Solution(s): </w:t>
            </w:r>
          </w:p>
          <w:p w:rsidR="004A08E4" w:rsidRPr="005D659E" w:rsidRDefault="004A08E4" w:rsidP="005D659E">
            <w:pPr>
              <w:pStyle w:val="ListParagraph"/>
              <w:numPr>
                <w:ilvl w:val="0"/>
                <w:numId w:val="29"/>
              </w:numPr>
              <w:spacing w:before="120" w:after="120"/>
              <w:rPr>
                <w:rFonts w:ascii="Times New Roman" w:hAnsi="Times New Roman" w:cs="Times New Roman"/>
                <w:sz w:val="20"/>
                <w:szCs w:val="20"/>
              </w:rPr>
            </w:pPr>
            <w:r w:rsidRPr="005D659E">
              <w:rPr>
                <w:rFonts w:ascii="Times New Roman" w:hAnsi="Times New Roman" w:cs="Times New Roman"/>
                <w:sz w:val="20"/>
                <w:szCs w:val="20"/>
              </w:rPr>
              <w:t>No actionable items</w:t>
            </w:r>
            <w:r w:rsidR="005D659E" w:rsidRPr="00B63E5A">
              <w:rPr>
                <w:rFonts w:ascii="Times New Roman" w:hAnsi="Times New Roman" w:cs="Times New Roman"/>
                <w:sz w:val="20"/>
                <w:szCs w:val="20"/>
              </w:rPr>
              <w:t>, but if there are actions, they should occur through FERC and /or pipeline service offerings</w:t>
            </w:r>
          </w:p>
          <w:p w:rsidR="00A5619A" w:rsidRDefault="00A5619A" w:rsidP="00EE5CA6">
            <w:pPr>
              <w:spacing w:before="120" w:after="120"/>
            </w:pPr>
            <w:r>
              <w:t xml:space="preserve">True-up processes at the end of the gas day are examples of best efforts. This may be necessary but not sufficient to effectuate a transaction that can be scheduled. </w:t>
            </w:r>
          </w:p>
          <w:p w:rsidR="004A08E4" w:rsidRPr="004A08E4" w:rsidRDefault="004A08E4" w:rsidP="004A08E4">
            <w:pPr>
              <w:spacing w:before="120" w:after="120"/>
            </w:pPr>
            <w:r w:rsidRPr="004A08E4">
              <w:t xml:space="preserve">Proposed Solution(s): </w:t>
            </w:r>
          </w:p>
          <w:p w:rsidR="004A08E4" w:rsidRDefault="004A08E4" w:rsidP="005D659E">
            <w:pPr>
              <w:pStyle w:val="ListParagraph"/>
              <w:numPr>
                <w:ilvl w:val="0"/>
                <w:numId w:val="29"/>
              </w:numPr>
              <w:spacing w:before="120" w:after="120"/>
            </w:pPr>
            <w:r w:rsidRPr="00B63E5A">
              <w:rPr>
                <w:rFonts w:ascii="Times New Roman" w:hAnsi="Times New Roman" w:cs="Times New Roman"/>
                <w:sz w:val="20"/>
                <w:szCs w:val="20"/>
              </w:rPr>
              <w:t>No actionable items</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35</w:t>
            </w:r>
          </w:p>
        </w:tc>
        <w:tc>
          <w:tcPr>
            <w:tcW w:w="4950" w:type="dxa"/>
          </w:tcPr>
          <w:p w:rsidR="00A5619A" w:rsidRDefault="00A5619A" w:rsidP="00EE5CA6">
            <w:pPr>
              <w:spacing w:before="120" w:after="120"/>
            </w:pPr>
            <w:r>
              <w:t xml:space="preserve">Lining up the processes and timeframes that occur within the confirmations/scheduling window to gain efficiency of </w:t>
            </w:r>
            <w:r>
              <w:lastRenderedPageBreak/>
              <w:t xml:space="preserve">data exchange. </w:t>
            </w:r>
          </w:p>
          <w:p w:rsidR="005D659E" w:rsidRPr="005D659E" w:rsidRDefault="005D659E" w:rsidP="00EE5CA6">
            <w:pPr>
              <w:spacing w:before="120" w:after="120"/>
            </w:pPr>
            <w:r w:rsidRPr="005D659E">
              <w:t>Proposed Solution(s):</w:t>
            </w:r>
          </w:p>
          <w:p w:rsidR="005D659E" w:rsidRPr="005D659E" w:rsidRDefault="005D659E" w:rsidP="005D659E">
            <w:pPr>
              <w:pStyle w:val="ListParagraph"/>
              <w:numPr>
                <w:ilvl w:val="0"/>
                <w:numId w:val="29"/>
              </w:numPr>
              <w:spacing w:before="120" w:after="120"/>
              <w:rPr>
                <w:rFonts w:ascii="Times New Roman" w:hAnsi="Times New Roman" w:cs="Times New Roman"/>
                <w:sz w:val="20"/>
                <w:szCs w:val="20"/>
              </w:rPr>
            </w:pPr>
            <w:r w:rsidRPr="005D659E">
              <w:rPr>
                <w:rFonts w:ascii="Times New Roman" w:hAnsi="Times New Roman" w:cs="Times New Roman"/>
                <w:sz w:val="20"/>
                <w:szCs w:val="20"/>
              </w:rPr>
              <w:t>Actionable by NAESB in the current environment.</w:t>
            </w:r>
          </w:p>
          <w:p w:rsidR="005D659E" w:rsidRDefault="00F74FFE" w:rsidP="005D659E">
            <w:pPr>
              <w:pStyle w:val="ListParagraph"/>
              <w:numPr>
                <w:ilvl w:val="0"/>
                <w:numId w:val="29"/>
              </w:numPr>
              <w:spacing w:before="120" w:after="120"/>
            </w:pPr>
            <w:r w:rsidRPr="00F55547">
              <w:rPr>
                <w:rFonts w:ascii="Times New Roman" w:hAnsi="Times New Roman" w:cs="Times New Roman"/>
                <w:sz w:val="20"/>
                <w:szCs w:val="20"/>
              </w:rPr>
              <w:t xml:space="preserve">Actionable by NAESB after sufficient experience </w:t>
            </w:r>
            <w:r>
              <w:rPr>
                <w:rFonts w:ascii="Times New Roman" w:hAnsi="Times New Roman" w:cs="Times New Roman"/>
                <w:sz w:val="20"/>
                <w:szCs w:val="20"/>
              </w:rPr>
              <w:t xml:space="preserve">has been gained and analyzed </w:t>
            </w:r>
            <w:r w:rsidRPr="00F55547">
              <w:rPr>
                <w:rFonts w:ascii="Times New Roman" w:hAnsi="Times New Roman" w:cs="Times New Roman"/>
                <w:sz w:val="20"/>
                <w:szCs w:val="20"/>
              </w:rPr>
              <w:t>after April 2016</w:t>
            </w:r>
          </w:p>
        </w:tc>
        <w:tc>
          <w:tcPr>
            <w:tcW w:w="740" w:type="dxa"/>
          </w:tcPr>
          <w:p w:rsidR="00A5619A" w:rsidRDefault="00A5619A" w:rsidP="00EE5CA6">
            <w:pPr>
              <w:spacing w:before="120" w:after="120"/>
              <w:jc w:val="center"/>
            </w:pPr>
            <w:r>
              <w:lastRenderedPageBreak/>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36</w:t>
            </w:r>
          </w:p>
        </w:tc>
        <w:tc>
          <w:tcPr>
            <w:tcW w:w="4950" w:type="dxa"/>
          </w:tcPr>
          <w:p w:rsidR="00A5619A" w:rsidRDefault="00A5619A" w:rsidP="00EE5CA6">
            <w:pPr>
              <w:spacing w:before="120" w:after="120"/>
            </w:pPr>
            <w: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p w:rsidR="005D659E" w:rsidRPr="005D659E" w:rsidRDefault="005D659E" w:rsidP="005D659E">
            <w:pPr>
              <w:spacing w:before="120" w:after="120"/>
            </w:pPr>
            <w:r w:rsidRPr="005D659E">
              <w:t>Proposed Solution(s):</w:t>
            </w:r>
          </w:p>
          <w:p w:rsidR="005D659E" w:rsidRDefault="005D659E" w:rsidP="005D659E">
            <w:pPr>
              <w:pStyle w:val="ListParagraph"/>
              <w:numPr>
                <w:ilvl w:val="0"/>
                <w:numId w:val="29"/>
              </w:numPr>
              <w:spacing w:before="120" w:after="120"/>
            </w:pPr>
            <w:r w:rsidRPr="005D659E">
              <w:rPr>
                <w:rFonts w:ascii="Times New Roman" w:hAnsi="Times New Roman" w:cs="Times New Roman"/>
                <w:sz w:val="20"/>
                <w:szCs w:val="20"/>
              </w:rPr>
              <w:t>Actionable by NAESB in the current environment.</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r>
      <w:tr w:rsidR="00A5619A" w:rsidTr="00EE5CA6">
        <w:tc>
          <w:tcPr>
            <w:tcW w:w="468" w:type="dxa"/>
          </w:tcPr>
          <w:p w:rsidR="00A5619A" w:rsidRDefault="00A5619A" w:rsidP="003E2F1B">
            <w:pPr>
              <w:keepNext/>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37</w:t>
            </w:r>
          </w:p>
        </w:tc>
        <w:tc>
          <w:tcPr>
            <w:tcW w:w="4950" w:type="dxa"/>
          </w:tcPr>
          <w:p w:rsidR="00A5619A" w:rsidRDefault="00A5619A" w:rsidP="00EE5CA6">
            <w:pPr>
              <w:spacing w:before="120" w:after="120"/>
            </w:pPr>
            <w:r>
              <w:t xml:space="preserve">Investigate the need to define the number of iterations to support confirmation, including on a best-effort basis.  Defined iterations needed to support confirmations, including best efforts. Taking a look at these issues does not necessarily presume there is a magic number of iterations, in part to changing market conditions and because of respecting the goal of maximizing flow.  </w:t>
            </w:r>
          </w:p>
          <w:p w:rsidR="005D659E" w:rsidRPr="005D659E" w:rsidRDefault="005D659E" w:rsidP="005D659E">
            <w:pPr>
              <w:spacing w:before="120" w:after="120"/>
            </w:pPr>
            <w:r w:rsidRPr="005D659E">
              <w:t>Proposed Solution(s):</w:t>
            </w:r>
          </w:p>
          <w:p w:rsidR="005D659E" w:rsidRPr="005D659E" w:rsidRDefault="005D659E" w:rsidP="005D659E">
            <w:pPr>
              <w:pStyle w:val="ListParagraph"/>
              <w:numPr>
                <w:ilvl w:val="0"/>
                <w:numId w:val="29"/>
              </w:numPr>
              <w:spacing w:before="120" w:after="120"/>
              <w:rPr>
                <w:rFonts w:ascii="Times New Roman" w:hAnsi="Times New Roman" w:cs="Times New Roman"/>
                <w:sz w:val="20"/>
                <w:szCs w:val="20"/>
              </w:rPr>
            </w:pPr>
            <w:r w:rsidRPr="005D659E">
              <w:rPr>
                <w:rFonts w:ascii="Times New Roman" w:hAnsi="Times New Roman" w:cs="Times New Roman"/>
                <w:sz w:val="20"/>
                <w:szCs w:val="20"/>
              </w:rPr>
              <w:t xml:space="preserve">No actionable items </w:t>
            </w:r>
          </w:p>
          <w:p w:rsidR="00FF50D1" w:rsidRDefault="005D659E" w:rsidP="00FF50D1">
            <w:pPr>
              <w:pStyle w:val="ListParagraph"/>
              <w:numPr>
                <w:ilvl w:val="0"/>
                <w:numId w:val="29"/>
              </w:numPr>
              <w:spacing w:before="120" w:after="120"/>
            </w:pPr>
            <w:r w:rsidRPr="005D659E">
              <w:rPr>
                <w:rFonts w:ascii="Times New Roman" w:hAnsi="Times New Roman" w:cs="Times New Roman"/>
                <w:sz w:val="20"/>
                <w:szCs w:val="20"/>
              </w:rPr>
              <w:t>Actionable by NAESB in the current environment</w:t>
            </w:r>
            <w:r w:rsidR="00FF50D1">
              <w:rPr>
                <w:rFonts w:ascii="Times New Roman" w:hAnsi="Times New Roman" w:cs="Times New Roman"/>
                <w:sz w:val="20"/>
                <w:szCs w:val="20"/>
              </w:rPr>
              <w:t xml:space="preserve">.  Here iterations </w:t>
            </w:r>
            <w:proofErr w:type="gramStart"/>
            <w:r w:rsidR="00FF50D1">
              <w:rPr>
                <w:rFonts w:ascii="Times New Roman" w:hAnsi="Times New Roman" w:cs="Times New Roman"/>
                <w:sz w:val="20"/>
                <w:szCs w:val="20"/>
              </w:rPr>
              <w:t>is</w:t>
            </w:r>
            <w:proofErr w:type="gramEnd"/>
            <w:r w:rsidR="00FF50D1">
              <w:rPr>
                <w:rFonts w:ascii="Times New Roman" w:hAnsi="Times New Roman" w:cs="Times New Roman"/>
                <w:sz w:val="20"/>
                <w:szCs w:val="20"/>
              </w:rPr>
              <w:t xml:space="preserve"> meant to refer to the frequency and timing of data exchanges between confirming parties.</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38</w:t>
            </w:r>
          </w:p>
        </w:tc>
        <w:tc>
          <w:tcPr>
            <w:tcW w:w="4950" w:type="dxa"/>
          </w:tcPr>
          <w:p w:rsidR="00A5619A" w:rsidRDefault="00A5619A" w:rsidP="00EE5CA6">
            <w:pPr>
              <w:spacing w:before="120" w:after="120"/>
            </w:pPr>
            <w: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p w:rsidR="00F55547" w:rsidRPr="00F55547" w:rsidRDefault="00F55547" w:rsidP="00F55547">
            <w:pPr>
              <w:spacing w:before="120" w:after="120"/>
            </w:pPr>
            <w:r w:rsidRPr="00F55547">
              <w:t>Proposed Solution(s):</w:t>
            </w:r>
          </w:p>
          <w:p w:rsidR="00F55547" w:rsidRPr="00F55547" w:rsidRDefault="00F55547" w:rsidP="00F55547">
            <w:pPr>
              <w:pStyle w:val="ListParagraph"/>
              <w:numPr>
                <w:ilvl w:val="0"/>
                <w:numId w:val="30"/>
              </w:numPr>
              <w:spacing w:before="120" w:after="120"/>
              <w:rPr>
                <w:rFonts w:ascii="Times New Roman" w:hAnsi="Times New Roman" w:cs="Times New Roman"/>
                <w:sz w:val="20"/>
                <w:szCs w:val="20"/>
              </w:rPr>
            </w:pPr>
            <w:r w:rsidRPr="00F55547">
              <w:rPr>
                <w:rFonts w:ascii="Times New Roman" w:hAnsi="Times New Roman" w:cs="Times New Roman"/>
                <w:sz w:val="20"/>
                <w:szCs w:val="20"/>
              </w:rPr>
              <w:t>Actionable by NAESB in the current environment</w:t>
            </w:r>
          </w:p>
          <w:p w:rsidR="00F55547" w:rsidRDefault="00F55547" w:rsidP="00F74FFE">
            <w:pPr>
              <w:pStyle w:val="ListParagraph"/>
              <w:numPr>
                <w:ilvl w:val="0"/>
                <w:numId w:val="30"/>
              </w:numPr>
              <w:spacing w:before="120" w:after="120"/>
            </w:pPr>
            <w:r w:rsidRPr="00F55547">
              <w:rPr>
                <w:rFonts w:ascii="Times New Roman" w:hAnsi="Times New Roman" w:cs="Times New Roman"/>
                <w:sz w:val="20"/>
                <w:szCs w:val="20"/>
              </w:rPr>
              <w:t xml:space="preserve">Actionable by NAESB after sufficient experience </w:t>
            </w:r>
            <w:r>
              <w:rPr>
                <w:rFonts w:ascii="Times New Roman" w:hAnsi="Times New Roman" w:cs="Times New Roman"/>
                <w:sz w:val="20"/>
                <w:szCs w:val="20"/>
              </w:rPr>
              <w:t xml:space="preserve">has </w:t>
            </w:r>
            <w:r w:rsidR="00340D3B">
              <w:rPr>
                <w:rFonts w:ascii="Times New Roman" w:hAnsi="Times New Roman" w:cs="Times New Roman"/>
                <w:sz w:val="20"/>
                <w:szCs w:val="20"/>
              </w:rPr>
              <w:t xml:space="preserve">been gained </w:t>
            </w:r>
            <w:r w:rsidR="00F74FFE">
              <w:rPr>
                <w:rFonts w:ascii="Times New Roman" w:hAnsi="Times New Roman" w:cs="Times New Roman"/>
                <w:sz w:val="20"/>
                <w:szCs w:val="20"/>
              </w:rPr>
              <w:t xml:space="preserve">and analyzed </w:t>
            </w:r>
            <w:r w:rsidRPr="00F55547">
              <w:rPr>
                <w:rFonts w:ascii="Times New Roman" w:hAnsi="Times New Roman" w:cs="Times New Roman"/>
                <w:sz w:val="20"/>
                <w:szCs w:val="20"/>
              </w:rPr>
              <w:t>after April 2016</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39</w:t>
            </w:r>
          </w:p>
        </w:tc>
        <w:tc>
          <w:tcPr>
            <w:tcW w:w="4950" w:type="dxa"/>
          </w:tcPr>
          <w:p w:rsidR="00A5619A" w:rsidRDefault="00A5619A" w:rsidP="00EE5CA6">
            <w:pPr>
              <w:spacing w:before="120" w:after="120"/>
            </w:pPr>
            <w:r>
              <w:t xml:space="preserve">Addressing the communication of characteristics of the information in the confirmation process could require a </w:t>
            </w:r>
            <w:r>
              <w:lastRenderedPageBreak/>
              <w:t>fundamental redesign, with potential changes to make confirmations more efficient. (Reasonable) commercial confidentiality issues must be respected.  Note that some pipeline practices already may include this kind of information in the confirmation process.</w:t>
            </w:r>
          </w:p>
          <w:p w:rsidR="007F5ADA" w:rsidRPr="00F55547" w:rsidRDefault="007F5ADA" w:rsidP="007F5ADA">
            <w:pPr>
              <w:spacing w:before="120" w:after="120"/>
            </w:pPr>
            <w:r w:rsidRPr="00F55547">
              <w:t>Proposed Solution(s):</w:t>
            </w:r>
          </w:p>
          <w:p w:rsidR="007F5ADA" w:rsidRDefault="007F5ADA" w:rsidP="00FF50D1">
            <w:pPr>
              <w:pStyle w:val="ListParagraph"/>
              <w:numPr>
                <w:ilvl w:val="0"/>
                <w:numId w:val="30"/>
              </w:numPr>
              <w:spacing w:before="120" w:after="120"/>
            </w:pPr>
            <w:r>
              <w:rPr>
                <w:rFonts w:ascii="Times New Roman" w:hAnsi="Times New Roman" w:cs="Times New Roman"/>
                <w:sz w:val="20"/>
                <w:szCs w:val="20"/>
              </w:rPr>
              <w:t>No actionable items</w:t>
            </w:r>
          </w:p>
        </w:tc>
        <w:tc>
          <w:tcPr>
            <w:tcW w:w="740" w:type="dxa"/>
          </w:tcPr>
          <w:p w:rsidR="00A5619A" w:rsidRDefault="00A5619A" w:rsidP="00EE5CA6">
            <w:pPr>
              <w:spacing w:before="120" w:after="120"/>
              <w:jc w:val="center"/>
            </w:pPr>
            <w:r>
              <w:lastRenderedPageBreak/>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56</w:t>
            </w:r>
          </w:p>
        </w:tc>
        <w:tc>
          <w:tcPr>
            <w:tcW w:w="4950" w:type="dxa"/>
          </w:tcPr>
          <w:p w:rsidR="00A5619A" w:rsidRDefault="00A5619A" w:rsidP="00EE5CA6">
            <w:pPr>
              <w:spacing w:before="120" w:after="120"/>
            </w:pPr>
            <w:r>
              <w:t>Compress confirmations by expediting verification of nominations. Using simulation to recreate “The Art of Scheduling” tools of software models could support more efficient and effective decision making.</w:t>
            </w:r>
          </w:p>
          <w:p w:rsidR="007F5ADA" w:rsidRPr="007F5ADA" w:rsidRDefault="007F5ADA" w:rsidP="007F5ADA">
            <w:pPr>
              <w:spacing w:before="120" w:after="120"/>
            </w:pPr>
            <w:r w:rsidRPr="007F5ADA">
              <w:t>Proposed Solution(s):</w:t>
            </w:r>
          </w:p>
          <w:p w:rsidR="007F5ADA" w:rsidRDefault="007F5ADA" w:rsidP="007F5ADA">
            <w:pPr>
              <w:pStyle w:val="ListParagraph"/>
              <w:numPr>
                <w:ilvl w:val="0"/>
                <w:numId w:val="30"/>
              </w:numPr>
              <w:spacing w:before="120" w:after="120"/>
            </w:pPr>
            <w:r w:rsidRPr="007F5ADA">
              <w:rPr>
                <w:rFonts w:ascii="Times New Roman" w:hAnsi="Times New Roman" w:cs="Times New Roman"/>
                <w:sz w:val="20"/>
                <w:szCs w:val="20"/>
              </w:rPr>
              <w:t>No actionable items</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3E2F1B">
            <w:pPr>
              <w:keepNext/>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57</w:t>
            </w:r>
          </w:p>
        </w:tc>
        <w:tc>
          <w:tcPr>
            <w:tcW w:w="4950" w:type="dxa"/>
          </w:tcPr>
          <w:p w:rsidR="00A5619A" w:rsidRDefault="00A5619A" w:rsidP="00EE5CA6">
            <w:pPr>
              <w:spacing w:before="120" w:after="120"/>
            </w:pPr>
            <w:r>
              <w:t xml:space="preserve">Could eTag be applied to the gas industry to mimic the significant number </w:t>
            </w:r>
            <w:r w:rsidR="000A48FF">
              <w:t>of transactions</w:t>
            </w:r>
            <w:r>
              <w:t xml:space="preserve"> processed on the power grid that use eTag in short processing windows, and if so, can it result in a streamlined scheduling process for natural gas?</w:t>
            </w:r>
          </w:p>
          <w:p w:rsidR="00742207" w:rsidRPr="00742207" w:rsidRDefault="00742207" w:rsidP="00742207">
            <w:pPr>
              <w:spacing w:before="120" w:after="120"/>
            </w:pPr>
            <w:r w:rsidRPr="00742207">
              <w:t>Proposed Solution(s):</w:t>
            </w:r>
          </w:p>
          <w:p w:rsidR="006B2B2F" w:rsidRDefault="00A875D3" w:rsidP="00097832">
            <w:pPr>
              <w:pStyle w:val="ListParagraph"/>
              <w:numPr>
                <w:ilvl w:val="0"/>
                <w:numId w:val="30"/>
              </w:numPr>
              <w:spacing w:before="120" w:after="120"/>
            </w:pPr>
            <w:r w:rsidRPr="00097832">
              <w:rPr>
                <w:rFonts w:ascii="Times New Roman" w:hAnsi="Times New Roman" w:cs="Times New Roman"/>
                <w:sz w:val="20"/>
                <w:szCs w:val="20"/>
              </w:rPr>
              <w:t xml:space="preserve">A better </w:t>
            </w:r>
            <w:r>
              <w:rPr>
                <w:rFonts w:ascii="Times New Roman" w:hAnsi="Times New Roman" w:cs="Times New Roman"/>
                <w:sz w:val="20"/>
                <w:szCs w:val="20"/>
              </w:rPr>
              <w:t xml:space="preserve">industry </w:t>
            </w:r>
            <w:r w:rsidRPr="00097832">
              <w:rPr>
                <w:rFonts w:ascii="Times New Roman" w:hAnsi="Times New Roman" w:cs="Times New Roman"/>
                <w:sz w:val="20"/>
                <w:szCs w:val="20"/>
              </w:rPr>
              <w:t>understanding</w:t>
            </w:r>
            <w:r>
              <w:rPr>
                <w:rFonts w:ascii="Times New Roman" w:hAnsi="Times New Roman" w:cs="Times New Roman"/>
                <w:sz w:val="20"/>
                <w:szCs w:val="20"/>
              </w:rPr>
              <w:t xml:space="preserve"> is needed to determine if there are applicable/relevant lessons for improving the gas scheduling process</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58</w:t>
            </w:r>
          </w:p>
        </w:tc>
        <w:tc>
          <w:tcPr>
            <w:tcW w:w="4950" w:type="dxa"/>
          </w:tcPr>
          <w:p w:rsidR="00A5619A" w:rsidRDefault="00A5619A" w:rsidP="00EE5CA6">
            <w:pPr>
              <w:spacing w:before="120" w:after="120"/>
            </w:pPr>
            <w:r>
              <w:t xml:space="preserve">Are there “lessons learned” in the electric industry that could benefit the gas industry as it considers the feasibility of modifying the scheduling process to make it more </w:t>
            </w:r>
            <w:r>
              <w:lastRenderedPageBreak/>
              <w:t>efficient?</w:t>
            </w:r>
          </w:p>
          <w:p w:rsidR="00097832" w:rsidRPr="00097832" w:rsidRDefault="00097832" w:rsidP="00097832">
            <w:pPr>
              <w:spacing w:before="120" w:after="120"/>
            </w:pPr>
            <w:r w:rsidRPr="00097832">
              <w:t>Proposed Solution(s):</w:t>
            </w:r>
          </w:p>
          <w:p w:rsidR="00097832" w:rsidRDefault="00097832" w:rsidP="00A875D3">
            <w:pPr>
              <w:pStyle w:val="ListParagraph"/>
              <w:numPr>
                <w:ilvl w:val="0"/>
                <w:numId w:val="30"/>
              </w:numPr>
              <w:spacing w:before="120" w:after="120"/>
            </w:pPr>
            <w:r w:rsidRPr="00097832">
              <w:rPr>
                <w:rFonts w:ascii="Times New Roman" w:hAnsi="Times New Roman" w:cs="Times New Roman"/>
                <w:sz w:val="20"/>
                <w:szCs w:val="20"/>
              </w:rPr>
              <w:t xml:space="preserve">A better </w:t>
            </w:r>
            <w:r>
              <w:rPr>
                <w:rFonts w:ascii="Times New Roman" w:hAnsi="Times New Roman" w:cs="Times New Roman"/>
                <w:sz w:val="20"/>
                <w:szCs w:val="20"/>
              </w:rPr>
              <w:t xml:space="preserve">industry </w:t>
            </w:r>
            <w:r w:rsidRPr="00097832">
              <w:rPr>
                <w:rFonts w:ascii="Times New Roman" w:hAnsi="Times New Roman" w:cs="Times New Roman"/>
                <w:sz w:val="20"/>
                <w:szCs w:val="20"/>
              </w:rPr>
              <w:t>understanding</w:t>
            </w:r>
            <w:r w:rsidR="00A875D3">
              <w:rPr>
                <w:rFonts w:ascii="Times New Roman" w:hAnsi="Times New Roman" w:cs="Times New Roman"/>
                <w:sz w:val="20"/>
                <w:szCs w:val="20"/>
              </w:rPr>
              <w:t xml:space="preserve"> is needed to determine if there are applicable/relevant lessons for improving the gas scheduling process</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r>
      <w:tr w:rsidR="00A5619A" w:rsidTr="00A5619A">
        <w:tc>
          <w:tcPr>
            <w:tcW w:w="468" w:type="dxa"/>
          </w:tcPr>
          <w:p w:rsidR="00A5619A" w:rsidRDefault="00A5619A" w:rsidP="00EE5CA6">
            <w:pPr>
              <w:spacing w:before="120" w:after="120"/>
              <w:jc w:val="center"/>
            </w:pPr>
            <w:r>
              <w:lastRenderedPageBreak/>
              <w:t>6</w:t>
            </w:r>
          </w:p>
        </w:tc>
        <w:tc>
          <w:tcPr>
            <w:tcW w:w="12690" w:type="dxa"/>
            <w:gridSpan w:val="12"/>
          </w:tcPr>
          <w:p w:rsidR="00A5619A" w:rsidRDefault="00A5619A" w:rsidP="00EE5CA6">
            <w:pPr>
              <w:spacing w:before="120" w:after="120"/>
            </w:pPr>
            <w:r w:rsidRPr="0062117A">
              <w:t>Additional Nomination Cycles</w:t>
            </w:r>
          </w:p>
        </w:tc>
      </w:tr>
      <w:tr w:rsidR="000D0527" w:rsidTr="00EE5CA6">
        <w:tc>
          <w:tcPr>
            <w:tcW w:w="468" w:type="dxa"/>
          </w:tcPr>
          <w:p w:rsidR="000D0527" w:rsidRDefault="000D0527" w:rsidP="00EE5CA6">
            <w:pPr>
              <w:spacing w:before="120" w:after="120"/>
              <w:jc w:val="center"/>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18</w:t>
            </w:r>
          </w:p>
        </w:tc>
        <w:tc>
          <w:tcPr>
            <w:tcW w:w="4950" w:type="dxa"/>
          </w:tcPr>
          <w:p w:rsidR="000D0527" w:rsidRDefault="000D0527" w:rsidP="00EE5CA6">
            <w:pPr>
              <w:spacing w:before="120" w:after="120"/>
            </w:pPr>
            <w:r>
              <w:t>Nomination errors requiring manual intervention for mismatches during the confirmation process</w:t>
            </w:r>
          </w:p>
          <w:p w:rsidR="00A875D3" w:rsidRPr="00A875D3" w:rsidRDefault="00A875D3" w:rsidP="00A875D3">
            <w:pPr>
              <w:spacing w:before="120" w:after="120"/>
            </w:pPr>
            <w:r w:rsidRPr="00A875D3">
              <w:t>Proposed Solution(s):</w:t>
            </w:r>
          </w:p>
          <w:p w:rsidR="00A408AD" w:rsidRPr="00A408AD" w:rsidRDefault="00A408AD" w:rsidP="00A408AD">
            <w:pPr>
              <w:pStyle w:val="ListParagraph"/>
              <w:numPr>
                <w:ilvl w:val="0"/>
                <w:numId w:val="30"/>
              </w:numPr>
              <w:spacing w:before="120" w:after="120"/>
            </w:pPr>
            <w:r w:rsidRPr="00A408AD">
              <w:rPr>
                <w:rFonts w:ascii="Times New Roman" w:hAnsi="Times New Roman" w:cs="Times New Roman"/>
                <w:sz w:val="20"/>
                <w:szCs w:val="20"/>
              </w:rPr>
              <w:t xml:space="preserve">No actionable items because this is an observation </w:t>
            </w:r>
          </w:p>
          <w:p w:rsidR="00A875D3" w:rsidRDefault="00A875D3" w:rsidP="00A408AD">
            <w:pPr>
              <w:pStyle w:val="ListParagraph"/>
              <w:numPr>
                <w:ilvl w:val="0"/>
                <w:numId w:val="30"/>
              </w:numPr>
              <w:spacing w:before="120" w:after="120"/>
            </w:pPr>
            <w:r w:rsidRPr="00A875D3">
              <w:rPr>
                <w:rFonts w:ascii="Times New Roman" w:hAnsi="Times New Roman" w:cs="Times New Roman"/>
                <w:sz w:val="20"/>
                <w:szCs w:val="20"/>
              </w:rPr>
              <w:t>Actionable by NAESB in the current environment</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jc w:val="center"/>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28</w:t>
            </w:r>
          </w:p>
        </w:tc>
        <w:tc>
          <w:tcPr>
            <w:tcW w:w="4950" w:type="dxa"/>
          </w:tcPr>
          <w:p w:rsidR="000D0527" w:rsidRDefault="000D0527" w:rsidP="00EE5CA6">
            <w:pPr>
              <w:spacing w:before="120" w:after="120"/>
            </w:pPr>
            <w:r>
              <w:t>Tight execution windows for gas markets</w:t>
            </w:r>
          </w:p>
          <w:p w:rsidR="00374DD2" w:rsidRPr="00A875D3" w:rsidRDefault="00374DD2" w:rsidP="00374DD2">
            <w:pPr>
              <w:spacing w:before="120" w:after="120"/>
            </w:pPr>
            <w:r w:rsidRPr="00A875D3">
              <w:t>Proposed Solution(s):</w:t>
            </w:r>
          </w:p>
          <w:p w:rsidR="00374DD2" w:rsidRDefault="00374DD2" w:rsidP="00374DD2">
            <w:pPr>
              <w:pStyle w:val="ListParagraph"/>
              <w:numPr>
                <w:ilvl w:val="0"/>
                <w:numId w:val="30"/>
              </w:numPr>
              <w:spacing w:before="120" w:after="120"/>
            </w:pPr>
            <w:r w:rsidRPr="00A408AD">
              <w:rPr>
                <w:rFonts w:ascii="Times New Roman" w:hAnsi="Times New Roman" w:cs="Times New Roman"/>
                <w:sz w:val="20"/>
                <w:szCs w:val="20"/>
              </w:rPr>
              <w:t xml:space="preserve">No actionable items because this is an observation </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jc w:val="center"/>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30</w:t>
            </w:r>
          </w:p>
        </w:tc>
        <w:tc>
          <w:tcPr>
            <w:tcW w:w="4950" w:type="dxa"/>
          </w:tcPr>
          <w:p w:rsidR="000D0527" w:rsidRDefault="000D0527" w:rsidP="00EE5CA6">
            <w:pPr>
              <w:spacing w:before="120" w:after="120"/>
            </w:pPr>
            <w:r>
              <w:t xml:space="preserve">Decreasing operational flexibility provided by IT service when providing the possibility of more frequent opportunities for FT and IT through additional nominations/scheduling cycles.  The status quo has certain rights and benefits that have been baked into expectations about the amount of flexibility that is available under different services.  Changes ahead in either the gas or </w:t>
            </w:r>
            <w:r>
              <w:lastRenderedPageBreak/>
              <w:t xml:space="preserve">electric industries may disrupt the flexibility that has worked in the past and may not in the future. </w:t>
            </w:r>
          </w:p>
          <w:p w:rsidR="00374DD2" w:rsidRPr="00374DD2" w:rsidRDefault="00374DD2" w:rsidP="00374DD2">
            <w:pPr>
              <w:spacing w:before="120" w:after="120"/>
            </w:pPr>
            <w:r w:rsidRPr="00374DD2">
              <w:t>Proposed Solution(s):</w:t>
            </w:r>
          </w:p>
          <w:p w:rsidR="00374DD2" w:rsidRPr="00374DD2" w:rsidRDefault="00374DD2" w:rsidP="00374DD2">
            <w:pPr>
              <w:pStyle w:val="ListParagraph"/>
              <w:numPr>
                <w:ilvl w:val="0"/>
                <w:numId w:val="30"/>
              </w:numPr>
              <w:spacing w:before="120" w:after="120"/>
              <w:rPr>
                <w:rFonts w:ascii="Times New Roman" w:hAnsi="Times New Roman" w:cs="Times New Roman"/>
                <w:sz w:val="20"/>
                <w:szCs w:val="20"/>
              </w:rPr>
            </w:pPr>
            <w:r w:rsidRPr="00374DD2">
              <w:rPr>
                <w:rFonts w:ascii="Times New Roman" w:hAnsi="Times New Roman" w:cs="Times New Roman"/>
                <w:sz w:val="20"/>
                <w:szCs w:val="20"/>
              </w:rPr>
              <w:t xml:space="preserve">No actionable items because this is an observation </w:t>
            </w:r>
          </w:p>
        </w:tc>
        <w:tc>
          <w:tcPr>
            <w:tcW w:w="740" w:type="dxa"/>
          </w:tcPr>
          <w:p w:rsidR="000D0527" w:rsidRDefault="00A5619A" w:rsidP="00EE5CA6">
            <w:pPr>
              <w:spacing w:before="120" w:after="120"/>
              <w:jc w:val="center"/>
            </w:pPr>
            <w:r>
              <w:lastRenderedPageBreak/>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31</w:t>
            </w:r>
          </w:p>
        </w:tc>
        <w:tc>
          <w:tcPr>
            <w:tcW w:w="4950" w:type="dxa"/>
          </w:tcPr>
          <w:p w:rsidR="00A5619A" w:rsidRDefault="00A5619A" w:rsidP="00EE5CA6">
            <w:pPr>
              <w:spacing w:before="120" w:after="120"/>
            </w:pPr>
            <w:r>
              <w:t>Coordination/timing challenges</w:t>
            </w:r>
          </w:p>
          <w:p w:rsidR="00374DD2" w:rsidRPr="00A875D3" w:rsidRDefault="00374DD2" w:rsidP="00374DD2">
            <w:pPr>
              <w:spacing w:before="120" w:after="120"/>
            </w:pPr>
            <w:r w:rsidRPr="00A875D3">
              <w:t>Proposed Solution(s):</w:t>
            </w:r>
          </w:p>
          <w:p w:rsidR="00374DD2" w:rsidRDefault="00374DD2" w:rsidP="009A3DF0">
            <w:pPr>
              <w:pStyle w:val="ListParagraph"/>
              <w:numPr>
                <w:ilvl w:val="0"/>
                <w:numId w:val="30"/>
              </w:numPr>
              <w:spacing w:before="120" w:after="120"/>
            </w:pPr>
            <w:r w:rsidRPr="00A408AD">
              <w:rPr>
                <w:rFonts w:ascii="Times New Roman" w:hAnsi="Times New Roman" w:cs="Times New Roman"/>
                <w:sz w:val="20"/>
                <w:szCs w:val="20"/>
              </w:rPr>
              <w:t xml:space="preserve">No actionable items because this is an observation </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32</w:t>
            </w:r>
          </w:p>
        </w:tc>
        <w:tc>
          <w:tcPr>
            <w:tcW w:w="4950" w:type="dxa"/>
          </w:tcPr>
          <w:p w:rsidR="00A5619A" w:rsidRDefault="00A5619A" w:rsidP="00EE5CA6">
            <w:pPr>
              <w:spacing w:before="120" w:after="120"/>
            </w:pPr>
            <w:r>
              <w:t>Forcing pipelines to process quicker may decrease operational flexibility because there may be less time to determine if interruptible transportation is available.  Shorter timeframes may inadvertently introduce too much rigidity.</w:t>
            </w:r>
          </w:p>
          <w:p w:rsidR="009A3DF0" w:rsidRPr="00A875D3" w:rsidRDefault="009A3DF0" w:rsidP="009A3DF0">
            <w:pPr>
              <w:spacing w:before="120" w:after="120"/>
            </w:pPr>
            <w:r w:rsidRPr="00A875D3">
              <w:t>Proposed Solution(s):</w:t>
            </w:r>
          </w:p>
          <w:p w:rsidR="009A3DF0" w:rsidRDefault="009A3DF0" w:rsidP="009A3DF0">
            <w:pPr>
              <w:pStyle w:val="ListParagraph"/>
              <w:numPr>
                <w:ilvl w:val="0"/>
                <w:numId w:val="30"/>
              </w:numPr>
              <w:spacing w:before="120" w:after="120"/>
            </w:pPr>
            <w:r w:rsidRPr="00A408AD">
              <w:rPr>
                <w:rFonts w:ascii="Times New Roman" w:hAnsi="Times New Roman" w:cs="Times New Roman"/>
                <w:sz w:val="20"/>
                <w:szCs w:val="20"/>
              </w:rPr>
              <w:t xml:space="preserve">No actionable items because this is an observation </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7952BD">
            <w:pPr>
              <w:spacing w:before="120" w:after="120"/>
            </w:pPr>
            <w:r>
              <w:t>34</w:t>
            </w:r>
          </w:p>
        </w:tc>
        <w:tc>
          <w:tcPr>
            <w:tcW w:w="4950" w:type="dxa"/>
          </w:tcPr>
          <w:p w:rsidR="009A3DF0" w:rsidRPr="009A3DF0" w:rsidRDefault="00A5619A" w:rsidP="007952BD">
            <w:pPr>
              <w:spacing w:before="120" w:after="120"/>
            </w:pPr>
            <w:r>
              <w:t xml:space="preserve">Non-bumping best-efforts nomination opportunities with streamlined confirmations as an intra-cycle nomination </w:t>
            </w:r>
            <w:r w:rsidR="007952BD">
              <w:t xml:space="preserve">are </w:t>
            </w:r>
            <w:r>
              <w:t xml:space="preserve">subject to operating conditions of the pipeline.  </w:t>
            </w:r>
            <w:r w:rsidR="009A3DF0" w:rsidRPr="009A3DF0">
              <w:t xml:space="preserve">True-up processes at the end of the gas day are examples of best efforts. This may be necessary but not sufficient to effectuate a transaction that can be scheduled. </w:t>
            </w:r>
          </w:p>
          <w:p w:rsidR="009A3DF0" w:rsidRPr="009A3DF0" w:rsidRDefault="009A3DF0" w:rsidP="007952BD">
            <w:pPr>
              <w:spacing w:before="120" w:after="120"/>
              <w:ind w:left="360"/>
            </w:pPr>
            <w:r w:rsidRPr="009A3DF0">
              <w:t xml:space="preserve">Proposed Solution(s): </w:t>
            </w:r>
          </w:p>
          <w:p w:rsidR="009A3DF0" w:rsidRDefault="007952BD" w:rsidP="007952BD">
            <w:pPr>
              <w:pStyle w:val="ListParagraph"/>
              <w:numPr>
                <w:ilvl w:val="0"/>
                <w:numId w:val="29"/>
              </w:numPr>
              <w:spacing w:before="120" w:after="120"/>
              <w:ind w:left="1080"/>
            </w:pPr>
            <w:r>
              <w:rPr>
                <w:rFonts w:ascii="Times New Roman" w:hAnsi="Times New Roman" w:cs="Times New Roman"/>
                <w:sz w:val="20"/>
                <w:szCs w:val="20"/>
              </w:rPr>
              <w:lastRenderedPageBreak/>
              <w:t>See item 5-34</w:t>
            </w:r>
          </w:p>
        </w:tc>
        <w:tc>
          <w:tcPr>
            <w:tcW w:w="740" w:type="dxa"/>
          </w:tcPr>
          <w:p w:rsidR="00A5619A" w:rsidRDefault="00A5619A" w:rsidP="00EE5CA6">
            <w:pPr>
              <w:spacing w:before="120" w:after="120"/>
              <w:jc w:val="center"/>
            </w:pPr>
            <w:r>
              <w:lastRenderedPageBreak/>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45</w:t>
            </w:r>
          </w:p>
        </w:tc>
        <w:tc>
          <w:tcPr>
            <w:tcW w:w="4950" w:type="dxa"/>
          </w:tcPr>
          <w:p w:rsidR="00A5619A" w:rsidRPr="007952BD" w:rsidRDefault="00A5619A" w:rsidP="00EE5CA6">
            <w:pPr>
              <w:spacing w:before="120" w:after="120"/>
            </w:pPr>
            <w:r>
              <w:t xml:space="preserve">Intra-cycle capacity releases may improve best efforts scheduling.  Conversely best-efforts scheduling may improve the effectiveness of existing intraday capacity </w:t>
            </w:r>
            <w:r w:rsidRPr="007952BD">
              <w:t>releases.</w:t>
            </w:r>
          </w:p>
          <w:p w:rsidR="007952BD" w:rsidRPr="007952BD" w:rsidRDefault="007952BD" w:rsidP="007952BD">
            <w:pPr>
              <w:spacing w:before="120" w:after="120"/>
            </w:pPr>
            <w:r w:rsidRPr="007952BD">
              <w:t>Proposed Solution(s):</w:t>
            </w:r>
          </w:p>
          <w:p w:rsidR="007952BD" w:rsidRPr="00BB26F3" w:rsidRDefault="007952BD" w:rsidP="00BB26F3">
            <w:pPr>
              <w:pStyle w:val="ListParagraph"/>
              <w:numPr>
                <w:ilvl w:val="0"/>
                <w:numId w:val="29"/>
              </w:numPr>
              <w:spacing w:before="120" w:after="120"/>
              <w:rPr>
                <w:rFonts w:ascii="Times New Roman" w:hAnsi="Times New Roman" w:cs="Times New Roman"/>
                <w:sz w:val="20"/>
                <w:szCs w:val="20"/>
              </w:rPr>
            </w:pPr>
            <w:r w:rsidRPr="007952BD">
              <w:rPr>
                <w:rFonts w:ascii="Times New Roman" w:hAnsi="Times New Roman" w:cs="Times New Roman"/>
                <w:sz w:val="20"/>
                <w:szCs w:val="20"/>
              </w:rPr>
              <w:t>No actionable items because this is an observation</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47</w:t>
            </w:r>
          </w:p>
        </w:tc>
        <w:tc>
          <w:tcPr>
            <w:tcW w:w="4950" w:type="dxa"/>
          </w:tcPr>
          <w:p w:rsidR="00A5619A" w:rsidRDefault="00A5619A" w:rsidP="00EE5CA6">
            <w:pPr>
              <w:spacing w:before="120" w:after="120"/>
            </w:pPr>
            <w:r>
              <w:t xml:space="preserve"> Episodic analysis of daily flows suggests that more opportunities to schedule may provide additional flexibility to generators and electric consumers</w:t>
            </w:r>
            <w:r w:rsidR="00C03D62">
              <w:t>’</w:t>
            </w:r>
            <w:r>
              <w:t xml:space="preserve"> benefits. </w:t>
            </w:r>
          </w:p>
          <w:p w:rsidR="00C03D62" w:rsidRPr="00C03D62" w:rsidRDefault="00C03D62" w:rsidP="00C03D62">
            <w:pPr>
              <w:spacing w:before="120" w:after="120"/>
            </w:pPr>
            <w:r w:rsidRPr="00C03D62">
              <w:t>Proposed Solution(s):</w:t>
            </w:r>
          </w:p>
          <w:p w:rsidR="00C03D62" w:rsidRDefault="00C03D62" w:rsidP="00C03D62">
            <w:pPr>
              <w:pStyle w:val="ListParagraph"/>
              <w:numPr>
                <w:ilvl w:val="0"/>
                <w:numId w:val="29"/>
              </w:numPr>
              <w:spacing w:before="120" w:after="120"/>
            </w:pPr>
            <w:r w:rsidRPr="00C03D62">
              <w:rPr>
                <w:rFonts w:ascii="Times New Roman" w:hAnsi="Times New Roman" w:cs="Times New Roman"/>
                <w:sz w:val="20"/>
                <w:szCs w:val="20"/>
              </w:rPr>
              <w:t>No actionable items because this is an observation</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49</w:t>
            </w:r>
          </w:p>
        </w:tc>
        <w:tc>
          <w:tcPr>
            <w:tcW w:w="4950" w:type="dxa"/>
          </w:tcPr>
          <w:p w:rsidR="00A5619A" w:rsidRPr="00C03D62" w:rsidRDefault="00A5619A" w:rsidP="00EE5CA6">
            <w:pPr>
              <w:spacing w:before="120" w:after="120"/>
            </w:pPr>
            <w:r>
              <w:t xml:space="preserve">As the electric system continues to evolve into a peakier and a more renewable grid, the need for enhanced scheduling and flexibility from the gas transportation </w:t>
            </w:r>
            <w:r w:rsidRPr="00C03D62">
              <w:t xml:space="preserve">system will grow. </w:t>
            </w:r>
          </w:p>
          <w:p w:rsidR="00C03D62" w:rsidRPr="00C03D62" w:rsidRDefault="00C03D62" w:rsidP="00C03D62">
            <w:pPr>
              <w:spacing w:before="120" w:after="120"/>
            </w:pPr>
            <w:r w:rsidRPr="00C03D62">
              <w:t>Proposed Solution(s):</w:t>
            </w:r>
          </w:p>
          <w:p w:rsidR="00C03D62" w:rsidRPr="00C03D62" w:rsidRDefault="00C03D62" w:rsidP="00C03D62">
            <w:pPr>
              <w:pStyle w:val="ListParagraph"/>
              <w:numPr>
                <w:ilvl w:val="0"/>
                <w:numId w:val="29"/>
              </w:numPr>
              <w:spacing w:before="120" w:after="120"/>
              <w:rPr>
                <w:rFonts w:ascii="Times New Roman" w:hAnsi="Times New Roman" w:cs="Times New Roman"/>
                <w:sz w:val="20"/>
                <w:szCs w:val="20"/>
              </w:rPr>
            </w:pPr>
            <w:r w:rsidRPr="00C03D62">
              <w:rPr>
                <w:rFonts w:ascii="Times New Roman" w:hAnsi="Times New Roman" w:cs="Times New Roman"/>
                <w:sz w:val="20"/>
                <w:szCs w:val="20"/>
              </w:rPr>
              <w:t>Actionable by NAESB in the current environment</w:t>
            </w:r>
          </w:p>
          <w:p w:rsidR="00C03D62" w:rsidRDefault="00C03D62" w:rsidP="008D3AFA">
            <w:pPr>
              <w:pStyle w:val="ListParagraph"/>
              <w:numPr>
                <w:ilvl w:val="0"/>
                <w:numId w:val="29"/>
              </w:numPr>
              <w:spacing w:before="120" w:after="120"/>
            </w:pPr>
            <w:r>
              <w:rPr>
                <w:rFonts w:ascii="Times New Roman" w:hAnsi="Times New Roman" w:cs="Times New Roman"/>
                <w:sz w:val="20"/>
                <w:szCs w:val="20"/>
              </w:rPr>
              <w:t xml:space="preserve">Actionable </w:t>
            </w:r>
            <w:r w:rsidR="008D3AFA">
              <w:rPr>
                <w:rFonts w:ascii="Times New Roman" w:hAnsi="Times New Roman" w:cs="Times New Roman"/>
                <w:sz w:val="20"/>
                <w:szCs w:val="20"/>
              </w:rPr>
              <w:t xml:space="preserve">by NAESB </w:t>
            </w:r>
            <w:r>
              <w:rPr>
                <w:rFonts w:ascii="Times New Roman" w:hAnsi="Times New Roman" w:cs="Times New Roman"/>
                <w:sz w:val="20"/>
                <w:szCs w:val="20"/>
              </w:rPr>
              <w:t xml:space="preserve">to the extent FERC </w:t>
            </w:r>
            <w:r w:rsidR="008D3AFA">
              <w:rPr>
                <w:rFonts w:ascii="Times New Roman" w:hAnsi="Times New Roman" w:cs="Times New Roman"/>
                <w:sz w:val="20"/>
                <w:szCs w:val="20"/>
              </w:rPr>
              <w:t xml:space="preserve">orders and/or pipelines offer the provision of </w:t>
            </w:r>
            <w:r>
              <w:rPr>
                <w:rFonts w:ascii="Times New Roman" w:hAnsi="Times New Roman" w:cs="Times New Roman"/>
                <w:sz w:val="20"/>
                <w:szCs w:val="20"/>
              </w:rPr>
              <w:t>enhanced scheduling services</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3E2F1B">
            <w:pPr>
              <w:keepNext/>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52</w:t>
            </w:r>
          </w:p>
        </w:tc>
        <w:tc>
          <w:tcPr>
            <w:tcW w:w="4950" w:type="dxa"/>
          </w:tcPr>
          <w:p w:rsidR="00A5619A" w:rsidRDefault="00A5619A" w:rsidP="00EE5CA6">
            <w:pPr>
              <w:spacing w:before="120" w:after="120"/>
            </w:pPr>
            <w:r>
              <w:t>How to address less time to validate nomination data that would not lead to errors or legal risks?  Using simulation to recreate “The Art of Scheduling” tools of software models could support more efficient and effective decision making.</w:t>
            </w:r>
          </w:p>
          <w:p w:rsidR="006C23AB" w:rsidRPr="00C03D62" w:rsidRDefault="006C23AB" w:rsidP="006C23AB">
            <w:pPr>
              <w:spacing w:before="120" w:after="120"/>
            </w:pPr>
            <w:r w:rsidRPr="00C03D62">
              <w:t>Proposed Solution(s):</w:t>
            </w:r>
          </w:p>
          <w:p w:rsidR="006C23AB" w:rsidRDefault="006C23AB" w:rsidP="006C23AB">
            <w:pPr>
              <w:pStyle w:val="ListParagraph"/>
              <w:numPr>
                <w:ilvl w:val="0"/>
                <w:numId w:val="29"/>
              </w:numPr>
              <w:spacing w:before="120" w:after="120"/>
            </w:pPr>
            <w:r w:rsidRPr="006C23AB">
              <w:rPr>
                <w:rFonts w:ascii="Times New Roman" w:hAnsi="Times New Roman" w:cs="Times New Roman"/>
                <w:sz w:val="20"/>
                <w:szCs w:val="20"/>
              </w:rPr>
              <w:t>No actionable items because this is an observation</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53</w:t>
            </w:r>
          </w:p>
        </w:tc>
        <w:tc>
          <w:tcPr>
            <w:tcW w:w="4950" w:type="dxa"/>
          </w:tcPr>
          <w:p w:rsidR="00A5619A" w:rsidRDefault="00A5619A" w:rsidP="00EE5CA6">
            <w:pPr>
              <w:spacing w:before="120" w:after="120"/>
            </w:pPr>
            <w:r>
              <w:t>How to address tighter deadlines that hamper gas controllers ability to account for shifts in volume. Using simulation to recreate “The Art of Scheduling” tools of software models could support more efficient and effective decision making.</w:t>
            </w:r>
          </w:p>
          <w:p w:rsidR="006C23AB" w:rsidRPr="006C23AB" w:rsidRDefault="006C23AB" w:rsidP="006C23AB">
            <w:pPr>
              <w:spacing w:before="120" w:after="120"/>
            </w:pPr>
            <w:r w:rsidRPr="006C23AB">
              <w:t>Proposed Solution(s):</w:t>
            </w:r>
          </w:p>
          <w:p w:rsidR="006C23AB" w:rsidRDefault="006C23AB" w:rsidP="006C23AB">
            <w:pPr>
              <w:pStyle w:val="ListParagraph"/>
              <w:numPr>
                <w:ilvl w:val="0"/>
                <w:numId w:val="29"/>
              </w:numPr>
              <w:spacing w:before="120" w:after="120"/>
            </w:pPr>
            <w:r w:rsidRPr="006C23AB">
              <w:rPr>
                <w:rFonts w:ascii="Times New Roman" w:hAnsi="Times New Roman" w:cs="Times New Roman"/>
                <w:sz w:val="20"/>
                <w:szCs w:val="20"/>
              </w:rPr>
              <w:t>No actionable items because this is an observation</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54</w:t>
            </w:r>
          </w:p>
        </w:tc>
        <w:tc>
          <w:tcPr>
            <w:tcW w:w="4950" w:type="dxa"/>
          </w:tcPr>
          <w:p w:rsidR="00A5619A" w:rsidRDefault="00A5619A" w:rsidP="00EE5CA6">
            <w:pPr>
              <w:spacing w:before="120" w:after="120"/>
            </w:pPr>
            <w: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p w:rsidR="006C23AB" w:rsidRPr="006C23AB" w:rsidRDefault="006C23AB" w:rsidP="006C23AB">
            <w:pPr>
              <w:spacing w:before="120" w:after="120"/>
            </w:pPr>
            <w:r w:rsidRPr="006C23AB">
              <w:t>Proposed Solution(s):</w:t>
            </w:r>
          </w:p>
          <w:p w:rsidR="006C23AB" w:rsidRDefault="006C23AB" w:rsidP="006C23AB">
            <w:pPr>
              <w:pStyle w:val="ListParagraph"/>
              <w:numPr>
                <w:ilvl w:val="0"/>
                <w:numId w:val="29"/>
              </w:numPr>
              <w:spacing w:before="120" w:after="120"/>
            </w:pPr>
            <w:r w:rsidRPr="006C23AB">
              <w:rPr>
                <w:rFonts w:ascii="Times New Roman" w:hAnsi="Times New Roman" w:cs="Times New Roman"/>
                <w:sz w:val="20"/>
                <w:szCs w:val="20"/>
              </w:rPr>
              <w:t>No actionable items because this is an observation</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58</w:t>
            </w:r>
          </w:p>
        </w:tc>
        <w:tc>
          <w:tcPr>
            <w:tcW w:w="4950" w:type="dxa"/>
          </w:tcPr>
          <w:p w:rsidR="00A5619A" w:rsidRDefault="00A5619A" w:rsidP="00EE5CA6">
            <w:pPr>
              <w:spacing w:before="120" w:after="120"/>
            </w:pPr>
            <w:r>
              <w:t>Are there “lessons learned” in the electric industry that can benefit the gas industry as it considers the feasibility of modifying the scheduling process to make it more efficient?</w:t>
            </w:r>
          </w:p>
          <w:p w:rsidR="006C23AB" w:rsidRPr="006C23AB" w:rsidRDefault="006C23AB" w:rsidP="006C23AB">
            <w:pPr>
              <w:spacing w:before="120" w:after="120"/>
            </w:pPr>
            <w:r w:rsidRPr="006C23AB">
              <w:t>Proposed Solution(s):</w:t>
            </w:r>
          </w:p>
          <w:p w:rsidR="006C23AB" w:rsidRDefault="006C23AB" w:rsidP="006C23AB">
            <w:pPr>
              <w:pStyle w:val="ListParagraph"/>
              <w:numPr>
                <w:ilvl w:val="0"/>
                <w:numId w:val="29"/>
              </w:numPr>
              <w:spacing w:before="120" w:after="120"/>
            </w:pPr>
            <w:r w:rsidRPr="006C23AB">
              <w:rPr>
                <w:rFonts w:ascii="Times New Roman" w:hAnsi="Times New Roman" w:cs="Times New Roman"/>
                <w:sz w:val="20"/>
                <w:szCs w:val="20"/>
              </w:rPr>
              <w:t>See item 5-58</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A5619A">
        <w:tc>
          <w:tcPr>
            <w:tcW w:w="468" w:type="dxa"/>
          </w:tcPr>
          <w:p w:rsidR="00A5619A" w:rsidRDefault="00A5619A" w:rsidP="00EE5CA6">
            <w:pPr>
              <w:spacing w:before="120" w:after="120"/>
              <w:jc w:val="center"/>
            </w:pPr>
            <w:r>
              <w:t>7</w:t>
            </w:r>
          </w:p>
        </w:tc>
        <w:tc>
          <w:tcPr>
            <w:tcW w:w="12690" w:type="dxa"/>
            <w:gridSpan w:val="12"/>
          </w:tcPr>
          <w:p w:rsidR="00A5619A" w:rsidRDefault="00A5619A" w:rsidP="00EE5CA6">
            <w:pPr>
              <w:spacing w:before="120" w:after="120"/>
            </w:pPr>
            <w:r w:rsidRPr="0062117A">
              <w:t>Scheduling Issues Surrounding Interconnects</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11</w:t>
            </w:r>
          </w:p>
        </w:tc>
        <w:tc>
          <w:tcPr>
            <w:tcW w:w="4950" w:type="dxa"/>
          </w:tcPr>
          <w:p w:rsidR="000D0527" w:rsidRDefault="000D0527" w:rsidP="00EE5CA6">
            <w:pPr>
              <w:spacing w:before="120" w:after="120"/>
            </w:pPr>
            <w:r>
              <w:t>Physical assistance agreed upon between interconnecting parties. OBAs and similar type of arrangement (the implementing devices), seem to be working well.</w:t>
            </w:r>
          </w:p>
          <w:p w:rsidR="004C773F" w:rsidRPr="004C773F" w:rsidRDefault="004C773F" w:rsidP="004C773F">
            <w:pPr>
              <w:spacing w:before="120" w:after="120"/>
            </w:pPr>
            <w:r w:rsidRPr="004C773F">
              <w:t>Proposed Solution(s):</w:t>
            </w:r>
          </w:p>
          <w:p w:rsidR="004C773F" w:rsidRDefault="004C773F" w:rsidP="004C773F">
            <w:pPr>
              <w:pStyle w:val="ListParagraph"/>
              <w:numPr>
                <w:ilvl w:val="0"/>
                <w:numId w:val="29"/>
              </w:numPr>
              <w:spacing w:before="120" w:after="120"/>
            </w:pPr>
            <w:r w:rsidRPr="004C773F">
              <w:rPr>
                <w:rFonts w:ascii="Times New Roman" w:hAnsi="Times New Roman" w:cs="Times New Roman"/>
                <w:sz w:val="20"/>
                <w:szCs w:val="20"/>
              </w:rPr>
              <w:t>No actionable items because this is an observation</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r>
      <w:tr w:rsidR="000D0527" w:rsidTr="00EE5CA6">
        <w:tc>
          <w:tcPr>
            <w:tcW w:w="468" w:type="dxa"/>
          </w:tcPr>
          <w:p w:rsidR="000D0527" w:rsidRDefault="000D0527" w:rsidP="003E2F1B">
            <w:pPr>
              <w:keepNext/>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20</w:t>
            </w:r>
          </w:p>
        </w:tc>
        <w:tc>
          <w:tcPr>
            <w:tcW w:w="4950" w:type="dxa"/>
          </w:tcPr>
          <w:p w:rsidR="000D0527" w:rsidRDefault="000D0527" w:rsidP="00EE5CA6">
            <w:pPr>
              <w:spacing w:before="120" w:after="120"/>
            </w:pPr>
            <w:r>
              <w:t>Availability of capacity at interconnection points.  There is currently uncertainty as to impact of tighter timeframes on the scheduling of capacity for the later cycles. (At present, the schedules tend to come out early.)</w:t>
            </w:r>
          </w:p>
          <w:p w:rsidR="004C773F" w:rsidRPr="004C773F" w:rsidRDefault="004C773F" w:rsidP="004C773F">
            <w:pPr>
              <w:spacing w:before="120" w:after="120"/>
            </w:pPr>
            <w:r w:rsidRPr="004C773F">
              <w:t>Proposed Solution(s):</w:t>
            </w:r>
          </w:p>
          <w:p w:rsidR="004C773F" w:rsidRDefault="004C773F" w:rsidP="004C773F">
            <w:pPr>
              <w:pStyle w:val="ListParagraph"/>
              <w:numPr>
                <w:ilvl w:val="0"/>
                <w:numId w:val="29"/>
              </w:numPr>
              <w:spacing w:before="120" w:after="120"/>
            </w:pPr>
            <w:r w:rsidRPr="004C773F">
              <w:rPr>
                <w:rFonts w:ascii="Times New Roman" w:hAnsi="Times New Roman" w:cs="Times New Roman"/>
                <w:sz w:val="20"/>
                <w:szCs w:val="20"/>
              </w:rPr>
              <w:t>No actionable items because this is an observation</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r>
      <w:tr w:rsidR="00A5619A" w:rsidTr="00A5619A">
        <w:tc>
          <w:tcPr>
            <w:tcW w:w="468" w:type="dxa"/>
          </w:tcPr>
          <w:p w:rsidR="00A5619A" w:rsidRDefault="00A5619A" w:rsidP="00EE5CA6">
            <w:pPr>
              <w:spacing w:before="120" w:after="120"/>
              <w:jc w:val="center"/>
            </w:pPr>
            <w:r>
              <w:t>8</w:t>
            </w:r>
          </w:p>
        </w:tc>
        <w:tc>
          <w:tcPr>
            <w:tcW w:w="12690" w:type="dxa"/>
            <w:gridSpan w:val="12"/>
          </w:tcPr>
          <w:p w:rsidR="00A5619A" w:rsidRDefault="00A5619A" w:rsidP="00EE5CA6">
            <w:pPr>
              <w:spacing w:before="120" w:after="120"/>
            </w:pPr>
            <w:r w:rsidRPr="0062117A">
              <w:t>Access to Scheduling During Non-business Hours</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21</w:t>
            </w:r>
          </w:p>
        </w:tc>
        <w:tc>
          <w:tcPr>
            <w:tcW w:w="4950" w:type="dxa"/>
          </w:tcPr>
          <w:p w:rsidR="000D0527" w:rsidRDefault="000D0527" w:rsidP="00EE5CA6">
            <w:pPr>
              <w:spacing w:before="120" w:after="120"/>
            </w:pPr>
            <w:r>
              <w:t>Computerized scheduling and confirmations for nomination of subscribed services during non-traditional business hours.</w:t>
            </w:r>
          </w:p>
          <w:p w:rsidR="004C773F" w:rsidRPr="004C773F" w:rsidRDefault="004C773F" w:rsidP="004C773F">
            <w:pPr>
              <w:spacing w:before="120" w:after="120"/>
            </w:pPr>
            <w:r w:rsidRPr="004C773F">
              <w:t>Proposed Solution(s):</w:t>
            </w:r>
          </w:p>
          <w:p w:rsidR="004C773F" w:rsidRPr="004C773F" w:rsidRDefault="004C773F" w:rsidP="004C773F">
            <w:pPr>
              <w:pStyle w:val="ListParagraph"/>
              <w:numPr>
                <w:ilvl w:val="0"/>
                <w:numId w:val="29"/>
              </w:numPr>
              <w:spacing w:before="120" w:after="120"/>
              <w:rPr>
                <w:rFonts w:ascii="Times New Roman" w:hAnsi="Times New Roman" w:cs="Times New Roman"/>
                <w:sz w:val="20"/>
                <w:szCs w:val="20"/>
              </w:rPr>
            </w:pPr>
            <w:r w:rsidRPr="004C773F">
              <w:rPr>
                <w:rFonts w:ascii="Times New Roman" w:hAnsi="Times New Roman" w:cs="Times New Roman"/>
                <w:sz w:val="20"/>
                <w:szCs w:val="20"/>
              </w:rPr>
              <w:t>Actionable by NAESB in the current environment</w:t>
            </w:r>
          </w:p>
          <w:p w:rsidR="004C773F" w:rsidRPr="004C773F" w:rsidRDefault="004C773F" w:rsidP="004C773F">
            <w:pPr>
              <w:pStyle w:val="ListParagraph"/>
              <w:numPr>
                <w:ilvl w:val="0"/>
                <w:numId w:val="29"/>
              </w:numPr>
              <w:spacing w:before="120" w:after="120"/>
              <w:rPr>
                <w:rFonts w:ascii="Times New Roman" w:hAnsi="Times New Roman" w:cs="Times New Roman"/>
                <w:sz w:val="20"/>
                <w:szCs w:val="20"/>
              </w:rPr>
            </w:pPr>
            <w:r w:rsidRPr="004C773F">
              <w:rPr>
                <w:rFonts w:ascii="Times New Roman" w:hAnsi="Times New Roman" w:cs="Times New Roman"/>
                <w:sz w:val="20"/>
                <w:szCs w:val="20"/>
              </w:rPr>
              <w:t>Actionable by NAESB after sufficient experience has been gained and analyzed after April 2016</w:t>
            </w:r>
          </w:p>
          <w:p w:rsidR="004C773F" w:rsidRDefault="004C773F" w:rsidP="004C773F">
            <w:pPr>
              <w:pStyle w:val="ListParagraph"/>
              <w:numPr>
                <w:ilvl w:val="0"/>
                <w:numId w:val="29"/>
              </w:numPr>
              <w:spacing w:before="120" w:after="120"/>
            </w:pPr>
            <w:r w:rsidRPr="004C773F">
              <w:rPr>
                <w:rFonts w:ascii="Times New Roman" w:hAnsi="Times New Roman" w:cs="Times New Roman"/>
                <w:sz w:val="20"/>
                <w:szCs w:val="20"/>
              </w:rPr>
              <w:t>No actionable items</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r>
      <w:tr w:rsidR="00A5619A" w:rsidTr="00A5619A">
        <w:tc>
          <w:tcPr>
            <w:tcW w:w="468" w:type="dxa"/>
          </w:tcPr>
          <w:p w:rsidR="00A5619A" w:rsidRDefault="00A5619A" w:rsidP="00EE5CA6">
            <w:pPr>
              <w:spacing w:before="120" w:after="120"/>
              <w:jc w:val="center"/>
            </w:pPr>
            <w:r>
              <w:t>9</w:t>
            </w:r>
          </w:p>
        </w:tc>
        <w:tc>
          <w:tcPr>
            <w:tcW w:w="12690" w:type="dxa"/>
            <w:gridSpan w:val="12"/>
          </w:tcPr>
          <w:p w:rsidR="00A5619A" w:rsidRDefault="00A5619A" w:rsidP="00EE5CA6">
            <w:pPr>
              <w:spacing w:before="120" w:after="120"/>
            </w:pPr>
            <w:r w:rsidRPr="0062117A">
              <w:t>Communications</w:t>
            </w:r>
          </w:p>
        </w:tc>
      </w:tr>
      <w:tr w:rsidR="00A5619A" w:rsidTr="00EE5CA6">
        <w:tc>
          <w:tcPr>
            <w:tcW w:w="468" w:type="dxa"/>
          </w:tcPr>
          <w:p w:rsidR="00A5619A" w:rsidRDefault="00A5619A" w:rsidP="00EE5CA6">
            <w:pPr>
              <w:spacing w:before="120" w:after="120"/>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22</w:t>
            </w:r>
          </w:p>
        </w:tc>
        <w:tc>
          <w:tcPr>
            <w:tcW w:w="4950" w:type="dxa"/>
          </w:tcPr>
          <w:p w:rsidR="00A5619A" w:rsidRDefault="00A5619A" w:rsidP="00EE5CA6">
            <w:pPr>
              <w:spacing w:before="120" w:after="120"/>
            </w:pPr>
            <w:r>
              <w:t>It would be desirable to have a set of terminology agreed upon by participants to characteristics shapes, profiles, ratable, non-ratable, and so forth to facilitate discussion.</w:t>
            </w:r>
          </w:p>
          <w:p w:rsidR="002223F6" w:rsidRPr="004C773F" w:rsidRDefault="002223F6" w:rsidP="002223F6">
            <w:pPr>
              <w:spacing w:before="120" w:after="120"/>
            </w:pPr>
            <w:r w:rsidRPr="004C773F">
              <w:t>Proposed Solution(s):</w:t>
            </w:r>
          </w:p>
          <w:p w:rsidR="002223F6" w:rsidRDefault="002223F6" w:rsidP="002223F6">
            <w:pPr>
              <w:pStyle w:val="ListParagraph"/>
              <w:numPr>
                <w:ilvl w:val="0"/>
                <w:numId w:val="29"/>
              </w:numPr>
              <w:spacing w:before="120" w:after="120"/>
            </w:pPr>
            <w:r w:rsidRPr="004C773F">
              <w:rPr>
                <w:rFonts w:ascii="Times New Roman" w:hAnsi="Times New Roman" w:cs="Times New Roman"/>
                <w:sz w:val="20"/>
                <w:szCs w:val="20"/>
              </w:rPr>
              <w:t>Actionable by NAESB in the current environment</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EE5CA6">
            <w:pPr>
              <w:spacing w:before="120" w:after="120"/>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25</w:t>
            </w:r>
          </w:p>
        </w:tc>
        <w:tc>
          <w:tcPr>
            <w:tcW w:w="4950" w:type="dxa"/>
          </w:tcPr>
          <w:p w:rsidR="00A5619A" w:rsidRDefault="00A5619A" w:rsidP="00EE5CA6">
            <w:pPr>
              <w:spacing w:before="120" w:after="120"/>
            </w:pPr>
            <w:r>
              <w:t>Communication protocols with LDCs, gas generator operators and natural gas marketing companies</w:t>
            </w:r>
          </w:p>
          <w:p w:rsidR="002223F6" w:rsidRPr="004C773F" w:rsidRDefault="002223F6" w:rsidP="002223F6">
            <w:pPr>
              <w:spacing w:before="120" w:after="120"/>
            </w:pPr>
            <w:r w:rsidRPr="004C773F">
              <w:t>Proposed Solution(s):</w:t>
            </w:r>
          </w:p>
          <w:p w:rsidR="002223F6" w:rsidRPr="005C72D7" w:rsidRDefault="002223F6" w:rsidP="002223F6">
            <w:pPr>
              <w:pStyle w:val="ListParagraph"/>
              <w:numPr>
                <w:ilvl w:val="0"/>
                <w:numId w:val="29"/>
              </w:numPr>
              <w:spacing w:before="120" w:after="120"/>
              <w:rPr>
                <w:rFonts w:ascii="Times New Roman" w:hAnsi="Times New Roman" w:cs="Times New Roman"/>
                <w:sz w:val="20"/>
                <w:szCs w:val="20"/>
              </w:rPr>
            </w:pPr>
            <w:r w:rsidRPr="005C72D7">
              <w:rPr>
                <w:rFonts w:ascii="Times New Roman" w:hAnsi="Times New Roman" w:cs="Times New Roman"/>
                <w:sz w:val="20"/>
                <w:szCs w:val="20"/>
              </w:rPr>
              <w:t>Actionable by NAESB in the current environment</w:t>
            </w:r>
          </w:p>
          <w:p w:rsidR="005C72D7" w:rsidRDefault="005C72D7" w:rsidP="005C72D7">
            <w:pPr>
              <w:pStyle w:val="ListParagraph"/>
              <w:numPr>
                <w:ilvl w:val="0"/>
                <w:numId w:val="29"/>
              </w:numPr>
              <w:spacing w:before="120" w:after="120"/>
            </w:pPr>
            <w:r w:rsidRPr="005C72D7">
              <w:rPr>
                <w:rFonts w:ascii="Times New Roman" w:hAnsi="Times New Roman" w:cs="Times New Roman"/>
                <w:sz w:val="20"/>
                <w:szCs w:val="20"/>
              </w:rPr>
              <w:t>Actionable by NAESB after sufficient experience has been gained and analyzed after April 2016</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r>
      <w:tr w:rsidR="00A5619A" w:rsidTr="00EE5CA6">
        <w:tc>
          <w:tcPr>
            <w:tcW w:w="468" w:type="dxa"/>
          </w:tcPr>
          <w:p w:rsidR="00A5619A" w:rsidRDefault="00A5619A" w:rsidP="00EE5CA6">
            <w:pPr>
              <w:spacing w:before="120" w:after="120"/>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26</w:t>
            </w:r>
          </w:p>
        </w:tc>
        <w:tc>
          <w:tcPr>
            <w:tcW w:w="4950" w:type="dxa"/>
          </w:tcPr>
          <w:p w:rsidR="00A5619A" w:rsidRDefault="00A5619A" w:rsidP="00EE5CA6">
            <w:pPr>
              <w:spacing w:before="120" w:after="120"/>
            </w:pPr>
            <w:r>
              <w:t xml:space="preserve">Improve efficiency of critical information sharing </w:t>
            </w:r>
            <w:r w:rsidRPr="005C72D7">
              <w:rPr>
                <w:shd w:val="clear" w:color="auto" w:fill="FFFF00"/>
              </w:rPr>
              <w:t xml:space="preserve">(related </w:t>
            </w:r>
            <w:r w:rsidRPr="005C72D7">
              <w:rPr>
                <w:shd w:val="clear" w:color="auto" w:fill="FFFF00"/>
              </w:rPr>
              <w:lastRenderedPageBreak/>
              <w:t>to items 1 and 2)</w:t>
            </w:r>
          </w:p>
          <w:p w:rsidR="005C72D7" w:rsidRPr="004C773F" w:rsidRDefault="005C72D7" w:rsidP="005C72D7">
            <w:pPr>
              <w:spacing w:before="120" w:after="120"/>
            </w:pPr>
            <w:r w:rsidRPr="004C773F">
              <w:t>Proposed Solution(s):</w:t>
            </w:r>
          </w:p>
          <w:p w:rsidR="005C72D7" w:rsidRDefault="005C72D7" w:rsidP="005C72D7">
            <w:pPr>
              <w:pStyle w:val="ListParagraph"/>
              <w:numPr>
                <w:ilvl w:val="0"/>
                <w:numId w:val="29"/>
              </w:numPr>
              <w:spacing w:before="120" w:after="120"/>
              <w:rPr>
                <w:rFonts w:ascii="Times New Roman" w:hAnsi="Times New Roman" w:cs="Times New Roman"/>
                <w:sz w:val="20"/>
                <w:szCs w:val="20"/>
              </w:rPr>
            </w:pPr>
            <w:r w:rsidRPr="005C72D7">
              <w:rPr>
                <w:rFonts w:ascii="Times New Roman" w:hAnsi="Times New Roman" w:cs="Times New Roman"/>
                <w:sz w:val="20"/>
                <w:szCs w:val="20"/>
              </w:rPr>
              <w:t>Actionable by NAESB in the current environment</w:t>
            </w:r>
          </w:p>
          <w:p w:rsidR="005C72D7" w:rsidRDefault="005C72D7" w:rsidP="005C72D7">
            <w:pPr>
              <w:pStyle w:val="ListParagraph"/>
              <w:numPr>
                <w:ilvl w:val="0"/>
                <w:numId w:val="29"/>
              </w:numPr>
              <w:spacing w:before="120" w:after="120"/>
            </w:pPr>
            <w:r w:rsidRPr="005C72D7">
              <w:rPr>
                <w:rFonts w:ascii="Times New Roman" w:hAnsi="Times New Roman" w:cs="Times New Roman"/>
                <w:sz w:val="20"/>
                <w:szCs w:val="20"/>
              </w:rPr>
              <w:t>Actionable by NAESB after sufficient experience has been gained and analyzed after April 2016</w:t>
            </w:r>
          </w:p>
        </w:tc>
        <w:tc>
          <w:tcPr>
            <w:tcW w:w="740" w:type="dxa"/>
          </w:tcPr>
          <w:p w:rsidR="00A5619A" w:rsidRDefault="00A5619A" w:rsidP="00EE5CA6">
            <w:pPr>
              <w:spacing w:before="120" w:after="120"/>
              <w:jc w:val="center"/>
            </w:pPr>
            <w:r>
              <w:lastRenderedPageBreak/>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A5619A">
        <w:tc>
          <w:tcPr>
            <w:tcW w:w="468" w:type="dxa"/>
          </w:tcPr>
          <w:p w:rsidR="00A5619A" w:rsidRDefault="00A5619A" w:rsidP="00EE5CA6">
            <w:pPr>
              <w:spacing w:before="120" w:after="120"/>
              <w:jc w:val="center"/>
            </w:pPr>
            <w:r>
              <w:lastRenderedPageBreak/>
              <w:t>10</w:t>
            </w:r>
          </w:p>
        </w:tc>
        <w:tc>
          <w:tcPr>
            <w:tcW w:w="12690" w:type="dxa"/>
            <w:gridSpan w:val="12"/>
          </w:tcPr>
          <w:p w:rsidR="00A5619A" w:rsidRDefault="00A5619A" w:rsidP="00EE5CA6">
            <w:pPr>
              <w:spacing w:before="120" w:after="120"/>
            </w:pPr>
            <w:r w:rsidRPr="0062117A">
              <w:t>Inconsistencies in Electric-Industry Day-Ahead Markets</w:t>
            </w:r>
          </w:p>
        </w:tc>
      </w:tr>
      <w:tr w:rsidR="00EE5CA6" w:rsidTr="00A5619A">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27</w:t>
            </w:r>
          </w:p>
        </w:tc>
        <w:tc>
          <w:tcPr>
            <w:tcW w:w="4950" w:type="dxa"/>
          </w:tcPr>
          <w:p w:rsidR="00EE5CA6" w:rsidRDefault="00EE5CA6" w:rsidP="00EE5CA6">
            <w:pPr>
              <w:spacing w:before="120" w:after="120"/>
            </w:pPr>
            <w:r>
              <w:t>Timing and Processing Times for Day Ahead energy markets are different across electric markets</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r>
      <w:tr w:rsidR="00EE5CA6" w:rsidTr="00EE5CA6">
        <w:tc>
          <w:tcPr>
            <w:tcW w:w="468" w:type="dxa"/>
          </w:tcPr>
          <w:p w:rsidR="00EE5CA6" w:rsidRDefault="00EE5CA6" w:rsidP="003E2F1B">
            <w:pPr>
              <w:keepNext/>
              <w:spacing w:before="120" w:after="120"/>
              <w:jc w:val="center"/>
            </w:pPr>
            <w:r>
              <w:t>11</w:t>
            </w:r>
          </w:p>
        </w:tc>
        <w:tc>
          <w:tcPr>
            <w:tcW w:w="12690" w:type="dxa"/>
            <w:gridSpan w:val="12"/>
          </w:tcPr>
          <w:p w:rsidR="00EE5CA6" w:rsidRDefault="00EE5CA6" w:rsidP="00EE5CA6">
            <w:pPr>
              <w:spacing w:before="120" w:after="120"/>
            </w:pPr>
            <w:r w:rsidRPr="0062117A">
              <w:t>Data Issues, Data-Transfer Issues, Field Testing and Modeling</w:t>
            </w: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35</w:t>
            </w:r>
          </w:p>
        </w:tc>
        <w:tc>
          <w:tcPr>
            <w:tcW w:w="4950" w:type="dxa"/>
          </w:tcPr>
          <w:p w:rsidR="00EE5CA6" w:rsidRDefault="00EE5CA6" w:rsidP="00EE5CA6">
            <w:pPr>
              <w:spacing w:before="120" w:after="120"/>
            </w:pPr>
            <w:r>
              <w:t xml:space="preserve">Lining up the processes and timeframes that occur within the confirmations/scheduling window to gain efficiency of data exchange. </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36</w:t>
            </w:r>
          </w:p>
        </w:tc>
        <w:tc>
          <w:tcPr>
            <w:tcW w:w="4950" w:type="dxa"/>
          </w:tcPr>
          <w:p w:rsidR="00EE5CA6" w:rsidRDefault="00EE5CA6" w:rsidP="00EE5CA6">
            <w:pPr>
              <w:spacing w:before="120" w:after="120"/>
            </w:pPr>
            <w:r>
              <w:t>Level of confirmations: there is a wide range of data elements that are exchanged from a minimum amount to a very large set of data.  In the Art of Scheduling, pipelines confirm at different level with potential for disparities; greater standardization could produce confirming efficiencies. (For example, confirm at the shipper to shipper level, or if you do it as a lower level of detail it would be driven by model type.) See issue 17 in the first presentation.</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38</w:t>
            </w:r>
          </w:p>
        </w:tc>
        <w:tc>
          <w:tcPr>
            <w:tcW w:w="4950" w:type="dxa"/>
          </w:tcPr>
          <w:p w:rsidR="00EE5CA6" w:rsidRDefault="00EE5CA6" w:rsidP="00EE5CA6">
            <w:pPr>
              <w:spacing w:before="120" w:after="120"/>
            </w:pPr>
            <w:r>
              <w:t xml:space="preserve">Further standardizing methods and processes (for example, standardizing time frames for the different elements of the </w:t>
            </w:r>
            <w:r>
              <w:lastRenderedPageBreak/>
              <w:t>processes) could be employed to support confirmations. Standardization could clarify the steps and expectations among parties surrounding default actions that may arise from different time periods in the process.</w:t>
            </w:r>
          </w:p>
        </w:tc>
        <w:tc>
          <w:tcPr>
            <w:tcW w:w="740" w:type="dxa"/>
          </w:tcPr>
          <w:p w:rsidR="00EE5CA6" w:rsidRDefault="00EE5CA6" w:rsidP="00EE5CA6">
            <w:pPr>
              <w:spacing w:before="120" w:after="120"/>
              <w:jc w:val="center"/>
            </w:pPr>
            <w:r>
              <w:lastRenderedPageBreak/>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39</w:t>
            </w:r>
          </w:p>
        </w:tc>
        <w:tc>
          <w:tcPr>
            <w:tcW w:w="4950" w:type="dxa"/>
          </w:tcPr>
          <w:p w:rsidR="00EE5CA6" w:rsidRDefault="00EE5CA6" w:rsidP="00EE5CA6">
            <w:pPr>
              <w:spacing w:before="120" w:after="120"/>
            </w:pPr>
            <w:r>
              <w:t>Addressing the communication of characteristics of the information in the confirmation process could require a fundamental redesign for potential changes to make confirmations more efficient. (Reasonable) commercial confidentiality issues must be respected.  Note that some pipeline practices already may include this kind of information in the confirmation process.</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42</w:t>
            </w:r>
          </w:p>
        </w:tc>
        <w:tc>
          <w:tcPr>
            <w:tcW w:w="4950" w:type="dxa"/>
          </w:tcPr>
          <w:p w:rsidR="00EE5CA6" w:rsidRDefault="00EE5CA6" w:rsidP="00EE5CA6">
            <w:pPr>
              <w:spacing w:before="120" w:after="120"/>
            </w:pPr>
            <w:r>
              <w:t xml:space="preserve">A field test for best-efforts scheduling may be able to give us information as to demand and utility of services supporting non-ratable service.  </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50</w:t>
            </w:r>
          </w:p>
        </w:tc>
        <w:tc>
          <w:tcPr>
            <w:tcW w:w="4950" w:type="dxa"/>
          </w:tcPr>
          <w:p w:rsidR="00EE5CA6" w:rsidRDefault="00EE5CA6" w:rsidP="00EE5CA6">
            <w:pPr>
              <w:spacing w:before="120" w:after="120"/>
            </w:pPr>
            <w:r>
              <w:t>How to support through efficient  scheduling, a better coordination of gas supplies, transport services, ISOs and RTOs needs and needs of power generators?   Using simulation to recreate “The Art of Scheduling” tools of software models could support more efficient and effective decision making.</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51</w:t>
            </w:r>
          </w:p>
        </w:tc>
        <w:tc>
          <w:tcPr>
            <w:tcW w:w="4950" w:type="dxa"/>
          </w:tcPr>
          <w:p w:rsidR="00EE5CA6" w:rsidRDefault="00EE5CA6" w:rsidP="00EE5CA6">
            <w:pPr>
              <w:spacing w:before="120" w:after="120"/>
            </w:pPr>
            <w:r>
              <w:t>Through efficient nominations and scheduling, addressing service interruptions in the supply chain. Using simulation to recreate “The Art of Scheduling” tools of software models could support more efficient and effective decision making.</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CE072D">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52</w:t>
            </w:r>
          </w:p>
        </w:tc>
        <w:tc>
          <w:tcPr>
            <w:tcW w:w="4950" w:type="dxa"/>
          </w:tcPr>
          <w:p w:rsidR="00EE5CA6" w:rsidRDefault="00EE5CA6" w:rsidP="00EE5CA6">
            <w:pPr>
              <w:spacing w:before="120" w:after="120"/>
            </w:pPr>
            <w:r>
              <w:t xml:space="preserve">How to address less time to validate nomination data that </w:t>
            </w:r>
            <w:r>
              <w:lastRenderedPageBreak/>
              <w:t>would not lead to errors or legal risks?  Using simulation to recreate “The Art of Scheduling” tools of software models could support more efficient and effective decision making.</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53</w:t>
            </w:r>
          </w:p>
        </w:tc>
        <w:tc>
          <w:tcPr>
            <w:tcW w:w="4950" w:type="dxa"/>
          </w:tcPr>
          <w:p w:rsidR="00EE5CA6" w:rsidRDefault="00EE5CA6" w:rsidP="00EE5CA6">
            <w:pPr>
              <w:spacing w:before="120" w:after="120"/>
            </w:pPr>
            <w:r>
              <w:t>How to address tighter deadlines that hamper gas controllers ability to account for shifts in volume?   Using simulation to recreate “The Art of Scheduling” tools of software models could support more efficient and effective decision making.</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CE072D">
            <w:pPr>
              <w:keepNext/>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54</w:t>
            </w:r>
          </w:p>
        </w:tc>
        <w:tc>
          <w:tcPr>
            <w:tcW w:w="4950" w:type="dxa"/>
          </w:tcPr>
          <w:p w:rsidR="00EE5CA6" w:rsidRDefault="00EE5CA6" w:rsidP="00EE5CA6">
            <w:pPr>
              <w:spacing w:before="120" w:after="120"/>
            </w:pPr>
            <w: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55</w:t>
            </w:r>
          </w:p>
        </w:tc>
        <w:tc>
          <w:tcPr>
            <w:tcW w:w="4950" w:type="dxa"/>
          </w:tcPr>
          <w:p w:rsidR="00EE5CA6" w:rsidRDefault="00EE5CA6" w:rsidP="00EE5CA6">
            <w:pPr>
              <w:spacing w:before="120" w:after="120"/>
            </w:pPr>
            <w:r>
              <w:t>Need for role playing. Using simulation to recreate “The Art of Scheduling” tools of software models could support more efficient and effective decision making.</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56</w:t>
            </w:r>
          </w:p>
        </w:tc>
        <w:tc>
          <w:tcPr>
            <w:tcW w:w="4950" w:type="dxa"/>
          </w:tcPr>
          <w:p w:rsidR="00EE5CA6" w:rsidRDefault="00EE5CA6" w:rsidP="00EE5CA6">
            <w:pPr>
              <w:spacing w:before="120" w:after="120"/>
            </w:pPr>
            <w:r>
              <w:t>Compress confirmations by expediting verification of nominations. Using simulation to recreate “The Art of Scheduling” tools of software models could support more efficient and effective decision making.</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3E2F1B">
            <w:pPr>
              <w:keepNext/>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57</w:t>
            </w:r>
          </w:p>
        </w:tc>
        <w:tc>
          <w:tcPr>
            <w:tcW w:w="4950" w:type="dxa"/>
          </w:tcPr>
          <w:p w:rsidR="00EE5CA6" w:rsidRDefault="00EE5CA6" w:rsidP="00EE5CA6">
            <w:pPr>
              <w:spacing w:before="120" w:after="120"/>
            </w:pPr>
            <w:r>
              <w:t xml:space="preserve">Could eTag be applied to the gas industry to mimic the significant number </w:t>
            </w:r>
            <w:r w:rsidR="000A48FF">
              <w:t>of transactions</w:t>
            </w:r>
            <w:r>
              <w:t xml:space="preserve"> processed on the power grid that use eTag in short processing windows, and if so, could it result in a streamlined scheduling process for natural gas?</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EE5CA6">
            <w:pPr>
              <w:spacing w:before="120" w:after="120"/>
              <w:jc w:val="center"/>
            </w:pPr>
            <w:r>
              <w:t>12</w:t>
            </w:r>
          </w:p>
        </w:tc>
        <w:tc>
          <w:tcPr>
            <w:tcW w:w="12690" w:type="dxa"/>
            <w:gridSpan w:val="12"/>
          </w:tcPr>
          <w:p w:rsidR="00EE5CA6" w:rsidRDefault="00EE5CA6" w:rsidP="00EE5CA6">
            <w:pPr>
              <w:spacing w:before="120" w:after="120"/>
            </w:pPr>
            <w:r w:rsidRPr="0062117A">
              <w:t>New Service Offerings</w:t>
            </w: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41</w:t>
            </w:r>
          </w:p>
        </w:tc>
        <w:tc>
          <w:tcPr>
            <w:tcW w:w="4950" w:type="dxa"/>
          </w:tcPr>
          <w:p w:rsidR="00EE5CA6" w:rsidRDefault="00EE5CA6" w:rsidP="00EE5CA6">
            <w:pPr>
              <w:spacing w:before="120" w:after="120"/>
            </w:pPr>
            <w:r>
              <w:t>Would the ability to reserve current contracted primary FT capacity for use tomorrow, address issues related to inability to use FT contracts to serve intermittent electric generation?</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CE072D">
            <w:pPr>
              <w:keepNext/>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43</w:t>
            </w:r>
          </w:p>
        </w:tc>
        <w:tc>
          <w:tcPr>
            <w:tcW w:w="4950" w:type="dxa"/>
          </w:tcPr>
          <w:p w:rsidR="00EE5CA6" w:rsidRDefault="00EE5CA6" w:rsidP="00EE5CA6">
            <w:pPr>
              <w:spacing w:before="120" w:after="120"/>
            </w:pPr>
            <w:r>
              <w:t>Observation: the current set of firm offerings is not meeting the demands of generators in some parts of the country.  The suggestion is that it is not necessary to change the existing services, but rather to add new services (for example, one could add a block of capacity, e.g. a seasonal block in which a shipper could take x quantity and y quantity for day).  This is similar to the type of offering that some pipelines now offer (e.g. revenue banking). Of course physical capabilities of pipeline systems must be taken into account.</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44</w:t>
            </w:r>
          </w:p>
        </w:tc>
        <w:tc>
          <w:tcPr>
            <w:tcW w:w="4950" w:type="dxa"/>
          </w:tcPr>
          <w:p w:rsidR="00EE5CA6" w:rsidRDefault="00EE5CA6" w:rsidP="00EE5CA6">
            <w:pPr>
              <w:spacing w:before="120" w:after="120"/>
            </w:pPr>
            <w:r>
              <w:t>Volumetric service to support electric generation akin to SGS (Small Generation Service) on a best-efforts basis may meet expressed needs.</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48</w:t>
            </w:r>
          </w:p>
        </w:tc>
        <w:tc>
          <w:tcPr>
            <w:tcW w:w="4950" w:type="dxa"/>
          </w:tcPr>
          <w:p w:rsidR="00EE5CA6" w:rsidRDefault="00EE5CA6" w:rsidP="00EE5CA6">
            <w:pPr>
              <w:spacing w:before="120" w:after="120"/>
            </w:pPr>
            <w:r>
              <w:t xml:space="preserve">There could be benefits that flow from better matching the efficiency of gas scheduling to the provision of electric-market ancillary services (e.g., addressing short term </w:t>
            </w:r>
            <w:r>
              <w:lastRenderedPageBreak/>
              <w:t>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740" w:type="dxa"/>
          </w:tcPr>
          <w:p w:rsidR="00EE5CA6" w:rsidRDefault="00EE5CA6" w:rsidP="00EE5CA6">
            <w:pPr>
              <w:spacing w:before="120" w:after="120"/>
              <w:jc w:val="center"/>
            </w:pPr>
            <w:r>
              <w:lastRenderedPageBreak/>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49</w:t>
            </w:r>
          </w:p>
        </w:tc>
        <w:tc>
          <w:tcPr>
            <w:tcW w:w="4950" w:type="dxa"/>
          </w:tcPr>
          <w:p w:rsidR="00EE5CA6" w:rsidRDefault="00EE5CA6" w:rsidP="00EE5CA6">
            <w:pPr>
              <w:spacing w:before="120" w:after="120"/>
            </w:pPr>
            <w:r>
              <w:t xml:space="preserve">As the electric system continues to evolve into a peakier and a more renewable grid, the need for enhanced scheduling and flexibility from the gas transportation system will grow. </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r>
    </w:tbl>
    <w:p w:rsidR="00CC66DA" w:rsidRDefault="00CC66DA" w:rsidP="00865329">
      <w:pPr>
        <w:spacing w:before="600"/>
        <w:jc w:val="center"/>
        <w:rPr>
          <w:caps/>
        </w:rPr>
        <w:sectPr w:rsidR="00CC66DA" w:rsidSect="003C628C">
          <w:pgSz w:w="15840" w:h="12240" w:orient="landscape" w:code="1"/>
          <w:pgMar w:top="1440" w:right="1440" w:bottom="1440" w:left="1440" w:header="720" w:footer="720" w:gutter="0"/>
          <w:cols w:space="720"/>
          <w:docGrid w:linePitch="272"/>
        </w:sectPr>
      </w:pPr>
    </w:p>
    <w:p w:rsidR="00865329" w:rsidRPr="007719B2" w:rsidRDefault="00865329" w:rsidP="00865329">
      <w:pPr>
        <w:spacing w:before="600"/>
        <w:jc w:val="center"/>
        <w:rPr>
          <w:caps/>
        </w:rPr>
      </w:pPr>
      <w:r w:rsidRPr="007719B2">
        <w:rPr>
          <w:caps/>
        </w:rPr>
        <w:lastRenderedPageBreak/>
        <w:t xml:space="preserve">Table </w:t>
      </w:r>
      <w:r>
        <w:rPr>
          <w:caps/>
        </w:rPr>
        <w:t>5</w:t>
      </w:r>
    </w:p>
    <w:p w:rsidR="00865329" w:rsidRDefault="00865329" w:rsidP="00865329">
      <w:pPr>
        <w:spacing w:before="120" w:after="120"/>
      </w:pPr>
      <w:r>
        <w:t>Table 5 is a listing of the commen</w:t>
      </w:r>
      <w:r w:rsidR="00CE072D">
        <w:t xml:space="preserve">ts that were provided with the </w:t>
      </w:r>
      <w:r>
        <w:t xml:space="preserve">“hashtags” or question responses. </w:t>
      </w:r>
    </w:p>
    <w:tbl>
      <w:tblPr>
        <w:tblStyle w:val="TableGrid"/>
        <w:tblW w:w="0" w:type="auto"/>
        <w:tblLook w:val="04A0" w:firstRow="1" w:lastRow="0" w:firstColumn="1" w:lastColumn="0" w:noHBand="0" w:noVBand="1"/>
      </w:tblPr>
      <w:tblGrid>
        <w:gridCol w:w="1041"/>
        <w:gridCol w:w="961"/>
        <w:gridCol w:w="1081"/>
        <w:gridCol w:w="6493"/>
      </w:tblGrid>
      <w:tr w:rsidR="00865329" w:rsidRPr="00163273" w:rsidTr="00CC66DA">
        <w:trPr>
          <w:tblHeader/>
        </w:trPr>
        <w:tc>
          <w:tcPr>
            <w:tcW w:w="9576" w:type="dxa"/>
            <w:gridSpan w:val="4"/>
          </w:tcPr>
          <w:p w:rsidR="00865329" w:rsidRPr="00163273" w:rsidRDefault="00865329" w:rsidP="00CE072D">
            <w:pPr>
              <w:spacing w:before="120" w:after="120"/>
              <w:jc w:val="center"/>
            </w:pPr>
            <w:r>
              <w:t>Table 5</w:t>
            </w:r>
            <w:r w:rsidR="00CE072D">
              <w:t xml:space="preserve"> --</w:t>
            </w:r>
            <w:r>
              <w:t xml:space="preserve"> </w:t>
            </w:r>
            <w:r w:rsidR="00CE072D">
              <w:t>Comment</w:t>
            </w:r>
            <w:r>
              <w:t xml:space="preserve">s Provided with </w:t>
            </w:r>
            <w:r w:rsidR="00CE072D">
              <w:t xml:space="preserve"> # </w:t>
            </w:r>
            <w:r>
              <w:t>Responses</w:t>
            </w:r>
          </w:p>
        </w:tc>
      </w:tr>
      <w:tr w:rsidR="00865329" w:rsidRPr="00163273" w:rsidTr="00CC66DA">
        <w:trPr>
          <w:tblHeader/>
        </w:trPr>
        <w:tc>
          <w:tcPr>
            <w:tcW w:w="1041" w:type="dxa"/>
          </w:tcPr>
          <w:p w:rsidR="00865329" w:rsidRPr="00163273" w:rsidRDefault="00865329" w:rsidP="00865329">
            <w:pPr>
              <w:spacing w:before="120" w:after="120"/>
            </w:pPr>
            <w:r>
              <w:t>Category</w:t>
            </w:r>
          </w:p>
        </w:tc>
        <w:tc>
          <w:tcPr>
            <w:tcW w:w="961" w:type="dxa"/>
          </w:tcPr>
          <w:p w:rsidR="00865329" w:rsidRPr="00163273" w:rsidRDefault="00865329" w:rsidP="00865329">
            <w:pPr>
              <w:spacing w:before="120" w:after="120"/>
            </w:pPr>
            <w:r>
              <w:t>Issue</w:t>
            </w:r>
          </w:p>
        </w:tc>
        <w:tc>
          <w:tcPr>
            <w:tcW w:w="1081" w:type="dxa"/>
          </w:tcPr>
          <w:p w:rsidR="00865329" w:rsidRPr="00163273" w:rsidRDefault="00CE072D" w:rsidP="00865329">
            <w:pPr>
              <w:spacing w:before="120" w:after="120"/>
            </w:pPr>
            <w:r>
              <w:t>Hashtag</w:t>
            </w:r>
          </w:p>
        </w:tc>
        <w:tc>
          <w:tcPr>
            <w:tcW w:w="6493" w:type="dxa"/>
          </w:tcPr>
          <w:p w:rsidR="00865329" w:rsidRPr="00163273" w:rsidRDefault="00865329" w:rsidP="00865329">
            <w:pPr>
              <w:spacing w:before="120" w:after="120"/>
            </w:pPr>
            <w:r>
              <w:t>Comment</w:t>
            </w:r>
          </w:p>
        </w:tc>
      </w:tr>
      <w:tr w:rsidR="00865329" w:rsidRPr="00163273" w:rsidTr="00CC66DA">
        <w:tc>
          <w:tcPr>
            <w:tcW w:w="1041" w:type="dxa"/>
          </w:tcPr>
          <w:p w:rsidR="00865329" w:rsidRPr="00163273" w:rsidRDefault="00865329" w:rsidP="00865329">
            <w:pPr>
              <w:spacing w:before="120" w:after="120"/>
            </w:pPr>
            <w:r>
              <w:t>1</w:t>
            </w:r>
          </w:p>
        </w:tc>
        <w:tc>
          <w:tcPr>
            <w:tcW w:w="961" w:type="dxa"/>
          </w:tcPr>
          <w:p w:rsidR="00865329" w:rsidRPr="00163273" w:rsidRDefault="00865329" w:rsidP="00865329">
            <w:pPr>
              <w:spacing w:before="120" w:after="120"/>
            </w:pPr>
            <w:r>
              <w:t>1</w:t>
            </w:r>
          </w:p>
        </w:tc>
        <w:tc>
          <w:tcPr>
            <w:tcW w:w="1081" w:type="dxa"/>
          </w:tcPr>
          <w:p w:rsidR="00865329" w:rsidRPr="00163273" w:rsidRDefault="00865329" w:rsidP="00865329">
            <w:pPr>
              <w:spacing w:before="120" w:after="120"/>
            </w:pPr>
            <w:r>
              <w:t>#1a</w:t>
            </w:r>
          </w:p>
        </w:tc>
        <w:tc>
          <w:tcPr>
            <w:tcW w:w="6493" w:type="dxa"/>
          </w:tcPr>
          <w:p w:rsidR="00865329" w:rsidRPr="00163273" w:rsidRDefault="003E2F1B" w:rsidP="00865329">
            <w:pPr>
              <w:spacing w:before="120" w:after="120"/>
            </w:pPr>
            <w:r>
              <w:t>Different view</w:t>
            </w:r>
            <w:r w:rsidR="00865329">
              <w:t>points about it being in scope</w:t>
            </w:r>
          </w:p>
        </w:tc>
      </w:tr>
      <w:tr w:rsidR="00865329" w:rsidRPr="00163273" w:rsidTr="00CC66DA">
        <w:tc>
          <w:tcPr>
            <w:tcW w:w="1041" w:type="dxa"/>
          </w:tcPr>
          <w:p w:rsidR="00865329" w:rsidRPr="00163273" w:rsidRDefault="00865329" w:rsidP="00865329">
            <w:pPr>
              <w:spacing w:before="120" w:after="120"/>
            </w:pPr>
          </w:p>
        </w:tc>
        <w:tc>
          <w:tcPr>
            <w:tcW w:w="961" w:type="dxa"/>
          </w:tcPr>
          <w:p w:rsidR="00865329" w:rsidRPr="00163273" w:rsidRDefault="00865329" w:rsidP="00865329">
            <w:pPr>
              <w:spacing w:before="120" w:after="120"/>
            </w:pPr>
          </w:p>
        </w:tc>
        <w:tc>
          <w:tcPr>
            <w:tcW w:w="1081" w:type="dxa"/>
          </w:tcPr>
          <w:p w:rsidR="00865329" w:rsidRPr="00163273" w:rsidRDefault="00865329" w:rsidP="00865329">
            <w:pPr>
              <w:spacing w:before="120" w:after="120"/>
            </w:pPr>
            <w:r>
              <w:t>#1b</w:t>
            </w:r>
          </w:p>
        </w:tc>
        <w:tc>
          <w:tcPr>
            <w:tcW w:w="6493" w:type="dxa"/>
          </w:tcPr>
          <w:p w:rsidR="00865329" w:rsidRPr="00163273" w:rsidRDefault="003E2F1B" w:rsidP="00865329">
            <w:pPr>
              <w:spacing w:before="120" w:after="120"/>
            </w:pPr>
            <w:r>
              <w:t>Different view</w:t>
            </w:r>
            <w:r w:rsidR="00865329">
              <w:t>points about it being in scope</w:t>
            </w:r>
          </w:p>
        </w:tc>
      </w:tr>
      <w:tr w:rsidR="00865329" w:rsidRPr="00163273" w:rsidTr="00CC66DA">
        <w:tc>
          <w:tcPr>
            <w:tcW w:w="1041" w:type="dxa"/>
          </w:tcPr>
          <w:p w:rsidR="00865329" w:rsidRPr="00163273" w:rsidRDefault="00865329" w:rsidP="00865329">
            <w:pPr>
              <w:spacing w:before="120" w:after="120"/>
            </w:pPr>
          </w:p>
        </w:tc>
        <w:tc>
          <w:tcPr>
            <w:tcW w:w="961" w:type="dxa"/>
          </w:tcPr>
          <w:p w:rsidR="00865329" w:rsidRPr="00163273" w:rsidRDefault="00865329" w:rsidP="00865329">
            <w:pPr>
              <w:spacing w:before="120" w:after="120"/>
            </w:pPr>
          </w:p>
        </w:tc>
        <w:tc>
          <w:tcPr>
            <w:tcW w:w="1081" w:type="dxa"/>
          </w:tcPr>
          <w:p w:rsidR="00865329" w:rsidRPr="00163273" w:rsidRDefault="00865329" w:rsidP="00865329">
            <w:pPr>
              <w:spacing w:before="120" w:after="120"/>
            </w:pPr>
            <w:r>
              <w:t>#2a</w:t>
            </w:r>
          </w:p>
        </w:tc>
        <w:tc>
          <w:tcPr>
            <w:tcW w:w="6493" w:type="dxa"/>
          </w:tcPr>
          <w:p w:rsidR="00865329" w:rsidRPr="00163273" w:rsidRDefault="00865329" w:rsidP="00865329">
            <w:pPr>
              <w:spacing w:before="120" w:after="120"/>
            </w:pPr>
            <w:r>
              <w:t>If scheduling were faster, there could be efficiencies - but at what cost?</w:t>
            </w:r>
          </w:p>
        </w:tc>
      </w:tr>
      <w:tr w:rsidR="00865329" w:rsidRPr="00163273" w:rsidTr="00CC66DA">
        <w:tc>
          <w:tcPr>
            <w:tcW w:w="1041" w:type="dxa"/>
          </w:tcPr>
          <w:p w:rsidR="00865329" w:rsidRPr="00163273" w:rsidRDefault="00865329" w:rsidP="00865329">
            <w:pPr>
              <w:spacing w:before="120" w:after="120"/>
            </w:pPr>
          </w:p>
        </w:tc>
        <w:tc>
          <w:tcPr>
            <w:tcW w:w="961" w:type="dxa"/>
          </w:tcPr>
          <w:p w:rsidR="00865329" w:rsidRPr="00163273" w:rsidRDefault="00865329" w:rsidP="00865329">
            <w:pPr>
              <w:spacing w:before="120" w:after="120"/>
            </w:pPr>
          </w:p>
        </w:tc>
        <w:tc>
          <w:tcPr>
            <w:tcW w:w="1081" w:type="dxa"/>
          </w:tcPr>
          <w:p w:rsidR="00865329" w:rsidRPr="00163273" w:rsidRDefault="00865329" w:rsidP="00865329">
            <w:pPr>
              <w:spacing w:before="120" w:after="120"/>
            </w:pPr>
            <w:r>
              <w:t>#2b</w:t>
            </w:r>
          </w:p>
        </w:tc>
        <w:tc>
          <w:tcPr>
            <w:tcW w:w="6493" w:type="dxa"/>
          </w:tcPr>
          <w:p w:rsidR="00865329" w:rsidRPr="00163273" w:rsidRDefault="00865329" w:rsidP="00865329">
            <w:pPr>
              <w:spacing w:before="120" w:after="120"/>
            </w:pPr>
            <w:r>
              <w:t>If scheduling were faster, there could be efficiencies - but at what cost?</w:t>
            </w:r>
          </w:p>
        </w:tc>
      </w:tr>
      <w:tr w:rsidR="00865329" w:rsidRPr="00163273" w:rsidTr="00CC66DA">
        <w:tc>
          <w:tcPr>
            <w:tcW w:w="1041" w:type="dxa"/>
          </w:tcPr>
          <w:p w:rsidR="00865329" w:rsidRPr="00163273" w:rsidRDefault="00865329" w:rsidP="00865329">
            <w:pPr>
              <w:spacing w:before="120" w:after="120"/>
            </w:pPr>
          </w:p>
        </w:tc>
        <w:tc>
          <w:tcPr>
            <w:tcW w:w="961" w:type="dxa"/>
          </w:tcPr>
          <w:p w:rsidR="00865329" w:rsidRPr="00163273" w:rsidRDefault="00865329" w:rsidP="00865329">
            <w:pPr>
              <w:spacing w:before="120" w:after="120"/>
            </w:pPr>
          </w:p>
        </w:tc>
        <w:tc>
          <w:tcPr>
            <w:tcW w:w="1081" w:type="dxa"/>
          </w:tcPr>
          <w:p w:rsidR="00865329" w:rsidRPr="00163273" w:rsidRDefault="00865329" w:rsidP="00865329">
            <w:pPr>
              <w:spacing w:before="120" w:after="120"/>
            </w:pPr>
            <w:r>
              <w:t>#2c</w:t>
            </w:r>
          </w:p>
        </w:tc>
        <w:tc>
          <w:tcPr>
            <w:tcW w:w="6493" w:type="dxa"/>
          </w:tcPr>
          <w:p w:rsidR="00865329" w:rsidRPr="00163273" w:rsidRDefault="00865329" w:rsidP="00865329">
            <w:pPr>
              <w:spacing w:before="120" w:after="120"/>
            </w:pPr>
            <w:r>
              <w:t>If scheduling were faster, there could be efficiencies - but at what cost?</w:t>
            </w:r>
          </w:p>
        </w:tc>
      </w:tr>
      <w:tr w:rsidR="00865329" w:rsidRPr="00163273" w:rsidTr="00CC66DA">
        <w:tc>
          <w:tcPr>
            <w:tcW w:w="1041" w:type="dxa"/>
          </w:tcPr>
          <w:p w:rsidR="00865329" w:rsidRPr="00163273" w:rsidRDefault="00865329" w:rsidP="00865329">
            <w:pPr>
              <w:spacing w:before="120" w:after="120"/>
            </w:pPr>
          </w:p>
        </w:tc>
        <w:tc>
          <w:tcPr>
            <w:tcW w:w="961" w:type="dxa"/>
          </w:tcPr>
          <w:p w:rsidR="00865329" w:rsidRPr="00163273" w:rsidRDefault="00865329" w:rsidP="00865329">
            <w:pPr>
              <w:spacing w:before="120" w:after="120"/>
            </w:pPr>
          </w:p>
        </w:tc>
        <w:tc>
          <w:tcPr>
            <w:tcW w:w="1081" w:type="dxa"/>
          </w:tcPr>
          <w:p w:rsidR="00865329" w:rsidRPr="00163273" w:rsidRDefault="00865329" w:rsidP="00865329">
            <w:pPr>
              <w:spacing w:before="120" w:after="120"/>
            </w:pPr>
            <w:r>
              <w:t>#3</w:t>
            </w:r>
          </w:p>
        </w:tc>
        <w:tc>
          <w:tcPr>
            <w:tcW w:w="6493" w:type="dxa"/>
          </w:tcPr>
          <w:p w:rsidR="00865329" w:rsidRPr="00163273" w:rsidRDefault="00865329" w:rsidP="00865329">
            <w:pPr>
              <w:spacing w:before="120" w:after="120"/>
            </w:pPr>
            <w:r>
              <w:t>This is a service-related issue</w:t>
            </w:r>
          </w:p>
        </w:tc>
      </w:tr>
      <w:tr w:rsidR="00865329" w:rsidRPr="00163273" w:rsidTr="00CC66DA">
        <w:tc>
          <w:tcPr>
            <w:tcW w:w="1041" w:type="dxa"/>
          </w:tcPr>
          <w:p w:rsidR="00865329" w:rsidRPr="00163273" w:rsidRDefault="00865329" w:rsidP="00865329">
            <w:pPr>
              <w:spacing w:before="120" w:after="120"/>
            </w:pPr>
          </w:p>
        </w:tc>
        <w:tc>
          <w:tcPr>
            <w:tcW w:w="961" w:type="dxa"/>
          </w:tcPr>
          <w:p w:rsidR="00865329" w:rsidRPr="00163273" w:rsidRDefault="00865329" w:rsidP="00865329">
            <w:pPr>
              <w:spacing w:before="120" w:after="120"/>
            </w:pPr>
          </w:p>
        </w:tc>
        <w:tc>
          <w:tcPr>
            <w:tcW w:w="1081" w:type="dxa"/>
          </w:tcPr>
          <w:p w:rsidR="00865329" w:rsidRPr="00163273" w:rsidRDefault="00865329" w:rsidP="00865329">
            <w:pPr>
              <w:spacing w:before="120" w:after="120"/>
            </w:pPr>
            <w:r>
              <w:t>#6</w:t>
            </w:r>
          </w:p>
        </w:tc>
        <w:tc>
          <w:tcPr>
            <w:tcW w:w="6493" w:type="dxa"/>
          </w:tcPr>
          <w:p w:rsidR="00865329" w:rsidRPr="00163273" w:rsidRDefault="00865329" w:rsidP="00865329">
            <w:pPr>
              <w:spacing w:before="120" w:after="120"/>
            </w:pPr>
            <w:r>
              <w:t>This is a statement of fact.</w:t>
            </w:r>
          </w:p>
        </w:tc>
      </w:tr>
      <w:tr w:rsidR="00865329" w:rsidRPr="00163273" w:rsidTr="00CC66DA">
        <w:tc>
          <w:tcPr>
            <w:tcW w:w="1041" w:type="dxa"/>
          </w:tcPr>
          <w:p w:rsidR="00865329" w:rsidRPr="00163273" w:rsidRDefault="00865329" w:rsidP="00F31ABB">
            <w:pPr>
              <w:spacing w:before="120" w:after="120"/>
            </w:pPr>
            <w:r>
              <w:t>1</w:t>
            </w:r>
          </w:p>
        </w:tc>
        <w:tc>
          <w:tcPr>
            <w:tcW w:w="961" w:type="dxa"/>
          </w:tcPr>
          <w:p w:rsidR="00865329" w:rsidRPr="00163273" w:rsidRDefault="00865329" w:rsidP="00F31ABB">
            <w:pPr>
              <w:spacing w:before="120" w:after="120"/>
            </w:pPr>
            <w:r>
              <w:t>29</w:t>
            </w:r>
          </w:p>
        </w:tc>
        <w:tc>
          <w:tcPr>
            <w:tcW w:w="1081" w:type="dxa"/>
          </w:tcPr>
          <w:p w:rsidR="00865329" w:rsidRPr="00163273" w:rsidRDefault="00865329" w:rsidP="00F31ABB">
            <w:pPr>
              <w:spacing w:before="120" w:after="120"/>
            </w:pPr>
            <w:r>
              <w:t>#1a</w:t>
            </w:r>
          </w:p>
        </w:tc>
        <w:tc>
          <w:tcPr>
            <w:tcW w:w="6493" w:type="dxa"/>
          </w:tcPr>
          <w:p w:rsidR="00865329" w:rsidRPr="00163273" w:rsidRDefault="00865329" w:rsidP="00CC66DA">
            <w:pPr>
              <w:spacing w:before="120" w:after="120"/>
            </w:pPr>
            <w:r>
              <w:t>Different view points about it being in scope</w:t>
            </w:r>
          </w:p>
        </w:tc>
      </w:tr>
      <w:tr w:rsidR="00865329" w:rsidRPr="00163273" w:rsidTr="00CC66DA">
        <w:tc>
          <w:tcPr>
            <w:tcW w:w="1041" w:type="dxa"/>
          </w:tcPr>
          <w:p w:rsidR="00865329" w:rsidRPr="00163273" w:rsidRDefault="00865329" w:rsidP="00F31ABB">
            <w:pPr>
              <w:spacing w:before="120" w:after="120"/>
            </w:pPr>
          </w:p>
        </w:tc>
        <w:tc>
          <w:tcPr>
            <w:tcW w:w="961" w:type="dxa"/>
          </w:tcPr>
          <w:p w:rsidR="00865329" w:rsidRPr="00163273" w:rsidRDefault="00865329" w:rsidP="00F31ABB">
            <w:pPr>
              <w:spacing w:before="120" w:after="120"/>
            </w:pPr>
          </w:p>
        </w:tc>
        <w:tc>
          <w:tcPr>
            <w:tcW w:w="1081" w:type="dxa"/>
          </w:tcPr>
          <w:p w:rsidR="00865329" w:rsidRPr="00163273" w:rsidRDefault="00865329" w:rsidP="00F31ABB">
            <w:pPr>
              <w:spacing w:before="120" w:after="120"/>
            </w:pPr>
            <w:r>
              <w:t>#1b</w:t>
            </w:r>
          </w:p>
        </w:tc>
        <w:tc>
          <w:tcPr>
            <w:tcW w:w="6493" w:type="dxa"/>
          </w:tcPr>
          <w:p w:rsidR="00865329" w:rsidRPr="00163273" w:rsidRDefault="00865329" w:rsidP="00CC66DA">
            <w:pPr>
              <w:spacing w:before="120" w:after="120"/>
            </w:pPr>
            <w:r>
              <w:t>Different view points about it being in scope</w:t>
            </w:r>
          </w:p>
        </w:tc>
      </w:tr>
      <w:tr w:rsidR="00865329" w:rsidRPr="00163273" w:rsidTr="00CC66DA">
        <w:tc>
          <w:tcPr>
            <w:tcW w:w="1041" w:type="dxa"/>
          </w:tcPr>
          <w:p w:rsidR="00865329" w:rsidRPr="00163273" w:rsidRDefault="00865329" w:rsidP="00F31ABB">
            <w:pPr>
              <w:spacing w:before="120" w:after="120"/>
            </w:pPr>
          </w:p>
        </w:tc>
        <w:tc>
          <w:tcPr>
            <w:tcW w:w="961" w:type="dxa"/>
          </w:tcPr>
          <w:p w:rsidR="00865329" w:rsidRPr="00163273" w:rsidRDefault="00865329" w:rsidP="00F31ABB">
            <w:pPr>
              <w:spacing w:before="120" w:after="120"/>
            </w:pPr>
          </w:p>
        </w:tc>
        <w:tc>
          <w:tcPr>
            <w:tcW w:w="1081" w:type="dxa"/>
          </w:tcPr>
          <w:p w:rsidR="00865329" w:rsidRPr="00163273" w:rsidRDefault="00865329" w:rsidP="00F31ABB">
            <w:pPr>
              <w:spacing w:before="120" w:after="120"/>
            </w:pPr>
            <w:r>
              <w:t>#2a</w:t>
            </w:r>
          </w:p>
        </w:tc>
        <w:tc>
          <w:tcPr>
            <w:tcW w:w="6493" w:type="dxa"/>
          </w:tcPr>
          <w:p w:rsidR="00865329" w:rsidRPr="00163273" w:rsidRDefault="00865329" w:rsidP="00CC66DA">
            <w:pPr>
              <w:spacing w:before="120" w:after="120"/>
            </w:pPr>
            <w:r>
              <w:t>Caution may be appropriate about the timing of any NAESB discussions of this issue.</w:t>
            </w:r>
          </w:p>
        </w:tc>
      </w:tr>
      <w:tr w:rsidR="00865329" w:rsidRPr="00163273" w:rsidTr="00CC66DA">
        <w:tc>
          <w:tcPr>
            <w:tcW w:w="1041" w:type="dxa"/>
          </w:tcPr>
          <w:p w:rsidR="00865329" w:rsidRPr="00163273" w:rsidRDefault="00865329" w:rsidP="00F31ABB">
            <w:pPr>
              <w:spacing w:before="120" w:after="120"/>
            </w:pPr>
          </w:p>
        </w:tc>
        <w:tc>
          <w:tcPr>
            <w:tcW w:w="961" w:type="dxa"/>
          </w:tcPr>
          <w:p w:rsidR="00865329" w:rsidRPr="00163273" w:rsidRDefault="00865329" w:rsidP="00F31ABB">
            <w:pPr>
              <w:spacing w:before="120" w:after="120"/>
            </w:pPr>
          </w:p>
        </w:tc>
        <w:tc>
          <w:tcPr>
            <w:tcW w:w="1081" w:type="dxa"/>
          </w:tcPr>
          <w:p w:rsidR="00865329" w:rsidRPr="00163273" w:rsidRDefault="00865329" w:rsidP="00F31ABB">
            <w:pPr>
              <w:spacing w:before="120" w:after="120"/>
            </w:pPr>
            <w:r>
              <w:t>#2b</w:t>
            </w:r>
          </w:p>
        </w:tc>
        <w:tc>
          <w:tcPr>
            <w:tcW w:w="6493" w:type="dxa"/>
          </w:tcPr>
          <w:p w:rsidR="00865329" w:rsidRPr="00163273" w:rsidRDefault="00865329" w:rsidP="00CC66DA">
            <w:pPr>
              <w:spacing w:before="120" w:after="120"/>
            </w:pPr>
            <w:r>
              <w:t>Caution may be appropriate about the timing of any NAESB discussions of this issue.</w:t>
            </w:r>
          </w:p>
        </w:tc>
      </w:tr>
      <w:tr w:rsidR="00865329" w:rsidRPr="00163273" w:rsidTr="00CC66DA">
        <w:tc>
          <w:tcPr>
            <w:tcW w:w="1041" w:type="dxa"/>
          </w:tcPr>
          <w:p w:rsidR="00865329" w:rsidRPr="00163273" w:rsidRDefault="00865329" w:rsidP="00F31ABB">
            <w:pPr>
              <w:spacing w:before="120" w:after="120"/>
            </w:pPr>
          </w:p>
        </w:tc>
        <w:tc>
          <w:tcPr>
            <w:tcW w:w="961" w:type="dxa"/>
          </w:tcPr>
          <w:p w:rsidR="00865329" w:rsidRPr="00163273" w:rsidRDefault="00865329" w:rsidP="00F31ABB">
            <w:pPr>
              <w:spacing w:before="120" w:after="120"/>
            </w:pPr>
          </w:p>
        </w:tc>
        <w:tc>
          <w:tcPr>
            <w:tcW w:w="1081" w:type="dxa"/>
          </w:tcPr>
          <w:p w:rsidR="00865329" w:rsidRPr="00163273" w:rsidRDefault="00865329" w:rsidP="00F31ABB">
            <w:pPr>
              <w:spacing w:before="120" w:after="120"/>
            </w:pPr>
            <w:r>
              <w:t>#2c</w:t>
            </w:r>
          </w:p>
        </w:tc>
        <w:tc>
          <w:tcPr>
            <w:tcW w:w="6493" w:type="dxa"/>
          </w:tcPr>
          <w:p w:rsidR="00865329" w:rsidRPr="00163273" w:rsidRDefault="00865329" w:rsidP="00CC66DA">
            <w:pPr>
              <w:spacing w:before="120" w:after="120"/>
            </w:pPr>
            <w:r>
              <w:t>Caution may be appropriate about the timing of any NAESB discussions of this issue.</w:t>
            </w:r>
          </w:p>
        </w:tc>
      </w:tr>
      <w:tr w:rsidR="00865329" w:rsidRPr="00163273" w:rsidTr="00CC66DA">
        <w:tc>
          <w:tcPr>
            <w:tcW w:w="1041" w:type="dxa"/>
          </w:tcPr>
          <w:p w:rsidR="00865329" w:rsidRPr="00163273" w:rsidRDefault="00865329" w:rsidP="00F31ABB">
            <w:pPr>
              <w:spacing w:before="120" w:after="120"/>
            </w:pPr>
          </w:p>
        </w:tc>
        <w:tc>
          <w:tcPr>
            <w:tcW w:w="961" w:type="dxa"/>
          </w:tcPr>
          <w:p w:rsidR="00865329" w:rsidRPr="00163273" w:rsidRDefault="00865329" w:rsidP="00F31ABB">
            <w:pPr>
              <w:spacing w:before="120" w:after="120"/>
            </w:pPr>
          </w:p>
        </w:tc>
        <w:tc>
          <w:tcPr>
            <w:tcW w:w="1081" w:type="dxa"/>
          </w:tcPr>
          <w:p w:rsidR="00865329" w:rsidRPr="00163273" w:rsidRDefault="00865329" w:rsidP="00F31ABB">
            <w:pPr>
              <w:spacing w:before="120" w:after="120"/>
            </w:pPr>
            <w:r>
              <w:t>#3</w:t>
            </w:r>
          </w:p>
        </w:tc>
        <w:tc>
          <w:tcPr>
            <w:tcW w:w="6493" w:type="dxa"/>
          </w:tcPr>
          <w:p w:rsidR="00865329" w:rsidRPr="00163273" w:rsidRDefault="00865329" w:rsidP="00CC66DA">
            <w:pPr>
              <w:spacing w:before="120" w:after="120"/>
            </w:pPr>
            <w:r>
              <w:t>This may not be a NAESB issue.</w:t>
            </w:r>
          </w:p>
        </w:tc>
      </w:tr>
      <w:tr w:rsidR="00CC66DA" w:rsidRPr="00163273" w:rsidTr="00CC66DA">
        <w:tc>
          <w:tcPr>
            <w:tcW w:w="1041" w:type="dxa"/>
          </w:tcPr>
          <w:p w:rsidR="00CC66DA" w:rsidRPr="00163273" w:rsidRDefault="00CC66DA" w:rsidP="00F31ABB">
            <w:pPr>
              <w:spacing w:before="120" w:after="120"/>
            </w:pPr>
            <w:r>
              <w:t>2</w:t>
            </w:r>
          </w:p>
        </w:tc>
        <w:tc>
          <w:tcPr>
            <w:tcW w:w="961" w:type="dxa"/>
          </w:tcPr>
          <w:p w:rsidR="00CC66DA" w:rsidRPr="00163273" w:rsidRDefault="00CC66DA" w:rsidP="00F31ABB">
            <w:pPr>
              <w:spacing w:before="120" w:after="120"/>
            </w:pPr>
            <w:r>
              <w:t>2</w:t>
            </w:r>
          </w:p>
        </w:tc>
        <w:tc>
          <w:tcPr>
            <w:tcW w:w="1081" w:type="dxa"/>
          </w:tcPr>
          <w:p w:rsidR="00CC66DA" w:rsidRPr="00163273" w:rsidRDefault="00CC66DA" w:rsidP="00F31ABB">
            <w:pPr>
              <w:spacing w:before="120" w:after="120"/>
            </w:pPr>
            <w:r>
              <w:t>#1a</w:t>
            </w:r>
          </w:p>
        </w:tc>
        <w:tc>
          <w:tcPr>
            <w:tcW w:w="6493" w:type="dxa"/>
          </w:tcPr>
          <w:p w:rsidR="00CC66DA" w:rsidRPr="00163273" w:rsidRDefault="00CC66DA" w:rsidP="00CC66DA">
            <w:pPr>
              <w:spacing w:before="120" w:after="120"/>
            </w:pPr>
            <w:r>
              <w:t>In scope/out of scope.  For example, for at least one shipper and one pipeline, even when firm non-ratable service is purchased from a pipeline a shipper cannot utilize it outside of business hours.</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#1b</w:t>
            </w:r>
          </w:p>
        </w:tc>
        <w:tc>
          <w:tcPr>
            <w:tcW w:w="6493" w:type="dxa"/>
          </w:tcPr>
          <w:p w:rsidR="00CC66DA" w:rsidRPr="00163273" w:rsidRDefault="00CC66DA" w:rsidP="00CC66DA">
            <w:pPr>
              <w:spacing w:before="120" w:after="120"/>
            </w:pPr>
            <w:r>
              <w:t>In scope/out of scope.  For example, for at least one shipper and one pipeline, even when firm non-ratable service is purchased from a pipeline a shipper cannot utilize it outside of business hours.</w:t>
            </w:r>
          </w:p>
        </w:tc>
      </w:tr>
      <w:tr w:rsidR="00CC66DA" w:rsidRPr="00163273" w:rsidTr="00CC66DA">
        <w:tc>
          <w:tcPr>
            <w:tcW w:w="1041" w:type="dxa"/>
          </w:tcPr>
          <w:p w:rsidR="00CC66DA" w:rsidRPr="00163273" w:rsidRDefault="00CC66DA" w:rsidP="00CE072D">
            <w:pPr>
              <w:keepNext/>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#2a</w:t>
            </w:r>
          </w:p>
        </w:tc>
        <w:tc>
          <w:tcPr>
            <w:tcW w:w="6493" w:type="dxa"/>
          </w:tcPr>
          <w:p w:rsidR="00CC66DA" w:rsidRPr="00163273" w:rsidRDefault="00CC66DA" w:rsidP="00CC66DA">
            <w:pPr>
              <w:spacing w:before="120" w:after="120"/>
            </w:pPr>
            <w:r>
              <w:t>Different pipelines have different tariff filings and offerings under the 636 framework, based on physical characteristics of the pipeline and other things. While standards development could facilitate a market mechanism for a price formation, there would need to be new policy articulated by FERC based on the degree of coordination between gas and electric industries.</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#2b</w:t>
            </w:r>
          </w:p>
        </w:tc>
        <w:tc>
          <w:tcPr>
            <w:tcW w:w="6493" w:type="dxa"/>
          </w:tcPr>
          <w:p w:rsidR="00CC66DA" w:rsidRPr="00163273" w:rsidRDefault="00CC66DA" w:rsidP="00CC66DA">
            <w:pPr>
              <w:spacing w:before="120" w:after="120"/>
            </w:pPr>
            <w:r>
              <w:t>Different pipelines have different tariff filings and offerings under the 636 framework, based on physical characteristics of the pipeline and other things. While standards development could facilitate a market mechanism for a price formation, there would need to be new policy articulated by FERC based on the degree of coordination between gas and electric industries.</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#2c</w:t>
            </w:r>
          </w:p>
        </w:tc>
        <w:tc>
          <w:tcPr>
            <w:tcW w:w="6493" w:type="dxa"/>
          </w:tcPr>
          <w:p w:rsidR="00CC66DA" w:rsidRPr="00163273" w:rsidRDefault="00CC66DA" w:rsidP="00CC66DA">
            <w:pPr>
              <w:spacing w:before="120" w:after="120"/>
            </w:pPr>
            <w:r>
              <w:t>Different pipelines have different tariff filings and offerings under the 636 framework, based on physical characteristics of the pipeline and other things. While standards development could facilitate a market mechanism for a price formation, there would need to be new policy articulated by FERC based on the degree of coordination between gas and electric industries.</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#5</w:t>
            </w:r>
          </w:p>
        </w:tc>
        <w:tc>
          <w:tcPr>
            <w:tcW w:w="6493" w:type="dxa"/>
          </w:tcPr>
          <w:p w:rsidR="00CC66DA" w:rsidRPr="00163273" w:rsidRDefault="00CC66DA" w:rsidP="00CC66DA">
            <w:pPr>
              <w:spacing w:before="120" w:after="120"/>
            </w:pPr>
            <w:r>
              <w:t>Different pipelines have different tariff filings and offerings under the 636 framework. While standards development could facilitate a market mechanism for a price formation, there would need to be new policy articulated by FERC based on the degree of coordination between gas and electric industries.</w:t>
            </w:r>
          </w:p>
        </w:tc>
      </w:tr>
      <w:tr w:rsidR="00CC66DA" w:rsidRPr="00163273" w:rsidTr="00CC66DA">
        <w:tc>
          <w:tcPr>
            <w:tcW w:w="1041" w:type="dxa"/>
          </w:tcPr>
          <w:p w:rsidR="00CC66DA" w:rsidRPr="00163273" w:rsidRDefault="00CC66DA" w:rsidP="00F31ABB">
            <w:pPr>
              <w:spacing w:before="120" w:after="120"/>
            </w:pPr>
            <w:r>
              <w:t>4</w:t>
            </w:r>
          </w:p>
        </w:tc>
        <w:tc>
          <w:tcPr>
            <w:tcW w:w="961" w:type="dxa"/>
          </w:tcPr>
          <w:p w:rsidR="00CC66DA" w:rsidRPr="00163273" w:rsidRDefault="00CC66DA" w:rsidP="00F31ABB">
            <w:pPr>
              <w:spacing w:before="120" w:after="120"/>
            </w:pPr>
            <w:r>
              <w:t>17</w:t>
            </w:r>
          </w:p>
        </w:tc>
        <w:tc>
          <w:tcPr>
            <w:tcW w:w="1081" w:type="dxa"/>
          </w:tcPr>
          <w:p w:rsidR="00CC66DA" w:rsidRPr="00163273" w:rsidRDefault="00CC66DA" w:rsidP="00F31ABB">
            <w:pPr>
              <w:spacing w:before="120" w:after="120"/>
            </w:pPr>
            <w:r>
              <w:t>#1a</w:t>
            </w:r>
          </w:p>
        </w:tc>
        <w:tc>
          <w:tcPr>
            <w:tcW w:w="6493" w:type="dxa"/>
          </w:tcPr>
          <w:p w:rsidR="00CC66DA" w:rsidRDefault="00CC66DA" w:rsidP="00CC66DA">
            <w:pPr>
              <w:spacing w:before="120" w:after="120"/>
            </w:pPr>
            <w:r>
              <w:t>In scope (due to potential for efficiencies). But anything that decreases operational control (for example, at the city gate, or at other interconnecting points of parties) may introduce complications and degrade reliability in other parts of the delivery chain. There are other issues similarly raised upstream/downstream with respect to level of services (for example, difference between firm and interruptible services at interconnections).</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#1b</w:t>
            </w:r>
          </w:p>
        </w:tc>
        <w:tc>
          <w:tcPr>
            <w:tcW w:w="6493" w:type="dxa"/>
          </w:tcPr>
          <w:p w:rsidR="00CC66DA" w:rsidRDefault="00CC66DA" w:rsidP="00CC66DA">
            <w:pPr>
              <w:spacing w:before="120" w:after="120"/>
            </w:pPr>
            <w:r>
              <w:t>In scope (due to potential for efficiencies). But anything that decreases operational control (for example, at the city gate, or at other interconnecting points of parties) may introduce complications and degrade reliability in other parts of the delivery chain. There are other issues similarly raised upstream/downstream with respect to level of services (for example, difference between firm and interruptible services at interconnections).</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#2a</w:t>
            </w:r>
          </w:p>
        </w:tc>
        <w:tc>
          <w:tcPr>
            <w:tcW w:w="6493" w:type="dxa"/>
          </w:tcPr>
          <w:p w:rsidR="00CC66DA" w:rsidRDefault="00CC66DA" w:rsidP="00CC66DA">
            <w:pPr>
              <w:spacing w:before="120" w:after="120"/>
            </w:pPr>
            <w:r>
              <w:t>Note that anything that decreases operational control (for example, at the city gate, or at other interconnecting points of parties) may introduce complications and degrade reliability in other parts of the delivery chain.</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#2b</w:t>
            </w:r>
          </w:p>
        </w:tc>
        <w:tc>
          <w:tcPr>
            <w:tcW w:w="6493" w:type="dxa"/>
          </w:tcPr>
          <w:p w:rsidR="00CC66DA" w:rsidRDefault="00CC66DA" w:rsidP="00CC66DA">
            <w:pPr>
              <w:spacing w:before="120" w:after="120"/>
            </w:pPr>
            <w:r w:rsidRPr="00954CCB">
              <w:t>Note that anything that decreases operational control (for example, at the city gate, or at other interconnecting points of parties) may introduce complications and degrade reliability in other parts of the delivery chain.</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#2c</w:t>
            </w:r>
          </w:p>
        </w:tc>
        <w:tc>
          <w:tcPr>
            <w:tcW w:w="6493" w:type="dxa"/>
          </w:tcPr>
          <w:p w:rsidR="00CC66DA" w:rsidRDefault="00CC66DA" w:rsidP="00CC66DA">
            <w:pPr>
              <w:spacing w:before="120" w:after="120"/>
            </w:pPr>
            <w:r w:rsidRPr="00954CCB">
              <w:t>Note that anything that decreases operational control (for example, at the city gate, or at other interconnecting points of parties) may introduce complications and degrade reliability in other parts of the delivery chain.</w:t>
            </w:r>
          </w:p>
        </w:tc>
      </w:tr>
      <w:tr w:rsidR="00CC66DA" w:rsidRPr="00163273" w:rsidTr="00CC66DA">
        <w:tc>
          <w:tcPr>
            <w:tcW w:w="1041" w:type="dxa"/>
          </w:tcPr>
          <w:p w:rsidR="00CC66DA" w:rsidRPr="00163273" w:rsidRDefault="00CC66DA" w:rsidP="00F31ABB">
            <w:pPr>
              <w:spacing w:before="120" w:after="120"/>
            </w:pPr>
            <w:r>
              <w:t>5</w:t>
            </w:r>
          </w:p>
        </w:tc>
        <w:tc>
          <w:tcPr>
            <w:tcW w:w="961" w:type="dxa"/>
          </w:tcPr>
          <w:p w:rsidR="00CC66DA" w:rsidRPr="00163273" w:rsidRDefault="00CC66DA" w:rsidP="00F31ABB">
            <w:pPr>
              <w:spacing w:before="120" w:after="120"/>
            </w:pPr>
            <w:r>
              <w:t>19</w:t>
            </w:r>
          </w:p>
        </w:tc>
        <w:tc>
          <w:tcPr>
            <w:tcW w:w="1081" w:type="dxa"/>
          </w:tcPr>
          <w:p w:rsidR="00CC66DA" w:rsidRPr="00163273" w:rsidRDefault="00CC66DA" w:rsidP="00F31ABB">
            <w:pPr>
              <w:spacing w:before="120" w:after="120"/>
            </w:pPr>
            <w:r>
              <w:t>#1a</w:t>
            </w:r>
          </w:p>
        </w:tc>
        <w:tc>
          <w:tcPr>
            <w:tcW w:w="6493" w:type="dxa"/>
          </w:tcPr>
          <w:p w:rsidR="00CC66DA" w:rsidRDefault="00CC66DA" w:rsidP="00CC66DA">
            <w:pPr>
              <w:spacing w:before="120" w:after="120"/>
            </w:pPr>
            <w:r>
              <w:t>In scope</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#1b</w:t>
            </w:r>
          </w:p>
        </w:tc>
        <w:tc>
          <w:tcPr>
            <w:tcW w:w="6493" w:type="dxa"/>
          </w:tcPr>
          <w:p w:rsidR="00CC66DA" w:rsidRDefault="00CC66DA" w:rsidP="00CC66DA">
            <w:pPr>
              <w:spacing w:before="120" w:after="120"/>
            </w:pPr>
            <w:r>
              <w:t>In scope</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#2a</w:t>
            </w:r>
          </w:p>
        </w:tc>
        <w:tc>
          <w:tcPr>
            <w:tcW w:w="6493" w:type="dxa"/>
          </w:tcPr>
          <w:p w:rsidR="00CC66DA" w:rsidRDefault="00CC66DA" w:rsidP="00CC66DA">
            <w:pPr>
              <w:spacing w:before="120" w:after="120"/>
            </w:pPr>
            <w:r>
              <w:t>Let’s see what happens after considerable post April 2016 experience with respect to using that experience to determine the relative benefits of changing timeline vs. adding cycles.  Any further scheduling frequency or opportunities outside of grid-wide opportunities are likely to be manual.  There are many other considerations that do not involve additional cycles or manual processes.</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#2b</w:t>
            </w:r>
          </w:p>
        </w:tc>
        <w:tc>
          <w:tcPr>
            <w:tcW w:w="6493" w:type="dxa"/>
          </w:tcPr>
          <w:p w:rsidR="00CC66DA" w:rsidRDefault="00CC66DA" w:rsidP="00CC66DA">
            <w:pPr>
              <w:spacing w:before="120" w:after="120"/>
            </w:pPr>
            <w:r>
              <w:t>Let’s see what happens after considerable post April 2016 experience with respect to using that experience to determine the relative benefits of changing timeline vs. adding cycles.  Any further scheduling frequency or opportunities outside of grid-wide opportunities are likely to be manual.  There are many other considerations that do not involve additional cycles or manual processes.</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#2c</w:t>
            </w:r>
          </w:p>
        </w:tc>
        <w:tc>
          <w:tcPr>
            <w:tcW w:w="6493" w:type="dxa"/>
          </w:tcPr>
          <w:p w:rsidR="00CC66DA" w:rsidRDefault="00CC66DA" w:rsidP="00CC66DA">
            <w:pPr>
              <w:spacing w:before="120" w:after="120"/>
            </w:pPr>
            <w:r>
              <w:t>Let’s see what happens after considerable post April 2016 experience with respect to using that experience to determine the relative benefits of changing timeline vs. adding cycles.  Any further scheduling frequency or opportunities outside of grid-wide opportunities are likely to be manual.  There are many other considerations that do not involve additional cycles or manual processes.</w:t>
            </w:r>
          </w:p>
        </w:tc>
      </w:tr>
      <w:tr w:rsidR="00CC66DA" w:rsidRPr="00163273" w:rsidTr="00CC66DA">
        <w:tc>
          <w:tcPr>
            <w:tcW w:w="1041" w:type="dxa"/>
          </w:tcPr>
          <w:p w:rsidR="00CC66DA" w:rsidRPr="00163273" w:rsidRDefault="00CC66DA" w:rsidP="00F31ABB">
            <w:pPr>
              <w:spacing w:before="120" w:after="120"/>
            </w:pPr>
            <w:r>
              <w:t>6</w:t>
            </w:r>
          </w:p>
        </w:tc>
        <w:tc>
          <w:tcPr>
            <w:tcW w:w="961" w:type="dxa"/>
          </w:tcPr>
          <w:p w:rsidR="00CC66DA" w:rsidRPr="00163273" w:rsidRDefault="00CC66DA" w:rsidP="00F31ABB">
            <w:pPr>
              <w:spacing w:before="120" w:after="120"/>
            </w:pPr>
            <w:r>
              <w:t>18</w:t>
            </w:r>
          </w:p>
        </w:tc>
        <w:tc>
          <w:tcPr>
            <w:tcW w:w="1081" w:type="dxa"/>
          </w:tcPr>
          <w:p w:rsidR="00CC66DA" w:rsidRPr="00163273" w:rsidRDefault="00CC66DA" w:rsidP="00F31ABB">
            <w:pPr>
              <w:spacing w:before="120" w:after="120"/>
            </w:pPr>
            <w:r>
              <w:t>#2a</w:t>
            </w:r>
          </w:p>
        </w:tc>
        <w:tc>
          <w:tcPr>
            <w:tcW w:w="6493" w:type="dxa"/>
          </w:tcPr>
          <w:p w:rsidR="00CC66DA" w:rsidRDefault="00CC66DA" w:rsidP="003E2F1B">
            <w:pPr>
              <w:spacing w:before="120" w:after="120"/>
            </w:pPr>
            <w:r>
              <w:t>Need to understand the implications of compressed time for the amount of time available for scheduling and confirmation (and the implication for errors) in order to answer the basic question of whether further efficiencies occur and whether efficiencies gained are sufficient to create an additional cycle.</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#2b</w:t>
            </w:r>
          </w:p>
        </w:tc>
        <w:tc>
          <w:tcPr>
            <w:tcW w:w="6493" w:type="dxa"/>
          </w:tcPr>
          <w:p w:rsidR="00CC66DA" w:rsidRDefault="003E2F1B" w:rsidP="00CC66DA">
            <w:pPr>
              <w:spacing w:before="120" w:after="120"/>
            </w:pPr>
            <w:r>
              <w:t>Need to understand the implications of compressed time for the amount of time available for scheduling and confirmation (and the implication for errors) in order to answer the basic question of whether further efficiencies occur and whether efficiencies gained are sufficient to create an additional cycle.</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Pr="00163273" w:rsidRDefault="00CC66DA" w:rsidP="00F31ABB">
            <w:pPr>
              <w:spacing w:before="120" w:after="120"/>
            </w:pPr>
            <w:r>
              <w:t>#2c</w:t>
            </w:r>
          </w:p>
        </w:tc>
        <w:tc>
          <w:tcPr>
            <w:tcW w:w="6493" w:type="dxa"/>
          </w:tcPr>
          <w:p w:rsidR="00CC66DA" w:rsidRDefault="003E2F1B" w:rsidP="00CC66DA">
            <w:pPr>
              <w:spacing w:before="120" w:after="120"/>
            </w:pPr>
            <w:r>
              <w:t>Need to understand the implications of compressed time for the amount of time available for scheduling and confirmation (and the implication for errors) in order to answer the basic question of whether further efficiencies occur and whether efficiencies gained are sufficient to create an additional cycle.</w:t>
            </w:r>
          </w:p>
        </w:tc>
      </w:tr>
      <w:tr w:rsidR="00CC66DA" w:rsidRPr="00163273" w:rsidTr="00CC66DA">
        <w:tc>
          <w:tcPr>
            <w:tcW w:w="1041" w:type="dxa"/>
          </w:tcPr>
          <w:p w:rsidR="00CC66DA" w:rsidRPr="00163273" w:rsidRDefault="003E2F1B" w:rsidP="00CE072D">
            <w:pPr>
              <w:keepNext/>
              <w:spacing w:before="120" w:after="120"/>
            </w:pPr>
            <w:r>
              <w:lastRenderedPageBreak/>
              <w:t>7</w:t>
            </w:r>
          </w:p>
        </w:tc>
        <w:tc>
          <w:tcPr>
            <w:tcW w:w="961" w:type="dxa"/>
          </w:tcPr>
          <w:p w:rsidR="00CC66DA" w:rsidRPr="00163273" w:rsidRDefault="003E2F1B" w:rsidP="00F31ABB">
            <w:pPr>
              <w:spacing w:before="120" w:after="120"/>
            </w:pPr>
            <w:r>
              <w:t>11</w:t>
            </w:r>
          </w:p>
        </w:tc>
        <w:tc>
          <w:tcPr>
            <w:tcW w:w="1081" w:type="dxa"/>
          </w:tcPr>
          <w:p w:rsidR="00CC66DA" w:rsidRDefault="003E2F1B" w:rsidP="00F31ABB">
            <w:pPr>
              <w:spacing w:before="120" w:after="120"/>
            </w:pPr>
            <w:r>
              <w:t>#3</w:t>
            </w:r>
          </w:p>
        </w:tc>
        <w:tc>
          <w:tcPr>
            <w:tcW w:w="6493" w:type="dxa"/>
          </w:tcPr>
          <w:p w:rsidR="00CC66DA" w:rsidRDefault="003E2F1B" w:rsidP="003E2F1B">
            <w:pPr>
              <w:spacing w:before="120" w:after="120"/>
            </w:pPr>
            <w:r>
              <w:t>In light of the practice in which parties provide collaborative physical assistance, national standards may not be helpful. In light of this collaborative assistance, when un-priced due to the current nature of OBAs, this may also frustrate standardization.  On the other hand, when it is priced between pipelines it might not occur as often as under informal arrangements, with potential impacts on reliability.  There are complex interactions and potential consequences for these trade-offs. Additionally there are regulations surrounding emergency situations and care should be taken to avoid disrupting those capabilities.</w:t>
            </w:r>
          </w:p>
        </w:tc>
      </w:tr>
      <w:tr w:rsidR="00CC66DA" w:rsidRPr="00163273" w:rsidTr="00CC66DA">
        <w:tc>
          <w:tcPr>
            <w:tcW w:w="1041" w:type="dxa"/>
          </w:tcPr>
          <w:p w:rsidR="00CC66DA" w:rsidRPr="00163273" w:rsidRDefault="00CC66DA" w:rsidP="00F31ABB">
            <w:pPr>
              <w:spacing w:before="120" w:after="120"/>
            </w:pPr>
          </w:p>
        </w:tc>
        <w:tc>
          <w:tcPr>
            <w:tcW w:w="961" w:type="dxa"/>
          </w:tcPr>
          <w:p w:rsidR="00CC66DA" w:rsidRPr="00163273" w:rsidRDefault="00CC66DA" w:rsidP="00F31ABB">
            <w:pPr>
              <w:spacing w:before="120" w:after="120"/>
            </w:pPr>
          </w:p>
        </w:tc>
        <w:tc>
          <w:tcPr>
            <w:tcW w:w="1081" w:type="dxa"/>
          </w:tcPr>
          <w:p w:rsidR="00CC66DA" w:rsidRDefault="003E2F1B" w:rsidP="00F31ABB">
            <w:pPr>
              <w:spacing w:before="120" w:after="120"/>
            </w:pPr>
            <w:r>
              <w:t>#5</w:t>
            </w:r>
          </w:p>
        </w:tc>
        <w:tc>
          <w:tcPr>
            <w:tcW w:w="6493" w:type="dxa"/>
          </w:tcPr>
          <w:p w:rsidR="00CC66DA" w:rsidRDefault="003E2F1B" w:rsidP="003E2F1B">
            <w:pPr>
              <w:spacing w:before="120" w:after="120"/>
            </w:pPr>
            <w:r>
              <w:t>In light of the practice in which parties provide collaborative physical assistance, national standards may not be helpful. In light of this collaborative assistance, when un-priced due to the current nature of OBAs, this may also frustrate standardization.  On the other hand, when it is priced between pipelines it might not occur as often as under informal arrangements, with potential impacts on reliability.  There are complex interactions and potential consequences for these trade-offs. Additionally there are regulations surrounding emergency situations and care should be taken to avoid disrupting those capabilities.</w:t>
            </w:r>
          </w:p>
        </w:tc>
      </w:tr>
    </w:tbl>
    <w:p w:rsidR="003C628C" w:rsidRDefault="003C628C" w:rsidP="003C628C">
      <w:pPr>
        <w:spacing w:before="600"/>
      </w:pPr>
    </w:p>
    <w:sectPr w:rsidR="003C628C" w:rsidSect="00CC66DA">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3A7" w:rsidRDefault="007F73A7">
      <w:r>
        <w:separator/>
      </w:r>
    </w:p>
  </w:endnote>
  <w:endnote w:type="continuationSeparator" w:id="0">
    <w:p w:rsidR="007F73A7" w:rsidRDefault="007F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5060201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ABB" w:rsidRDefault="0089771C" w:rsidP="0089771C">
    <w:pPr>
      <w:pStyle w:val="Footer"/>
      <w:pBdr>
        <w:top w:val="single" w:sz="18" w:space="1" w:color="auto"/>
      </w:pBdr>
      <w:shd w:val="clear" w:color="auto" w:fill="FFFF00"/>
      <w:jc w:val="right"/>
    </w:pPr>
    <w:r>
      <w:t xml:space="preserve">DRAFT </w:t>
    </w:r>
    <w:r w:rsidR="00512C79">
      <w:t xml:space="preserve">Day 1 - </w:t>
    </w:r>
    <w:r w:rsidR="00F31ABB">
      <w:t>NAESB Gas-Electric Harmonization Forum Matrix – March 21, 2016</w:t>
    </w:r>
    <w:r>
      <w:t xml:space="preserve"> Work Paper</w:t>
    </w:r>
  </w:p>
  <w:p w:rsidR="00F31ABB" w:rsidRDefault="00F31ABB" w:rsidP="009321D5">
    <w:pPr>
      <w:pStyle w:val="Footer"/>
      <w:pBdr>
        <w:top w:val="single" w:sz="18" w:space="1" w:color="auto"/>
      </w:pBdr>
      <w:jc w:val="right"/>
    </w:pPr>
    <w:r>
      <w:t xml:space="preserve">Page </w:t>
    </w:r>
    <w:r>
      <w:fldChar w:fldCharType="begin"/>
    </w:r>
    <w:r>
      <w:instrText xml:space="preserve"> PAGE </w:instrText>
    </w:r>
    <w:r>
      <w:fldChar w:fldCharType="separate"/>
    </w:r>
    <w:r w:rsidR="00D12174">
      <w:rPr>
        <w:noProof/>
      </w:rPr>
      <w:t>1</w:t>
    </w:r>
    <w:r>
      <w:rPr>
        <w:noProof/>
      </w:rPr>
      <w:fldChar w:fldCharType="end"/>
    </w:r>
    <w:r>
      <w:t xml:space="preserve"> of </w:t>
    </w:r>
    <w:fldSimple w:instr=" NUMPAGES ">
      <w:r w:rsidR="00D12174">
        <w:rPr>
          <w:noProof/>
        </w:rPr>
        <w:t>40</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3A7" w:rsidRDefault="007F73A7">
      <w:r>
        <w:separator/>
      </w:r>
    </w:p>
  </w:footnote>
  <w:footnote w:type="continuationSeparator" w:id="0">
    <w:p w:rsidR="007F73A7" w:rsidRDefault="007F7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71C" w:rsidRDefault="007F73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4071" o:spid="_x0000_s2050" type="#_x0000_t136" style="position:absolute;margin-left:0;margin-top:0;width:471.3pt;height:188.5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ABB" w:rsidRDefault="007F73A7">
    <w:pPr>
      <w:pStyle w:val="Header"/>
      <w:tabs>
        <w:tab w:val="left" w:pos="1080"/>
      </w:tabs>
      <w:rPr>
        <w:rFonts w:ascii="Bookman Old Style" w:hAnsi="Bookman Old Style"/>
        <w:b/>
        <w:noProo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4072" o:spid="_x0000_s2051" type="#_x0000_t136" style="position:absolute;margin-left:0;margin-top:0;width:471.3pt;height:188.5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F31ABB">
      <w:rPr>
        <w:noProof/>
      </w:rPr>
      <w:drawing>
        <wp:anchor distT="0" distB="0" distL="114300" distR="114300" simplePos="0" relativeHeight="251660288" behindDoc="1" locked="0" layoutInCell="1" allowOverlap="1" wp14:anchorId="4D0FD11E" wp14:editId="72D64D9A">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sidR="00F31ABB">
      <w:rPr>
        <w:noProof/>
      </w:rPr>
      <mc:AlternateContent>
        <mc:Choice Requires="wps">
          <w:drawing>
            <wp:anchor distT="0" distB="0" distL="114300" distR="114300" simplePos="0" relativeHeight="251659264" behindDoc="1" locked="0" layoutInCell="1" allowOverlap="1" wp14:anchorId="226C07C1" wp14:editId="257245DD">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ABB" w:rsidRDefault="00F31AB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ZBpwIAAJ8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Fim1kGnAgAAnwUAAA4AAAAAAAAAAAAAAAAA&#10;LgIAAGRycy9lMm9Eb2MueG1sUEsBAi0AFAAGAAgAAAAhAInlcUncAAAABQEAAA8AAAAAAAAAAAAA&#10;AAAAAQUAAGRycy9kb3ducmV2LnhtbFBLBQYAAAAABAAEAPMAAAAKBgAAAAA=&#10;" filled="f" stroked="f">
              <v:textbox inset="0,0,0,0">
                <w:txbxContent>
                  <w:p w:rsidR="00F31ABB" w:rsidRDefault="00F31ABB"/>
                </w:txbxContent>
              </v:textbox>
            </v:rect>
          </w:pict>
        </mc:Fallback>
      </mc:AlternateContent>
    </w:r>
  </w:p>
  <w:p w:rsidR="00F31ABB" w:rsidRDefault="00F31ABB">
    <w:pPr>
      <w:pStyle w:val="Header"/>
      <w:tabs>
        <w:tab w:val="left" w:pos="1080"/>
      </w:tabs>
      <w:ind w:left="1800"/>
      <w:jc w:val="right"/>
      <w:rPr>
        <w:b/>
        <w:spacing w:val="20"/>
        <w:sz w:val="32"/>
      </w:rPr>
    </w:pPr>
    <w:r>
      <w:rPr>
        <w:b/>
        <w:spacing w:val="20"/>
        <w:sz w:val="32"/>
      </w:rPr>
      <w:t>North American Energy Standards Board</w:t>
    </w:r>
  </w:p>
  <w:p w:rsidR="00F31ABB" w:rsidRDefault="00F31ABB">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place">
          <w:smartTag w:uri="urn:schemas-microsoft-com:office:smarttags" w:element="City">
            <w:r>
              <w:t>Houston</w:t>
            </w:r>
          </w:smartTag>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smartTag>
  </w:p>
  <w:p w:rsidR="00F31ABB" w:rsidRDefault="00F31ABB">
    <w:pPr>
      <w:pStyle w:val="Header"/>
      <w:ind w:left="1800"/>
      <w:jc w:val="right"/>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rsidR="00F31ABB" w:rsidRDefault="00F31ABB">
    <w:pPr>
      <w:pStyle w:val="Header"/>
      <w:pBdr>
        <w:bottom w:val="single" w:sz="18" w:space="1" w:color="auto"/>
      </w:pBdr>
      <w:ind w:left="1800" w:hanging="1800"/>
      <w:jc w:val="right"/>
    </w:pPr>
    <w:r>
      <w:tab/>
      <w:t xml:space="preserve">Home Page: </w:t>
    </w:r>
    <w:hyperlink r:id="rId2" w:history="1">
      <w:r>
        <w:rPr>
          <w:rStyle w:val="Hyperlink"/>
        </w:rPr>
        <w:t>www.naesb.org</w:t>
      </w:r>
    </w:hyperlink>
  </w:p>
  <w:p w:rsidR="00F31ABB" w:rsidRDefault="00F31ABB">
    <w:pPr>
      <w:pStyle w:val="Header"/>
      <w:pBdr>
        <w:bottom w:val="single" w:sz="18" w:space="1" w:color="auto"/>
      </w:pBdr>
      <w:spacing w:after="240"/>
      <w:ind w:left="1800" w:hanging="1800"/>
      <w:rPr>
        <w:sz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71C" w:rsidRDefault="007F73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4070" o:spid="_x0000_s2049" type="#_x0000_t136" style="position:absolute;margin-left:0;margin-top:0;width:471.3pt;height:188.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C0078"/>
    <w:multiLevelType w:val="hybridMultilevel"/>
    <w:tmpl w:val="AFEC6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EE69D2"/>
    <w:multiLevelType w:val="hybridMultilevel"/>
    <w:tmpl w:val="BBD2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6895DC1"/>
    <w:multiLevelType w:val="hybridMultilevel"/>
    <w:tmpl w:val="53C8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5"/>
  </w:num>
  <w:num w:numId="4">
    <w:abstractNumId w:val="20"/>
  </w:num>
  <w:num w:numId="5">
    <w:abstractNumId w:val="15"/>
  </w:num>
  <w:num w:numId="6">
    <w:abstractNumId w:val="2"/>
  </w:num>
  <w:num w:numId="7">
    <w:abstractNumId w:val="14"/>
  </w:num>
  <w:num w:numId="8">
    <w:abstractNumId w:val="26"/>
  </w:num>
  <w:num w:numId="9">
    <w:abstractNumId w:val="21"/>
  </w:num>
  <w:num w:numId="10">
    <w:abstractNumId w:val="29"/>
  </w:num>
  <w:num w:numId="11">
    <w:abstractNumId w:val="13"/>
  </w:num>
  <w:num w:numId="12">
    <w:abstractNumId w:val="11"/>
  </w:num>
  <w:num w:numId="13">
    <w:abstractNumId w:val="24"/>
  </w:num>
  <w:num w:numId="14">
    <w:abstractNumId w:val="9"/>
  </w:num>
  <w:num w:numId="15">
    <w:abstractNumId w:val="16"/>
  </w:num>
  <w:num w:numId="16">
    <w:abstractNumId w:val="3"/>
  </w:num>
  <w:num w:numId="17">
    <w:abstractNumId w:val="23"/>
  </w:num>
  <w:num w:numId="18">
    <w:abstractNumId w:val="22"/>
  </w:num>
  <w:num w:numId="19">
    <w:abstractNumId w:val="4"/>
  </w:num>
  <w:num w:numId="20">
    <w:abstractNumId w:val="7"/>
  </w:num>
  <w:num w:numId="21">
    <w:abstractNumId w:val="19"/>
  </w:num>
  <w:num w:numId="22">
    <w:abstractNumId w:val="17"/>
  </w:num>
  <w:num w:numId="23">
    <w:abstractNumId w:val="5"/>
  </w:num>
  <w:num w:numId="24">
    <w:abstractNumId w:val="0"/>
  </w:num>
  <w:num w:numId="25">
    <w:abstractNumId w:val="10"/>
  </w:num>
  <w:num w:numId="26">
    <w:abstractNumId w:val="18"/>
  </w:num>
  <w:num w:numId="27">
    <w:abstractNumId w:val="28"/>
  </w:num>
  <w:num w:numId="28">
    <w:abstractNumId w:val="12"/>
  </w:num>
  <w:num w:numId="29">
    <w:abstractNumId w:val="8"/>
  </w:num>
  <w:num w:numId="3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5D"/>
    <w:rsid w:val="00000F4B"/>
    <w:rsid w:val="00002E39"/>
    <w:rsid w:val="00013B96"/>
    <w:rsid w:val="000167CF"/>
    <w:rsid w:val="000326E4"/>
    <w:rsid w:val="000375EF"/>
    <w:rsid w:val="000443C9"/>
    <w:rsid w:val="0006209A"/>
    <w:rsid w:val="000630F5"/>
    <w:rsid w:val="0006363A"/>
    <w:rsid w:val="00081E2B"/>
    <w:rsid w:val="00082048"/>
    <w:rsid w:val="00097832"/>
    <w:rsid w:val="000A0EB9"/>
    <w:rsid w:val="000A48FF"/>
    <w:rsid w:val="000A6E3D"/>
    <w:rsid w:val="000B03F9"/>
    <w:rsid w:val="000B0E4A"/>
    <w:rsid w:val="000D0527"/>
    <w:rsid w:val="000D727C"/>
    <w:rsid w:val="000F45F0"/>
    <w:rsid w:val="000F7439"/>
    <w:rsid w:val="0010220C"/>
    <w:rsid w:val="001275E9"/>
    <w:rsid w:val="001475F3"/>
    <w:rsid w:val="001625DD"/>
    <w:rsid w:val="00163273"/>
    <w:rsid w:val="00184969"/>
    <w:rsid w:val="00186996"/>
    <w:rsid w:val="001956F5"/>
    <w:rsid w:val="001C6F5D"/>
    <w:rsid w:val="001D6340"/>
    <w:rsid w:val="001D779F"/>
    <w:rsid w:val="001E4B53"/>
    <w:rsid w:val="002044D5"/>
    <w:rsid w:val="0020506F"/>
    <w:rsid w:val="002101D6"/>
    <w:rsid w:val="002168BF"/>
    <w:rsid w:val="002223F6"/>
    <w:rsid w:val="00230BE2"/>
    <w:rsid w:val="00242070"/>
    <w:rsid w:val="002423C1"/>
    <w:rsid w:val="00253EF7"/>
    <w:rsid w:val="002718B7"/>
    <w:rsid w:val="0027644C"/>
    <w:rsid w:val="00284443"/>
    <w:rsid w:val="00290DCD"/>
    <w:rsid w:val="002B074F"/>
    <w:rsid w:val="002B2B92"/>
    <w:rsid w:val="002C1AD4"/>
    <w:rsid w:val="002E33BB"/>
    <w:rsid w:val="002E6AB8"/>
    <w:rsid w:val="002F1ECB"/>
    <w:rsid w:val="002F5A9E"/>
    <w:rsid w:val="002F6DE2"/>
    <w:rsid w:val="00336BA2"/>
    <w:rsid w:val="00340D3B"/>
    <w:rsid w:val="003424EA"/>
    <w:rsid w:val="00344C0B"/>
    <w:rsid w:val="00344C3F"/>
    <w:rsid w:val="00350806"/>
    <w:rsid w:val="003563F8"/>
    <w:rsid w:val="00360E79"/>
    <w:rsid w:val="003667B4"/>
    <w:rsid w:val="003674EE"/>
    <w:rsid w:val="00374DD2"/>
    <w:rsid w:val="00380021"/>
    <w:rsid w:val="003802C1"/>
    <w:rsid w:val="00397AF6"/>
    <w:rsid w:val="003A3728"/>
    <w:rsid w:val="003A4291"/>
    <w:rsid w:val="003A52F5"/>
    <w:rsid w:val="003B14F5"/>
    <w:rsid w:val="003C1644"/>
    <w:rsid w:val="003C355E"/>
    <w:rsid w:val="003C628C"/>
    <w:rsid w:val="003E2F1B"/>
    <w:rsid w:val="003E3329"/>
    <w:rsid w:val="003E527A"/>
    <w:rsid w:val="003F721D"/>
    <w:rsid w:val="004001A3"/>
    <w:rsid w:val="00404BB7"/>
    <w:rsid w:val="00421FBD"/>
    <w:rsid w:val="00432694"/>
    <w:rsid w:val="004538AC"/>
    <w:rsid w:val="00460D78"/>
    <w:rsid w:val="00472F7B"/>
    <w:rsid w:val="00482C7D"/>
    <w:rsid w:val="00497E30"/>
    <w:rsid w:val="004A08E4"/>
    <w:rsid w:val="004C01B5"/>
    <w:rsid w:val="004C4E03"/>
    <w:rsid w:val="004C773F"/>
    <w:rsid w:val="004C7CEC"/>
    <w:rsid w:val="004D79BF"/>
    <w:rsid w:val="005047FD"/>
    <w:rsid w:val="00512C79"/>
    <w:rsid w:val="00513E7C"/>
    <w:rsid w:val="005345F8"/>
    <w:rsid w:val="00551ACF"/>
    <w:rsid w:val="00564EBB"/>
    <w:rsid w:val="0057019C"/>
    <w:rsid w:val="005815EF"/>
    <w:rsid w:val="0059325D"/>
    <w:rsid w:val="005943F3"/>
    <w:rsid w:val="00596152"/>
    <w:rsid w:val="005A299F"/>
    <w:rsid w:val="005B3D49"/>
    <w:rsid w:val="005C72D7"/>
    <w:rsid w:val="005D610F"/>
    <w:rsid w:val="005D659E"/>
    <w:rsid w:val="005E5285"/>
    <w:rsid w:val="006035CC"/>
    <w:rsid w:val="00606FDD"/>
    <w:rsid w:val="0062117A"/>
    <w:rsid w:val="00644E38"/>
    <w:rsid w:val="00650E25"/>
    <w:rsid w:val="00651527"/>
    <w:rsid w:val="00674841"/>
    <w:rsid w:val="0069471D"/>
    <w:rsid w:val="006A4249"/>
    <w:rsid w:val="006A7E06"/>
    <w:rsid w:val="006B2B2F"/>
    <w:rsid w:val="006C23AB"/>
    <w:rsid w:val="006C685D"/>
    <w:rsid w:val="006C7AD5"/>
    <w:rsid w:val="006D0EFB"/>
    <w:rsid w:val="006D557A"/>
    <w:rsid w:val="006E29F0"/>
    <w:rsid w:val="006E6620"/>
    <w:rsid w:val="0070442A"/>
    <w:rsid w:val="007161EC"/>
    <w:rsid w:val="007206F5"/>
    <w:rsid w:val="00742207"/>
    <w:rsid w:val="00754AC9"/>
    <w:rsid w:val="0076028A"/>
    <w:rsid w:val="00767D0B"/>
    <w:rsid w:val="00770988"/>
    <w:rsid w:val="007719B2"/>
    <w:rsid w:val="00772BCF"/>
    <w:rsid w:val="00774346"/>
    <w:rsid w:val="007926B0"/>
    <w:rsid w:val="007952BD"/>
    <w:rsid w:val="007975C1"/>
    <w:rsid w:val="007A2DB1"/>
    <w:rsid w:val="007C0A21"/>
    <w:rsid w:val="007C50CA"/>
    <w:rsid w:val="007C5FC3"/>
    <w:rsid w:val="007D048A"/>
    <w:rsid w:val="007D115D"/>
    <w:rsid w:val="007E0090"/>
    <w:rsid w:val="007E6487"/>
    <w:rsid w:val="007F3732"/>
    <w:rsid w:val="007F5ADA"/>
    <w:rsid w:val="007F73A7"/>
    <w:rsid w:val="00833B57"/>
    <w:rsid w:val="00833E8F"/>
    <w:rsid w:val="00841E13"/>
    <w:rsid w:val="008478AB"/>
    <w:rsid w:val="008635AF"/>
    <w:rsid w:val="008643E9"/>
    <w:rsid w:val="00865329"/>
    <w:rsid w:val="00881461"/>
    <w:rsid w:val="008933FA"/>
    <w:rsid w:val="00894199"/>
    <w:rsid w:val="0089771C"/>
    <w:rsid w:val="008D3AFA"/>
    <w:rsid w:val="008E0662"/>
    <w:rsid w:val="008F70E1"/>
    <w:rsid w:val="00906608"/>
    <w:rsid w:val="009076C0"/>
    <w:rsid w:val="009321D5"/>
    <w:rsid w:val="009339E5"/>
    <w:rsid w:val="00936998"/>
    <w:rsid w:val="00941DDA"/>
    <w:rsid w:val="009545D2"/>
    <w:rsid w:val="0096006B"/>
    <w:rsid w:val="00961151"/>
    <w:rsid w:val="009629A6"/>
    <w:rsid w:val="00962F5C"/>
    <w:rsid w:val="00967ABE"/>
    <w:rsid w:val="00972479"/>
    <w:rsid w:val="0097346F"/>
    <w:rsid w:val="009A3DF0"/>
    <w:rsid w:val="009A6834"/>
    <w:rsid w:val="009B09E5"/>
    <w:rsid w:val="009E4BB5"/>
    <w:rsid w:val="009F4D57"/>
    <w:rsid w:val="00A12832"/>
    <w:rsid w:val="00A30BA2"/>
    <w:rsid w:val="00A360C0"/>
    <w:rsid w:val="00A408AD"/>
    <w:rsid w:val="00A53B2F"/>
    <w:rsid w:val="00A5619A"/>
    <w:rsid w:val="00A568B8"/>
    <w:rsid w:val="00A57711"/>
    <w:rsid w:val="00A64D28"/>
    <w:rsid w:val="00A7714F"/>
    <w:rsid w:val="00A875D3"/>
    <w:rsid w:val="00AA10A5"/>
    <w:rsid w:val="00AA59AF"/>
    <w:rsid w:val="00AA64EA"/>
    <w:rsid w:val="00AA6F15"/>
    <w:rsid w:val="00AA74E4"/>
    <w:rsid w:val="00AB19C3"/>
    <w:rsid w:val="00AC4E84"/>
    <w:rsid w:val="00AE6B33"/>
    <w:rsid w:val="00AF291A"/>
    <w:rsid w:val="00AF358A"/>
    <w:rsid w:val="00B47C04"/>
    <w:rsid w:val="00B51F0B"/>
    <w:rsid w:val="00B63E5A"/>
    <w:rsid w:val="00B65439"/>
    <w:rsid w:val="00B75D54"/>
    <w:rsid w:val="00B8290E"/>
    <w:rsid w:val="00B902C8"/>
    <w:rsid w:val="00B91C8A"/>
    <w:rsid w:val="00B92AB7"/>
    <w:rsid w:val="00B92B73"/>
    <w:rsid w:val="00B944AD"/>
    <w:rsid w:val="00BA209E"/>
    <w:rsid w:val="00BB26F3"/>
    <w:rsid w:val="00BB2DEA"/>
    <w:rsid w:val="00BB69F9"/>
    <w:rsid w:val="00BC6447"/>
    <w:rsid w:val="00BD7EF8"/>
    <w:rsid w:val="00BE05B5"/>
    <w:rsid w:val="00BE76E7"/>
    <w:rsid w:val="00BE7958"/>
    <w:rsid w:val="00BF22B4"/>
    <w:rsid w:val="00C03D62"/>
    <w:rsid w:val="00C1167B"/>
    <w:rsid w:val="00C22D37"/>
    <w:rsid w:val="00C23DBA"/>
    <w:rsid w:val="00C266A5"/>
    <w:rsid w:val="00C26DF7"/>
    <w:rsid w:val="00C30DDD"/>
    <w:rsid w:val="00C430F6"/>
    <w:rsid w:val="00C44A09"/>
    <w:rsid w:val="00C46644"/>
    <w:rsid w:val="00C52243"/>
    <w:rsid w:val="00C77CB0"/>
    <w:rsid w:val="00C80691"/>
    <w:rsid w:val="00CB264C"/>
    <w:rsid w:val="00CB2F9F"/>
    <w:rsid w:val="00CB501E"/>
    <w:rsid w:val="00CC66DA"/>
    <w:rsid w:val="00CD6046"/>
    <w:rsid w:val="00CE06CD"/>
    <w:rsid w:val="00CE072D"/>
    <w:rsid w:val="00CE6FE0"/>
    <w:rsid w:val="00CE7B2E"/>
    <w:rsid w:val="00CF4592"/>
    <w:rsid w:val="00CF61CF"/>
    <w:rsid w:val="00CF7B01"/>
    <w:rsid w:val="00D12174"/>
    <w:rsid w:val="00D2003C"/>
    <w:rsid w:val="00D24B68"/>
    <w:rsid w:val="00D41EE0"/>
    <w:rsid w:val="00D6360E"/>
    <w:rsid w:val="00D65B61"/>
    <w:rsid w:val="00D7247D"/>
    <w:rsid w:val="00D82ECE"/>
    <w:rsid w:val="00D95FE9"/>
    <w:rsid w:val="00DA21D8"/>
    <w:rsid w:val="00DA37C3"/>
    <w:rsid w:val="00DB4CC2"/>
    <w:rsid w:val="00DC0246"/>
    <w:rsid w:val="00DC2709"/>
    <w:rsid w:val="00DC67DB"/>
    <w:rsid w:val="00DD62F5"/>
    <w:rsid w:val="00E013C6"/>
    <w:rsid w:val="00E04896"/>
    <w:rsid w:val="00E12B47"/>
    <w:rsid w:val="00E17A9E"/>
    <w:rsid w:val="00E260BE"/>
    <w:rsid w:val="00E47379"/>
    <w:rsid w:val="00E5590D"/>
    <w:rsid w:val="00E6258C"/>
    <w:rsid w:val="00E62B41"/>
    <w:rsid w:val="00E663B2"/>
    <w:rsid w:val="00E8037D"/>
    <w:rsid w:val="00E846CF"/>
    <w:rsid w:val="00E8705A"/>
    <w:rsid w:val="00EA4772"/>
    <w:rsid w:val="00EC0B84"/>
    <w:rsid w:val="00ED3EA0"/>
    <w:rsid w:val="00EE5CA6"/>
    <w:rsid w:val="00EF2B7C"/>
    <w:rsid w:val="00EF2C6F"/>
    <w:rsid w:val="00EF7437"/>
    <w:rsid w:val="00F03648"/>
    <w:rsid w:val="00F06BE0"/>
    <w:rsid w:val="00F21D00"/>
    <w:rsid w:val="00F23A44"/>
    <w:rsid w:val="00F2539B"/>
    <w:rsid w:val="00F25CB0"/>
    <w:rsid w:val="00F31ABB"/>
    <w:rsid w:val="00F409B9"/>
    <w:rsid w:val="00F55547"/>
    <w:rsid w:val="00F63934"/>
    <w:rsid w:val="00F648EF"/>
    <w:rsid w:val="00F74FFE"/>
    <w:rsid w:val="00F843FB"/>
    <w:rsid w:val="00F93FC9"/>
    <w:rsid w:val="00FA2ECA"/>
    <w:rsid w:val="00FB3118"/>
    <w:rsid w:val="00FB33FA"/>
    <w:rsid w:val="00FC1D06"/>
    <w:rsid w:val="00FF50D1"/>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177937247">
      <w:bodyDiv w:val="1"/>
      <w:marLeft w:val="0"/>
      <w:marRight w:val="0"/>
      <w:marTop w:val="0"/>
      <w:marBottom w:val="0"/>
      <w:divBdr>
        <w:top w:val="none" w:sz="0" w:space="0" w:color="auto"/>
        <w:left w:val="none" w:sz="0" w:space="0" w:color="auto"/>
        <w:bottom w:val="none" w:sz="0" w:space="0" w:color="auto"/>
        <w:right w:val="none" w:sz="0" w:space="0" w:color="auto"/>
      </w:divBdr>
    </w:div>
    <w:div w:id="203107293">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3235568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545727266">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655688548">
      <w:bodyDiv w:val="1"/>
      <w:marLeft w:val="0"/>
      <w:marRight w:val="0"/>
      <w:marTop w:val="0"/>
      <w:marBottom w:val="0"/>
      <w:divBdr>
        <w:top w:val="none" w:sz="0" w:space="0" w:color="auto"/>
        <w:left w:val="none" w:sz="0" w:space="0" w:color="auto"/>
        <w:bottom w:val="none" w:sz="0" w:space="0" w:color="auto"/>
        <w:right w:val="none" w:sz="0" w:space="0" w:color="auto"/>
      </w:divBdr>
    </w:div>
    <w:div w:id="662011169">
      <w:bodyDiv w:val="1"/>
      <w:marLeft w:val="0"/>
      <w:marRight w:val="0"/>
      <w:marTop w:val="0"/>
      <w:marBottom w:val="0"/>
      <w:divBdr>
        <w:top w:val="none" w:sz="0" w:space="0" w:color="auto"/>
        <w:left w:val="none" w:sz="0" w:space="0" w:color="auto"/>
        <w:bottom w:val="none" w:sz="0" w:space="0" w:color="auto"/>
        <w:right w:val="none" w:sz="0" w:space="0" w:color="auto"/>
      </w:divBdr>
    </w:div>
    <w:div w:id="685403189">
      <w:bodyDiv w:val="1"/>
      <w:marLeft w:val="0"/>
      <w:marRight w:val="0"/>
      <w:marTop w:val="0"/>
      <w:marBottom w:val="0"/>
      <w:divBdr>
        <w:top w:val="none" w:sz="0" w:space="0" w:color="auto"/>
        <w:left w:val="none" w:sz="0" w:space="0" w:color="auto"/>
        <w:bottom w:val="none" w:sz="0" w:space="0" w:color="auto"/>
        <w:right w:val="none" w:sz="0" w:space="0" w:color="auto"/>
      </w:divBdr>
    </w:div>
    <w:div w:id="736514776">
      <w:bodyDiv w:val="1"/>
      <w:marLeft w:val="0"/>
      <w:marRight w:val="0"/>
      <w:marTop w:val="0"/>
      <w:marBottom w:val="0"/>
      <w:divBdr>
        <w:top w:val="none" w:sz="0" w:space="0" w:color="auto"/>
        <w:left w:val="none" w:sz="0" w:space="0" w:color="auto"/>
        <w:bottom w:val="none" w:sz="0" w:space="0" w:color="auto"/>
        <w:right w:val="none" w:sz="0" w:space="0" w:color="auto"/>
      </w:divBdr>
    </w:div>
    <w:div w:id="771587122">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891891088">
      <w:bodyDiv w:val="1"/>
      <w:marLeft w:val="0"/>
      <w:marRight w:val="0"/>
      <w:marTop w:val="0"/>
      <w:marBottom w:val="0"/>
      <w:divBdr>
        <w:top w:val="none" w:sz="0" w:space="0" w:color="auto"/>
        <w:left w:val="none" w:sz="0" w:space="0" w:color="auto"/>
        <w:bottom w:val="none" w:sz="0" w:space="0" w:color="auto"/>
        <w:right w:val="none" w:sz="0" w:space="0" w:color="auto"/>
      </w:divBdr>
    </w:div>
    <w:div w:id="91266424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1632128">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86733900">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228417575">
      <w:bodyDiv w:val="1"/>
      <w:marLeft w:val="0"/>
      <w:marRight w:val="0"/>
      <w:marTop w:val="0"/>
      <w:marBottom w:val="0"/>
      <w:divBdr>
        <w:top w:val="none" w:sz="0" w:space="0" w:color="auto"/>
        <w:left w:val="none" w:sz="0" w:space="0" w:color="auto"/>
        <w:bottom w:val="none" w:sz="0" w:space="0" w:color="auto"/>
        <w:right w:val="none" w:sz="0" w:space="0" w:color="auto"/>
      </w:divBdr>
    </w:div>
    <w:div w:id="1245724565">
      <w:bodyDiv w:val="1"/>
      <w:marLeft w:val="0"/>
      <w:marRight w:val="0"/>
      <w:marTop w:val="0"/>
      <w:marBottom w:val="0"/>
      <w:divBdr>
        <w:top w:val="none" w:sz="0" w:space="0" w:color="auto"/>
        <w:left w:val="none" w:sz="0" w:space="0" w:color="auto"/>
        <w:bottom w:val="none" w:sz="0" w:space="0" w:color="auto"/>
        <w:right w:val="none" w:sz="0" w:space="0" w:color="auto"/>
      </w:divBdr>
    </w:div>
    <w:div w:id="1266690507">
      <w:bodyDiv w:val="1"/>
      <w:marLeft w:val="0"/>
      <w:marRight w:val="0"/>
      <w:marTop w:val="0"/>
      <w:marBottom w:val="0"/>
      <w:divBdr>
        <w:top w:val="none" w:sz="0" w:space="0" w:color="auto"/>
        <w:left w:val="none" w:sz="0" w:space="0" w:color="auto"/>
        <w:bottom w:val="none" w:sz="0" w:space="0" w:color="auto"/>
        <w:right w:val="none" w:sz="0" w:space="0" w:color="auto"/>
      </w:divBdr>
    </w:div>
    <w:div w:id="1306618033">
      <w:bodyDiv w:val="1"/>
      <w:marLeft w:val="0"/>
      <w:marRight w:val="0"/>
      <w:marTop w:val="0"/>
      <w:marBottom w:val="0"/>
      <w:divBdr>
        <w:top w:val="none" w:sz="0" w:space="0" w:color="auto"/>
        <w:left w:val="none" w:sz="0" w:space="0" w:color="auto"/>
        <w:bottom w:val="none" w:sz="0" w:space="0" w:color="auto"/>
        <w:right w:val="none" w:sz="0" w:space="0" w:color="auto"/>
      </w:divBdr>
    </w:div>
    <w:div w:id="1330519689">
      <w:bodyDiv w:val="1"/>
      <w:marLeft w:val="0"/>
      <w:marRight w:val="0"/>
      <w:marTop w:val="0"/>
      <w:marBottom w:val="0"/>
      <w:divBdr>
        <w:top w:val="none" w:sz="0" w:space="0" w:color="auto"/>
        <w:left w:val="none" w:sz="0" w:space="0" w:color="auto"/>
        <w:bottom w:val="none" w:sz="0" w:space="0" w:color="auto"/>
        <w:right w:val="none" w:sz="0" w:space="0" w:color="auto"/>
      </w:divBdr>
    </w:div>
    <w:div w:id="1347052326">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504319975">
      <w:bodyDiv w:val="1"/>
      <w:marLeft w:val="0"/>
      <w:marRight w:val="0"/>
      <w:marTop w:val="0"/>
      <w:marBottom w:val="0"/>
      <w:divBdr>
        <w:top w:val="none" w:sz="0" w:space="0" w:color="auto"/>
        <w:left w:val="none" w:sz="0" w:space="0" w:color="auto"/>
        <w:bottom w:val="none" w:sz="0" w:space="0" w:color="auto"/>
        <w:right w:val="none" w:sz="0" w:space="0" w:color="auto"/>
      </w:divBdr>
    </w:div>
    <w:div w:id="1550260351">
      <w:bodyDiv w:val="1"/>
      <w:marLeft w:val="0"/>
      <w:marRight w:val="0"/>
      <w:marTop w:val="0"/>
      <w:marBottom w:val="0"/>
      <w:divBdr>
        <w:top w:val="none" w:sz="0" w:space="0" w:color="auto"/>
        <w:left w:val="none" w:sz="0" w:space="0" w:color="auto"/>
        <w:bottom w:val="none" w:sz="0" w:space="0" w:color="auto"/>
        <w:right w:val="none" w:sz="0" w:space="0" w:color="auto"/>
      </w:divBdr>
    </w:div>
    <w:div w:id="1557277321">
      <w:bodyDiv w:val="1"/>
      <w:marLeft w:val="0"/>
      <w:marRight w:val="0"/>
      <w:marTop w:val="0"/>
      <w:marBottom w:val="0"/>
      <w:divBdr>
        <w:top w:val="none" w:sz="0" w:space="0" w:color="auto"/>
        <w:left w:val="none" w:sz="0" w:space="0" w:color="auto"/>
        <w:bottom w:val="none" w:sz="0" w:space="0" w:color="auto"/>
        <w:right w:val="none" w:sz="0" w:space="0" w:color="auto"/>
      </w:divBdr>
    </w:div>
    <w:div w:id="1602224657">
      <w:bodyDiv w:val="1"/>
      <w:marLeft w:val="0"/>
      <w:marRight w:val="0"/>
      <w:marTop w:val="0"/>
      <w:marBottom w:val="0"/>
      <w:divBdr>
        <w:top w:val="none" w:sz="0" w:space="0" w:color="auto"/>
        <w:left w:val="none" w:sz="0" w:space="0" w:color="auto"/>
        <w:bottom w:val="none" w:sz="0" w:space="0" w:color="auto"/>
        <w:right w:val="none" w:sz="0" w:space="0" w:color="auto"/>
      </w:divBdr>
    </w:div>
    <w:div w:id="1705474260">
      <w:bodyDiv w:val="1"/>
      <w:marLeft w:val="0"/>
      <w:marRight w:val="0"/>
      <w:marTop w:val="0"/>
      <w:marBottom w:val="0"/>
      <w:divBdr>
        <w:top w:val="none" w:sz="0" w:space="0" w:color="auto"/>
        <w:left w:val="none" w:sz="0" w:space="0" w:color="auto"/>
        <w:bottom w:val="none" w:sz="0" w:space="0" w:color="auto"/>
        <w:right w:val="none" w:sz="0" w:space="0" w:color="auto"/>
      </w:divBdr>
    </w:div>
    <w:div w:id="1729376275">
      <w:bodyDiv w:val="1"/>
      <w:marLeft w:val="0"/>
      <w:marRight w:val="0"/>
      <w:marTop w:val="0"/>
      <w:marBottom w:val="0"/>
      <w:divBdr>
        <w:top w:val="none" w:sz="0" w:space="0" w:color="auto"/>
        <w:left w:val="none" w:sz="0" w:space="0" w:color="auto"/>
        <w:bottom w:val="none" w:sz="0" w:space="0" w:color="auto"/>
        <w:right w:val="none" w:sz="0" w:space="0" w:color="auto"/>
      </w:divBdr>
    </w:div>
    <w:div w:id="1760758625">
      <w:bodyDiv w:val="1"/>
      <w:marLeft w:val="0"/>
      <w:marRight w:val="0"/>
      <w:marTop w:val="0"/>
      <w:marBottom w:val="0"/>
      <w:divBdr>
        <w:top w:val="none" w:sz="0" w:space="0" w:color="auto"/>
        <w:left w:val="none" w:sz="0" w:space="0" w:color="auto"/>
        <w:bottom w:val="none" w:sz="0" w:space="0" w:color="auto"/>
        <w:right w:val="none" w:sz="0" w:space="0" w:color="auto"/>
      </w:divBdr>
    </w:div>
    <w:div w:id="1816948032">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1925528492">
      <w:bodyDiv w:val="1"/>
      <w:marLeft w:val="0"/>
      <w:marRight w:val="0"/>
      <w:marTop w:val="0"/>
      <w:marBottom w:val="0"/>
      <w:divBdr>
        <w:top w:val="none" w:sz="0" w:space="0" w:color="auto"/>
        <w:left w:val="none" w:sz="0" w:space="0" w:color="auto"/>
        <w:bottom w:val="none" w:sz="0" w:space="0" w:color="auto"/>
        <w:right w:val="none" w:sz="0" w:space="0" w:color="auto"/>
      </w:divBdr>
    </w:div>
    <w:div w:id="1941643562">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 w:id="2033874513">
      <w:bodyDiv w:val="1"/>
      <w:marLeft w:val="0"/>
      <w:marRight w:val="0"/>
      <w:marTop w:val="0"/>
      <w:marBottom w:val="0"/>
      <w:divBdr>
        <w:top w:val="none" w:sz="0" w:space="0" w:color="auto"/>
        <w:left w:val="none" w:sz="0" w:space="0" w:color="auto"/>
        <w:bottom w:val="none" w:sz="0" w:space="0" w:color="auto"/>
        <w:right w:val="none" w:sz="0" w:space="0" w:color="auto"/>
      </w:divBdr>
    </w:div>
    <w:div w:id="212090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naesb.org/pdf4/geh032116w1.xlsx"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B4465-E107-409F-B070-6D6C170E4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8387</Words>
  <Characters>47810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56085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Denise Rager</cp:lastModifiedBy>
  <cp:revision>4</cp:revision>
  <cp:lastPrinted>2016-03-18T20:32:00Z</cp:lastPrinted>
  <dcterms:created xsi:type="dcterms:W3CDTF">2016-03-21T21:59:00Z</dcterms:created>
  <dcterms:modified xsi:type="dcterms:W3CDTF">2016-03-21T23:44:00Z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