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rsidP="00A568B8">
      <w:pPr>
        <w:spacing w:before="120"/>
        <w:ind w:left="900" w:hanging="900"/>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6A0B08">
        <w:rPr>
          <w:bCs/>
        </w:rPr>
        <w:t>Sylvia Munson, Independent Consultant</w:t>
      </w:r>
      <w:r w:rsidR="001053BF">
        <w:rPr>
          <w:bCs/>
        </w:rPr>
        <w:t>,</w:t>
      </w:r>
      <w:r w:rsidR="006A0B08">
        <w:rPr>
          <w:bCs/>
        </w:rPr>
        <w:t xml:space="preserve"> representing FIS</w:t>
      </w:r>
    </w:p>
    <w:p w:rsidR="00A568B8" w:rsidRPr="003A04CC" w:rsidRDefault="00A568B8" w:rsidP="00A568B8">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53EF7">
        <w:rPr>
          <w:bCs/>
        </w:rPr>
        <w:t xml:space="preserve">Work </w:t>
      </w:r>
      <w:r w:rsidR="00DC0246">
        <w:rPr>
          <w:bCs/>
        </w:rPr>
        <w:t xml:space="preserve">Paper </w:t>
      </w:r>
      <w:r w:rsidR="001053BF">
        <w:rPr>
          <w:bCs/>
        </w:rPr>
        <w:t xml:space="preserve">submittal </w:t>
      </w:r>
      <w:r w:rsidR="00DC0246">
        <w:rPr>
          <w:bCs/>
        </w:rPr>
        <w:t>for the GEH Forum Meeting</w:t>
      </w:r>
      <w:r w:rsidR="009B09E5">
        <w:rPr>
          <w:bCs/>
        </w:rPr>
        <w:t xml:space="preserve"> – </w:t>
      </w:r>
      <w:r w:rsidR="00DD62F5">
        <w:rPr>
          <w:bCs/>
        </w:rPr>
        <w:t xml:space="preserve">March </w:t>
      </w:r>
      <w:r w:rsidR="00EC0B84">
        <w:rPr>
          <w:bCs/>
        </w:rPr>
        <w:t>21-22</w:t>
      </w:r>
      <w:r w:rsidR="009B09E5">
        <w:rPr>
          <w:bCs/>
        </w:rPr>
        <w:t>, 2016</w:t>
      </w:r>
    </w:p>
    <w:bookmarkEnd w:id="0"/>
    <w:bookmarkEnd w:id="1"/>
    <w:bookmarkEnd w:id="2"/>
    <w:bookmarkEnd w:id="3"/>
    <w:bookmarkEnd w:id="4"/>
    <w:bookmarkEnd w:id="5"/>
    <w:p w:rsidR="007C50CA" w:rsidRDefault="00C1167B" w:rsidP="00DB4CC2">
      <w:pPr>
        <w:spacing w:before="120"/>
      </w:pPr>
      <w:r>
        <w:t xml:space="preserve">  </w:t>
      </w:r>
    </w:p>
    <w:p w:rsidR="001053BF" w:rsidRDefault="007577F8" w:rsidP="00DB4CC2">
      <w:pPr>
        <w:spacing w:before="120"/>
      </w:pPr>
      <w:r>
        <w:t>First of a</w:t>
      </w:r>
      <w:r w:rsidR="001053BF">
        <w:t>ll</w:t>
      </w:r>
      <w:r>
        <w:t xml:space="preserve"> thank you</w:t>
      </w:r>
      <w:r w:rsidR="001053BF">
        <w:t>,</w:t>
      </w:r>
      <w:r>
        <w:t xml:space="preserve"> NAESB team</w:t>
      </w:r>
      <w:r w:rsidR="001053BF">
        <w:t>,</w:t>
      </w:r>
      <w:r>
        <w:t xml:space="preserve"> for working to document the tremendous amount of information exchanged and to categorize that information into functional groups. In the associated EXCEL spreadsheet you can see that I have further categorized the items into a </w:t>
      </w:r>
      <w:r w:rsidR="001053BF">
        <w:t xml:space="preserve">proposed go-forward </w:t>
      </w:r>
      <w:r>
        <w:t xml:space="preserve">classification.  </w:t>
      </w:r>
      <w:r w:rsidR="001053BF">
        <w:t xml:space="preserve">The classifications can be used to group the issues into methods of approach toward a solution. </w:t>
      </w:r>
      <w:r w:rsidR="002A26F1">
        <w:t>For the deliverable to the Board, I believe we need to include</w:t>
      </w:r>
      <w:r w:rsidR="001053BF">
        <w:t xml:space="preserve"> the classification,</w:t>
      </w:r>
      <w:r w:rsidR="002A26F1">
        <w:t xml:space="preserve"> description of the issues, as developed by the GEH</w:t>
      </w:r>
      <w:r w:rsidR="001053BF">
        <w:t>,</w:t>
      </w:r>
      <w:r w:rsidR="002A26F1">
        <w:t xml:space="preserve"> as well as a recommended board instruction. </w:t>
      </w:r>
    </w:p>
    <w:p w:rsidR="001053BF" w:rsidRDefault="001053BF" w:rsidP="00DB4CC2">
      <w:pPr>
        <w:spacing w:before="120"/>
      </w:pPr>
      <w:r>
        <w:t>My intent is for this work paper to give us a straw-man to use as a deliverable to the Board meeting.</w:t>
      </w:r>
    </w:p>
    <w:p w:rsidR="007577F8" w:rsidRDefault="007577F8" w:rsidP="00DB4CC2">
      <w:pPr>
        <w:spacing w:before="120"/>
      </w:pPr>
      <w:r>
        <w:t>The classifications I have used are:</w:t>
      </w:r>
    </w:p>
    <w:p w:rsidR="007577F8" w:rsidRDefault="008F0B79" w:rsidP="007577F8">
      <w:pPr>
        <w:pStyle w:val="ListParagraph"/>
        <w:numPr>
          <w:ilvl w:val="0"/>
          <w:numId w:val="28"/>
        </w:numPr>
        <w:spacing w:before="120"/>
      </w:pPr>
      <w:r>
        <w:t xml:space="preserve">Table 1 - </w:t>
      </w:r>
      <w:r w:rsidR="007577F8">
        <w:t>Actionable by NAESB in Current Environment</w:t>
      </w:r>
    </w:p>
    <w:p w:rsidR="007577F8" w:rsidRDefault="007577F8" w:rsidP="007577F8">
      <w:pPr>
        <w:pStyle w:val="ListParagraph"/>
        <w:numPr>
          <w:ilvl w:val="1"/>
          <w:numId w:val="28"/>
        </w:numPr>
        <w:spacing w:before="120"/>
      </w:pPr>
      <w:r>
        <w:t xml:space="preserve">These items are items that NAESB can address through the regular process without any further guidance from the FERC.  These items should be transferred to the </w:t>
      </w:r>
      <w:r w:rsidR="008D240E">
        <w:t xml:space="preserve">board for them to determine the direction and timeline. </w:t>
      </w:r>
    </w:p>
    <w:p w:rsidR="007577F8" w:rsidRDefault="008F0B79" w:rsidP="007577F8">
      <w:pPr>
        <w:pStyle w:val="ListParagraph"/>
        <w:numPr>
          <w:ilvl w:val="0"/>
          <w:numId w:val="28"/>
        </w:numPr>
        <w:spacing w:before="120"/>
      </w:pPr>
      <w:r>
        <w:t xml:space="preserve">Table 2 - </w:t>
      </w:r>
      <w:r w:rsidR="007577F8">
        <w:t>Analysis can be conducted after 4/1/2016 data is available</w:t>
      </w:r>
    </w:p>
    <w:p w:rsidR="007577F8" w:rsidRDefault="007577F8" w:rsidP="007577F8">
      <w:pPr>
        <w:pStyle w:val="ListParagraph"/>
        <w:numPr>
          <w:ilvl w:val="1"/>
          <w:numId w:val="28"/>
        </w:numPr>
        <w:spacing w:before="120"/>
      </w:pPr>
      <w:r>
        <w:t xml:space="preserve">These items are items where the impact of the new NAESB nomination timeline and cycles will impact the outcome of the item and/or negate the item. These items should be transferred to </w:t>
      </w:r>
      <w:r w:rsidR="008D240E">
        <w:t>the board</w:t>
      </w:r>
      <w:r>
        <w:t xml:space="preserve"> with a recommendation</w:t>
      </w:r>
      <w:r w:rsidR="008D240E">
        <w:t xml:space="preserve"> for them to be addressed after</w:t>
      </w:r>
      <w:r>
        <w:t xml:space="preserve"> Q1 2017.</w:t>
      </w:r>
    </w:p>
    <w:p w:rsidR="007577F8" w:rsidRDefault="008F0B79" w:rsidP="006A0B08">
      <w:pPr>
        <w:pStyle w:val="ListParagraph"/>
        <w:numPr>
          <w:ilvl w:val="0"/>
          <w:numId w:val="28"/>
        </w:numPr>
        <w:spacing w:before="120"/>
      </w:pPr>
      <w:r>
        <w:t xml:space="preserve">Table 3 - </w:t>
      </w:r>
      <w:r w:rsidR="007577F8">
        <w:t>NAESB analysis needed</w:t>
      </w:r>
    </w:p>
    <w:p w:rsidR="007577F8" w:rsidRDefault="007577F8" w:rsidP="007577F8">
      <w:pPr>
        <w:pStyle w:val="ListParagraph"/>
        <w:numPr>
          <w:ilvl w:val="1"/>
          <w:numId w:val="28"/>
        </w:numPr>
        <w:spacing w:before="120"/>
      </w:pPr>
      <w:r>
        <w:t xml:space="preserve">These are items that are not as defined as the actionable items but are worth exploring and considering. </w:t>
      </w:r>
      <w:r w:rsidR="008D240E">
        <w:t xml:space="preserve">These items should be transferred to the board with a recommendation that they are addressed </w:t>
      </w:r>
      <w:r w:rsidR="00CE5B5C">
        <w:t>after the a</w:t>
      </w:r>
      <w:r w:rsidR="008D240E">
        <w:t>ctionable items are complete</w:t>
      </w:r>
      <w:r>
        <w:t xml:space="preserve">.  If someone wants to escalate one or more of these items to </w:t>
      </w:r>
      <w:r w:rsidR="008D240E">
        <w:t>NAESB</w:t>
      </w:r>
      <w:r>
        <w:t xml:space="preserve"> with a </w:t>
      </w:r>
      <w:r w:rsidR="008D240E">
        <w:t xml:space="preserve">request for a </w:t>
      </w:r>
      <w:r>
        <w:t>quicker timeline then a specific request should be submitted that has more actionable content included.</w:t>
      </w:r>
    </w:p>
    <w:p w:rsidR="007577F8" w:rsidRDefault="008F0B79" w:rsidP="006A0B08">
      <w:pPr>
        <w:pStyle w:val="ListParagraph"/>
        <w:numPr>
          <w:ilvl w:val="0"/>
          <w:numId w:val="28"/>
        </w:numPr>
        <w:spacing w:before="120"/>
      </w:pPr>
      <w:r>
        <w:t xml:space="preserve">Table 4 - </w:t>
      </w:r>
      <w:r w:rsidR="007577F8">
        <w:t>FERC/Pipes</w:t>
      </w:r>
    </w:p>
    <w:p w:rsidR="006A0B08" w:rsidRDefault="007577F8" w:rsidP="00DB4CC2">
      <w:pPr>
        <w:pStyle w:val="ListParagraph"/>
        <w:numPr>
          <w:ilvl w:val="1"/>
          <w:numId w:val="28"/>
        </w:numPr>
        <w:spacing w:before="120"/>
      </w:pPr>
      <w:r>
        <w:t xml:space="preserve">These are items where the classification indicates that either a FERC policy decision needs to be made or pipeline services need to be developed. </w:t>
      </w:r>
      <w:r w:rsidR="008D240E">
        <w:t>These items should be sent to the board with a recommendation that</w:t>
      </w:r>
      <w:r>
        <w:t xml:space="preserve"> no further action, after reporting of this information to FERC, that should be taken by NAESB until a service or policy is developed. Then</w:t>
      </w:r>
      <w:r w:rsidR="008F0B79">
        <w:t>, if appropriate,</w:t>
      </w:r>
      <w:r>
        <w:t xml:space="preserve"> NAESB can develop standards and datasets to support </w:t>
      </w:r>
      <w:r w:rsidR="006A0B08">
        <w:t>an associated process.</w:t>
      </w:r>
    </w:p>
    <w:p w:rsidR="006A0B08" w:rsidRDefault="008F0B79" w:rsidP="008D240E">
      <w:r>
        <w:br w:type="page"/>
      </w:r>
    </w:p>
    <w:tbl>
      <w:tblPr>
        <w:tblStyle w:val="TableGrid"/>
        <w:tblW w:w="0" w:type="auto"/>
        <w:tblLayout w:type="fixed"/>
        <w:tblLook w:val="04A0" w:firstRow="1" w:lastRow="0" w:firstColumn="1" w:lastColumn="0" w:noHBand="0" w:noVBand="1"/>
      </w:tblPr>
      <w:tblGrid>
        <w:gridCol w:w="468"/>
        <w:gridCol w:w="630"/>
        <w:gridCol w:w="450"/>
        <w:gridCol w:w="5940"/>
        <w:gridCol w:w="5670"/>
      </w:tblGrid>
      <w:tr w:rsidR="006A0B08" w:rsidTr="00811BB6">
        <w:trPr>
          <w:cantSplit/>
          <w:tblHeader/>
        </w:trPr>
        <w:tc>
          <w:tcPr>
            <w:tcW w:w="13158" w:type="dxa"/>
            <w:gridSpan w:val="5"/>
          </w:tcPr>
          <w:p w:rsidR="006A0B08" w:rsidRPr="001053BF" w:rsidRDefault="006A0B08" w:rsidP="00D31631">
            <w:pPr>
              <w:spacing w:before="120" w:after="120"/>
              <w:jc w:val="center"/>
              <w:rPr>
                <w:b/>
              </w:rPr>
            </w:pPr>
            <w:r w:rsidRPr="001053BF">
              <w:rPr>
                <w:b/>
              </w:rPr>
              <w:lastRenderedPageBreak/>
              <w:t xml:space="preserve">Table </w:t>
            </w:r>
            <w:r w:rsidR="00D31631" w:rsidRPr="001053BF">
              <w:rPr>
                <w:b/>
              </w:rPr>
              <w:t>1</w:t>
            </w:r>
            <w:r w:rsidRPr="001053BF">
              <w:rPr>
                <w:b/>
              </w:rPr>
              <w:t xml:space="preserve"> – </w:t>
            </w:r>
            <w:r w:rsidR="00AF7C76" w:rsidRPr="001053BF">
              <w:rPr>
                <w:b/>
              </w:rPr>
              <w:t>Actionable by NAESB in current environment</w:t>
            </w:r>
          </w:p>
        </w:tc>
      </w:tr>
      <w:tr w:rsidR="006A0B08" w:rsidTr="00811BB6">
        <w:trPr>
          <w:cantSplit/>
          <w:tblHeader/>
        </w:trPr>
        <w:tc>
          <w:tcPr>
            <w:tcW w:w="1098" w:type="dxa"/>
            <w:gridSpan w:val="2"/>
          </w:tcPr>
          <w:p w:rsidR="006A0B08" w:rsidRDefault="006A0B08" w:rsidP="006A0B08">
            <w:pPr>
              <w:spacing w:before="120" w:after="120"/>
            </w:pPr>
            <w:r>
              <w:t>Category</w:t>
            </w:r>
          </w:p>
        </w:tc>
        <w:tc>
          <w:tcPr>
            <w:tcW w:w="6390" w:type="dxa"/>
            <w:gridSpan w:val="2"/>
          </w:tcPr>
          <w:p w:rsidR="006A0B08" w:rsidRDefault="006A0B08" w:rsidP="006A0B08">
            <w:pPr>
              <w:spacing w:before="120" w:after="120"/>
            </w:pPr>
            <w:r>
              <w:t>Issue</w:t>
            </w:r>
          </w:p>
        </w:tc>
        <w:tc>
          <w:tcPr>
            <w:tcW w:w="5670" w:type="dxa"/>
          </w:tcPr>
          <w:p w:rsidR="006A0B08" w:rsidRDefault="00EB7415" w:rsidP="006A0B08">
            <w:pPr>
              <w:spacing w:before="120" w:after="120"/>
            </w:pPr>
            <w:r>
              <w:t>Recommendation Language</w:t>
            </w:r>
          </w:p>
        </w:tc>
      </w:tr>
      <w:tr w:rsidR="006A0B08" w:rsidTr="00811BB6">
        <w:trPr>
          <w:cantSplit/>
        </w:trPr>
        <w:tc>
          <w:tcPr>
            <w:tcW w:w="468" w:type="dxa"/>
          </w:tcPr>
          <w:p w:rsidR="006A0B08" w:rsidRDefault="006A0B08" w:rsidP="006A0B08">
            <w:pPr>
              <w:spacing w:before="120" w:after="120"/>
            </w:pPr>
            <w:r>
              <w:t>2</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23</w:t>
            </w:r>
          </w:p>
        </w:tc>
        <w:tc>
          <w:tcPr>
            <w:tcW w:w="5940" w:type="dxa"/>
          </w:tcPr>
          <w:p w:rsidR="006A0B08" w:rsidRDefault="006A0B08" w:rsidP="006A0B08">
            <w:pPr>
              <w:spacing w:before="120" w:after="120"/>
            </w:pPr>
            <w:r>
              <w:t>For certain service types, the ability to provide a more granular (e.g., 24 hour) take pattern could alleviate/reduce reliance on intraday to achieve that take pattern.</w:t>
            </w:r>
          </w:p>
        </w:tc>
        <w:tc>
          <w:tcPr>
            <w:tcW w:w="5670" w:type="dxa"/>
          </w:tcPr>
          <w:p w:rsidR="006A0B08" w:rsidRDefault="00AF7C76" w:rsidP="006A0B08">
            <w:pPr>
              <w:spacing w:before="120" w:after="120"/>
            </w:pPr>
            <w:r>
              <w:t>Discuss, examine, and if needed, define the ability for shippers to create a nomination with a 24 hour nomination profile that identifies the pattern of flow.</w:t>
            </w:r>
          </w:p>
        </w:tc>
      </w:tr>
      <w:tr w:rsidR="006A0B08" w:rsidTr="00811BB6">
        <w:trPr>
          <w:cantSplit/>
        </w:trPr>
        <w:tc>
          <w:tcPr>
            <w:tcW w:w="468" w:type="dxa"/>
          </w:tcPr>
          <w:p w:rsidR="006A0B08" w:rsidRDefault="006A0B08" w:rsidP="006A0B08">
            <w:pPr>
              <w:spacing w:before="120" w:after="120"/>
            </w:pPr>
            <w:r>
              <w:t>2</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46</w:t>
            </w:r>
          </w:p>
        </w:tc>
        <w:tc>
          <w:tcPr>
            <w:tcW w:w="5940" w:type="dxa"/>
          </w:tcPr>
          <w:p w:rsidR="006A0B08" w:rsidRDefault="006A0B08" w:rsidP="006A0B08">
            <w:pPr>
              <w:spacing w:before="120" w:after="120"/>
            </w:pPr>
            <w:r>
              <w:t>Best-efforts scheduling could also be applied to day-ahead shaped flows.</w:t>
            </w:r>
          </w:p>
        </w:tc>
        <w:tc>
          <w:tcPr>
            <w:tcW w:w="5670" w:type="dxa"/>
          </w:tcPr>
          <w:p w:rsidR="006A0B08" w:rsidRDefault="00AF7C76" w:rsidP="006A0B08">
            <w:pPr>
              <w:spacing w:before="120" w:after="120"/>
            </w:pPr>
            <w:r>
              <w:t>Discuss, examine, and if needed, define the ability for best efforts nominations and scheduling to apply to day-ahead shaped flows.</w:t>
            </w:r>
          </w:p>
        </w:tc>
      </w:tr>
      <w:tr w:rsidR="006A0B08" w:rsidTr="00811BB6">
        <w:trPr>
          <w:cantSplit/>
        </w:trPr>
        <w:tc>
          <w:tcPr>
            <w:tcW w:w="468" w:type="dxa"/>
          </w:tcPr>
          <w:p w:rsidR="006A0B08" w:rsidRDefault="006A0B08" w:rsidP="006A0B08">
            <w:pPr>
              <w:spacing w:before="120" w:after="120"/>
              <w:jc w:val="center"/>
            </w:pPr>
            <w:r>
              <w:t>5</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17</w:t>
            </w:r>
          </w:p>
        </w:tc>
        <w:tc>
          <w:tcPr>
            <w:tcW w:w="5940" w:type="dxa"/>
          </w:tcPr>
          <w:p w:rsidR="006A0B08" w:rsidRDefault="006A0B08" w:rsidP="006A0B08">
            <w:pPr>
              <w:spacing w:before="120" w:after="120"/>
            </w:pPr>
            <w:r>
              <w:t>Levels of confirmation</w:t>
            </w:r>
          </w:p>
        </w:tc>
        <w:tc>
          <w:tcPr>
            <w:tcW w:w="5670" w:type="dxa"/>
          </w:tcPr>
          <w:p w:rsidR="006A0B08" w:rsidRDefault="00AF7C76" w:rsidP="006A0B08">
            <w:pPr>
              <w:spacing w:before="120" w:after="120"/>
            </w:pPr>
            <w:r>
              <w:t>Discuss, examine, and if needed, modify the levels of confirmation.</w:t>
            </w:r>
          </w:p>
        </w:tc>
      </w:tr>
      <w:tr w:rsidR="006A0B08" w:rsidTr="00811BB6">
        <w:trPr>
          <w:cantSplit/>
        </w:trPr>
        <w:tc>
          <w:tcPr>
            <w:tcW w:w="468" w:type="dxa"/>
          </w:tcPr>
          <w:p w:rsidR="006A0B08" w:rsidRDefault="006A0B08" w:rsidP="006A0B08">
            <w:pPr>
              <w:spacing w:before="120" w:after="120"/>
              <w:jc w:val="center"/>
            </w:pPr>
            <w:r>
              <w:t>5</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19</w:t>
            </w:r>
          </w:p>
        </w:tc>
        <w:tc>
          <w:tcPr>
            <w:tcW w:w="5940" w:type="dxa"/>
          </w:tcPr>
          <w:p w:rsidR="006A0B08" w:rsidRDefault="006A0B08" w:rsidP="006A0B08">
            <w:pPr>
              <w:spacing w:before="120" w:after="120"/>
            </w:pPr>
            <w:r>
              <w:t>Manual confirmation processes</w:t>
            </w:r>
          </w:p>
        </w:tc>
        <w:tc>
          <w:tcPr>
            <w:tcW w:w="5670" w:type="dxa"/>
          </w:tcPr>
          <w:p w:rsidR="006A0B08" w:rsidRDefault="00AF7C76" w:rsidP="006A0B08">
            <w:pPr>
              <w:spacing w:before="120" w:after="120"/>
            </w:pPr>
            <w:r>
              <w:t>Discuss, examine, and if needed, define or modify the manual confirmation processes.</w:t>
            </w:r>
          </w:p>
        </w:tc>
      </w:tr>
      <w:tr w:rsidR="006A0B08" w:rsidTr="00811BB6">
        <w:trPr>
          <w:cantSplit/>
        </w:trPr>
        <w:tc>
          <w:tcPr>
            <w:tcW w:w="468" w:type="dxa"/>
          </w:tcPr>
          <w:p w:rsidR="006A0B08" w:rsidRDefault="006A0B08" w:rsidP="006A0B08">
            <w:pPr>
              <w:spacing w:before="120" w:after="120"/>
              <w:jc w:val="center"/>
            </w:pPr>
            <w:r>
              <w:t>5</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33</w:t>
            </w:r>
          </w:p>
        </w:tc>
        <w:tc>
          <w:tcPr>
            <w:tcW w:w="5940" w:type="dxa"/>
          </w:tcPr>
          <w:p w:rsidR="006A0B08" w:rsidRDefault="006A0B08" w:rsidP="006A0B08">
            <w:pPr>
              <w:spacing w:before="120" w:after="120"/>
            </w:pPr>
            <w:r>
              <w:t>Use of multiple confirmation methods in addition to traditional confirmations for intraday nominations. There is currently a</w:t>
            </w:r>
            <w:r>
              <w:rPr>
                <w:strike/>
              </w:rPr>
              <w:t>s</w:t>
            </w:r>
            <w:r>
              <w:t xml:space="preserve"> good definition of Confirmation by Exception (CBE) in NAESB standards.  CBE however, may not be available everywhere but there may also be additional confirmation methods that could benefit from standardization.</w:t>
            </w:r>
          </w:p>
        </w:tc>
        <w:tc>
          <w:tcPr>
            <w:tcW w:w="5670" w:type="dxa"/>
          </w:tcPr>
          <w:p w:rsidR="006A0B08" w:rsidRDefault="00AF7C76" w:rsidP="006A0B08">
            <w:pPr>
              <w:spacing w:before="120" w:after="120"/>
            </w:pPr>
            <w:r>
              <w:t>Discuss, examine, and if needed, define the multiple methods of confirmations into a standardized list.</w:t>
            </w:r>
          </w:p>
        </w:tc>
      </w:tr>
      <w:tr w:rsidR="006A0B08" w:rsidTr="00811BB6">
        <w:trPr>
          <w:cantSplit/>
        </w:trPr>
        <w:tc>
          <w:tcPr>
            <w:tcW w:w="468" w:type="dxa"/>
          </w:tcPr>
          <w:p w:rsidR="006A0B08" w:rsidRDefault="006A0B08" w:rsidP="006A0B08">
            <w:pPr>
              <w:spacing w:before="120" w:after="120"/>
              <w:jc w:val="center"/>
            </w:pPr>
            <w:r>
              <w:t>5</w:t>
            </w:r>
            <w:r w:rsidR="008F0B79">
              <w:t>, 6</w:t>
            </w:r>
          </w:p>
        </w:tc>
        <w:tc>
          <w:tcPr>
            <w:tcW w:w="630" w:type="dxa"/>
          </w:tcPr>
          <w:p w:rsidR="006A0B08" w:rsidRPr="0062117A" w:rsidRDefault="00AF7C76" w:rsidP="006A0B08">
            <w:pPr>
              <w:spacing w:before="120" w:after="120"/>
            </w:pPr>
            <w:r>
              <w:t>(</w:t>
            </w:r>
            <w:proofErr w:type="gramStart"/>
            <w:r>
              <w:t>this</w:t>
            </w:r>
            <w:proofErr w:type="gramEnd"/>
            <w:r>
              <w:t xml:space="preserve"> may be policy?)</w:t>
            </w:r>
          </w:p>
        </w:tc>
        <w:tc>
          <w:tcPr>
            <w:tcW w:w="450" w:type="dxa"/>
          </w:tcPr>
          <w:p w:rsidR="006A0B08" w:rsidRDefault="006A0B08" w:rsidP="006A0B08">
            <w:pPr>
              <w:spacing w:before="120" w:after="120"/>
            </w:pPr>
            <w:r>
              <w:t>34</w:t>
            </w:r>
          </w:p>
        </w:tc>
        <w:tc>
          <w:tcPr>
            <w:tcW w:w="5940" w:type="dxa"/>
          </w:tcPr>
          <w:p w:rsidR="006A0B08" w:rsidRDefault="006A0B08" w:rsidP="006A0B08">
            <w:pPr>
              <w:spacing w:before="120" w:after="120"/>
            </w:pPr>
            <w:r>
              <w:t xml:space="preserve">There are non-bumping best-efforts nomination opportunities with streamlined confirmations as an intra-cycle nomination subject to operating conditions of the pipeline.  True-up processes at the end of the gas day are examples of best efforts. This may be necessary but not sufficient to effectuate a transaction that can be scheduled. </w:t>
            </w:r>
          </w:p>
        </w:tc>
        <w:tc>
          <w:tcPr>
            <w:tcW w:w="5670" w:type="dxa"/>
          </w:tcPr>
          <w:p w:rsidR="006A0B08" w:rsidRDefault="00AF7C76" w:rsidP="006A0B08">
            <w:pPr>
              <w:spacing w:before="120" w:after="120"/>
            </w:pPr>
            <w:r>
              <w:t>Discuss, examine, and if needed, define the ability to use best-efforts nominations on an intra-cycle basis.</w:t>
            </w:r>
          </w:p>
        </w:tc>
      </w:tr>
      <w:tr w:rsidR="006A0B08" w:rsidTr="00811BB6">
        <w:trPr>
          <w:cantSplit/>
        </w:trPr>
        <w:tc>
          <w:tcPr>
            <w:tcW w:w="468" w:type="dxa"/>
          </w:tcPr>
          <w:p w:rsidR="006A0B08" w:rsidRDefault="006A0B08" w:rsidP="006A0B08">
            <w:pPr>
              <w:spacing w:before="120" w:after="120"/>
              <w:jc w:val="center"/>
            </w:pPr>
            <w:r>
              <w:t>5</w:t>
            </w:r>
            <w:r w:rsidR="008F0B79">
              <w:t>, 11</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35</w:t>
            </w:r>
          </w:p>
        </w:tc>
        <w:tc>
          <w:tcPr>
            <w:tcW w:w="5940" w:type="dxa"/>
          </w:tcPr>
          <w:p w:rsidR="006A0B08" w:rsidRDefault="006A0B08" w:rsidP="006A0B08">
            <w:pPr>
              <w:spacing w:before="120" w:after="120"/>
            </w:pPr>
            <w:r>
              <w:t xml:space="preserve">Lining up the processes and timeframes that occur within the confirmations/scheduling window to gain efficiency of data exchange. </w:t>
            </w:r>
          </w:p>
        </w:tc>
        <w:tc>
          <w:tcPr>
            <w:tcW w:w="5670" w:type="dxa"/>
          </w:tcPr>
          <w:p w:rsidR="006A0B08" w:rsidRDefault="00AF7C76" w:rsidP="006A0B08">
            <w:pPr>
              <w:spacing w:before="120" w:after="120"/>
            </w:pPr>
            <w:r>
              <w:t>Discuss, examine, and if needed, define confirmation and scheduling timelines inside the scheduling window. There may be more than one solution.</w:t>
            </w:r>
          </w:p>
        </w:tc>
      </w:tr>
      <w:tr w:rsidR="006A0B08" w:rsidTr="00811BB6">
        <w:trPr>
          <w:cantSplit/>
        </w:trPr>
        <w:tc>
          <w:tcPr>
            <w:tcW w:w="468" w:type="dxa"/>
          </w:tcPr>
          <w:p w:rsidR="006A0B08" w:rsidRDefault="006A0B08" w:rsidP="006A0B08">
            <w:pPr>
              <w:spacing w:before="120" w:after="120"/>
              <w:jc w:val="center"/>
            </w:pPr>
            <w:r>
              <w:lastRenderedPageBreak/>
              <w:t>5</w:t>
            </w:r>
            <w:r w:rsidR="008F0B79">
              <w:t>, 11</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36</w:t>
            </w:r>
          </w:p>
        </w:tc>
        <w:tc>
          <w:tcPr>
            <w:tcW w:w="5940" w:type="dxa"/>
          </w:tcPr>
          <w:p w:rsidR="006A0B08" w:rsidRDefault="006A0B08" w:rsidP="006A0B08">
            <w:pPr>
              <w:spacing w:before="120" w:after="120"/>
            </w:pPr>
            <w: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5670" w:type="dxa"/>
          </w:tcPr>
          <w:p w:rsidR="006A0B08" w:rsidRDefault="00AF7C76" w:rsidP="006A0B08">
            <w:pPr>
              <w:spacing w:before="120" w:after="120"/>
            </w:pPr>
            <w:r>
              <w:t>Discuss, examine, and if needed, modify the number of data elements exchanged in the confirmation.</w:t>
            </w:r>
          </w:p>
        </w:tc>
      </w:tr>
      <w:tr w:rsidR="006A0B08" w:rsidTr="00811BB6">
        <w:trPr>
          <w:cantSplit/>
        </w:trPr>
        <w:tc>
          <w:tcPr>
            <w:tcW w:w="468" w:type="dxa"/>
          </w:tcPr>
          <w:p w:rsidR="006A0B08" w:rsidRDefault="006A0B08" w:rsidP="006A0B08">
            <w:pPr>
              <w:spacing w:before="120" w:after="120"/>
              <w:jc w:val="center"/>
            </w:pPr>
            <w:r>
              <w:t>5</w:t>
            </w:r>
          </w:p>
        </w:tc>
        <w:tc>
          <w:tcPr>
            <w:tcW w:w="630" w:type="dxa"/>
          </w:tcPr>
          <w:p w:rsidR="006A0B08" w:rsidRPr="0062117A" w:rsidRDefault="006A0B08" w:rsidP="006A0B08">
            <w:pPr>
              <w:spacing w:before="120" w:after="120"/>
            </w:pPr>
          </w:p>
        </w:tc>
        <w:tc>
          <w:tcPr>
            <w:tcW w:w="450" w:type="dxa"/>
          </w:tcPr>
          <w:p w:rsidR="006A0B08" w:rsidRDefault="006A0B08" w:rsidP="006A0B08">
            <w:pPr>
              <w:spacing w:before="120" w:after="120"/>
            </w:pPr>
            <w:r>
              <w:t>37</w:t>
            </w:r>
          </w:p>
        </w:tc>
        <w:tc>
          <w:tcPr>
            <w:tcW w:w="5940" w:type="dxa"/>
          </w:tcPr>
          <w:p w:rsidR="006A0B08" w:rsidRDefault="006A0B08" w:rsidP="006A0B08">
            <w:pPr>
              <w:spacing w:before="120" w:after="120"/>
            </w:pPr>
            <w: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5670" w:type="dxa"/>
          </w:tcPr>
          <w:p w:rsidR="006A0B08" w:rsidRDefault="00AF7C76" w:rsidP="006A0B08">
            <w:pPr>
              <w:spacing w:before="120" w:after="120"/>
            </w:pPr>
            <w:r>
              <w:t>Discuss, examine, and if needed, define confirmation and scheduling timelines inside the scheduling window. There may be more than one solution.</w:t>
            </w:r>
          </w:p>
        </w:tc>
      </w:tr>
      <w:tr w:rsidR="00D31631" w:rsidTr="00811BB6">
        <w:trPr>
          <w:cantSplit/>
        </w:trPr>
        <w:tc>
          <w:tcPr>
            <w:tcW w:w="468" w:type="dxa"/>
          </w:tcPr>
          <w:p w:rsidR="00D31631" w:rsidRDefault="00D31631" w:rsidP="006A0B08">
            <w:pPr>
              <w:spacing w:before="120" w:after="120"/>
              <w:jc w:val="center"/>
            </w:pPr>
            <w:r>
              <w:t>5</w:t>
            </w:r>
            <w:r w:rsidR="008F0B79">
              <w:t>, 11</w:t>
            </w:r>
          </w:p>
        </w:tc>
        <w:tc>
          <w:tcPr>
            <w:tcW w:w="630" w:type="dxa"/>
          </w:tcPr>
          <w:p w:rsidR="00D31631" w:rsidRPr="0062117A" w:rsidRDefault="00D31631" w:rsidP="006A0B08">
            <w:pPr>
              <w:spacing w:before="120" w:after="120"/>
            </w:pPr>
          </w:p>
        </w:tc>
        <w:tc>
          <w:tcPr>
            <w:tcW w:w="450" w:type="dxa"/>
          </w:tcPr>
          <w:p w:rsidR="00D31631" w:rsidRDefault="00D31631" w:rsidP="006A0B08">
            <w:pPr>
              <w:spacing w:before="120" w:after="120"/>
            </w:pPr>
            <w:r>
              <w:t>38</w:t>
            </w:r>
          </w:p>
        </w:tc>
        <w:tc>
          <w:tcPr>
            <w:tcW w:w="5940" w:type="dxa"/>
          </w:tcPr>
          <w:p w:rsidR="00D31631" w:rsidRDefault="00D31631" w:rsidP="006A0B08">
            <w:pPr>
              <w:spacing w:before="120" w:after="120"/>
            </w:pPr>
            <w: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5670" w:type="dxa"/>
          </w:tcPr>
          <w:p w:rsidR="00D31631" w:rsidRDefault="00D31631" w:rsidP="00FA3AEF">
            <w:pPr>
              <w:spacing w:before="120" w:after="120"/>
            </w:pPr>
            <w:r>
              <w:t>Discuss, examine, and if needed, define confirmation and scheduling timelines inside the scheduling window. There may be more than one solution.</w:t>
            </w:r>
          </w:p>
        </w:tc>
      </w:tr>
      <w:tr w:rsidR="00D31631" w:rsidTr="00811BB6">
        <w:trPr>
          <w:cantSplit/>
        </w:trPr>
        <w:tc>
          <w:tcPr>
            <w:tcW w:w="468" w:type="dxa"/>
          </w:tcPr>
          <w:p w:rsidR="00D31631" w:rsidRDefault="00D31631" w:rsidP="006A0B08">
            <w:pPr>
              <w:keepNext/>
              <w:spacing w:before="120" w:after="120"/>
              <w:jc w:val="center"/>
            </w:pPr>
            <w:r>
              <w:t>5</w:t>
            </w:r>
            <w:r w:rsidR="008F0B79">
              <w:t>, 11</w:t>
            </w:r>
          </w:p>
        </w:tc>
        <w:tc>
          <w:tcPr>
            <w:tcW w:w="630" w:type="dxa"/>
          </w:tcPr>
          <w:p w:rsidR="00D31631" w:rsidRPr="0062117A" w:rsidRDefault="00D31631" w:rsidP="006A0B08">
            <w:pPr>
              <w:spacing w:before="120" w:after="120"/>
            </w:pPr>
          </w:p>
        </w:tc>
        <w:tc>
          <w:tcPr>
            <w:tcW w:w="450" w:type="dxa"/>
          </w:tcPr>
          <w:p w:rsidR="00D31631" w:rsidRDefault="00D31631" w:rsidP="006A0B08">
            <w:pPr>
              <w:spacing w:before="120" w:after="120"/>
            </w:pPr>
            <w:r>
              <w:t>39</w:t>
            </w:r>
          </w:p>
        </w:tc>
        <w:tc>
          <w:tcPr>
            <w:tcW w:w="5940" w:type="dxa"/>
          </w:tcPr>
          <w:p w:rsidR="00D31631" w:rsidRDefault="00D31631" w:rsidP="006A0B08">
            <w:pPr>
              <w:spacing w:before="120" w:after="120"/>
            </w:pPr>
            <w: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5670" w:type="dxa"/>
          </w:tcPr>
          <w:p w:rsidR="00D31631" w:rsidRDefault="00D31631" w:rsidP="00D31631">
            <w:pPr>
              <w:spacing w:before="120" w:after="120"/>
            </w:pPr>
            <w:r>
              <w:t>Discuss, examine, and if needed, redefine the confirmation process at a fundamental process level.</w:t>
            </w:r>
          </w:p>
        </w:tc>
      </w:tr>
      <w:tr w:rsidR="00D31631" w:rsidTr="00811BB6">
        <w:trPr>
          <w:cantSplit/>
        </w:trPr>
        <w:tc>
          <w:tcPr>
            <w:tcW w:w="468" w:type="dxa"/>
          </w:tcPr>
          <w:p w:rsidR="00D31631" w:rsidRDefault="00D31631" w:rsidP="006A0B08">
            <w:pPr>
              <w:spacing w:before="120" w:after="120"/>
              <w:jc w:val="center"/>
            </w:pPr>
            <w:r>
              <w:t>6</w:t>
            </w:r>
          </w:p>
        </w:tc>
        <w:tc>
          <w:tcPr>
            <w:tcW w:w="630" w:type="dxa"/>
          </w:tcPr>
          <w:p w:rsidR="00D31631" w:rsidRPr="0062117A" w:rsidRDefault="00D31631" w:rsidP="006A0B08">
            <w:pPr>
              <w:spacing w:before="120" w:after="120"/>
            </w:pPr>
          </w:p>
        </w:tc>
        <w:tc>
          <w:tcPr>
            <w:tcW w:w="450" w:type="dxa"/>
          </w:tcPr>
          <w:p w:rsidR="00D31631" w:rsidRDefault="00D31631" w:rsidP="006A0B08">
            <w:pPr>
              <w:spacing w:before="120" w:after="120"/>
            </w:pPr>
            <w:r>
              <w:t>18</w:t>
            </w:r>
          </w:p>
        </w:tc>
        <w:tc>
          <w:tcPr>
            <w:tcW w:w="5940" w:type="dxa"/>
          </w:tcPr>
          <w:p w:rsidR="00D31631" w:rsidRDefault="00D31631" w:rsidP="006A0B08">
            <w:pPr>
              <w:spacing w:before="120" w:after="120"/>
            </w:pPr>
            <w:r>
              <w:t>Nomination errors requiring manual intervention for mismatches during the confirmation process</w:t>
            </w:r>
          </w:p>
        </w:tc>
        <w:tc>
          <w:tcPr>
            <w:tcW w:w="5670" w:type="dxa"/>
          </w:tcPr>
          <w:p w:rsidR="00D31631" w:rsidRDefault="00D31631" w:rsidP="006A0B08">
            <w:pPr>
              <w:spacing w:before="120" w:after="120"/>
            </w:pPr>
            <w:r>
              <w:t>Discuss, examine, and if needed, define how and when manual intervention of nomination errors should be handled or rejected</w:t>
            </w:r>
          </w:p>
        </w:tc>
      </w:tr>
      <w:tr w:rsidR="00D31631" w:rsidTr="00811BB6">
        <w:trPr>
          <w:cantSplit/>
        </w:trPr>
        <w:tc>
          <w:tcPr>
            <w:tcW w:w="468" w:type="dxa"/>
          </w:tcPr>
          <w:p w:rsidR="00D31631" w:rsidRDefault="00D31631" w:rsidP="006A0B08">
            <w:pPr>
              <w:spacing w:before="120" w:after="120"/>
            </w:pPr>
            <w:r>
              <w:t>8</w:t>
            </w:r>
          </w:p>
        </w:tc>
        <w:tc>
          <w:tcPr>
            <w:tcW w:w="630" w:type="dxa"/>
          </w:tcPr>
          <w:p w:rsidR="00D31631" w:rsidRPr="0062117A" w:rsidRDefault="00D31631" w:rsidP="006A0B08">
            <w:pPr>
              <w:spacing w:before="120" w:after="120"/>
            </w:pPr>
          </w:p>
        </w:tc>
        <w:tc>
          <w:tcPr>
            <w:tcW w:w="450" w:type="dxa"/>
          </w:tcPr>
          <w:p w:rsidR="00D31631" w:rsidRDefault="00D31631" w:rsidP="006A0B08">
            <w:pPr>
              <w:spacing w:before="120" w:after="120"/>
            </w:pPr>
            <w:r>
              <w:t>21</w:t>
            </w:r>
          </w:p>
        </w:tc>
        <w:tc>
          <w:tcPr>
            <w:tcW w:w="5940" w:type="dxa"/>
          </w:tcPr>
          <w:p w:rsidR="00D31631" w:rsidRDefault="00D31631" w:rsidP="006A0B08">
            <w:pPr>
              <w:spacing w:before="120" w:after="120"/>
            </w:pPr>
            <w:r>
              <w:t>Computerized scheduling and confirmations for nomination of subscribed services during non-traditional business hours.</w:t>
            </w:r>
          </w:p>
        </w:tc>
        <w:tc>
          <w:tcPr>
            <w:tcW w:w="5670" w:type="dxa"/>
          </w:tcPr>
          <w:p w:rsidR="00D31631" w:rsidRDefault="008F0B79" w:rsidP="006A0B08">
            <w:pPr>
              <w:spacing w:before="120" w:after="120"/>
            </w:pPr>
            <w:r>
              <w:t>Discuss, examine, and if needed, define confirmations and scheduling standards for nominations in non-traditional hours.</w:t>
            </w:r>
          </w:p>
        </w:tc>
      </w:tr>
      <w:tr w:rsidR="00D31631" w:rsidTr="00811BB6">
        <w:trPr>
          <w:cantSplit/>
        </w:trPr>
        <w:tc>
          <w:tcPr>
            <w:tcW w:w="468" w:type="dxa"/>
          </w:tcPr>
          <w:p w:rsidR="00D31631" w:rsidRDefault="00D31631" w:rsidP="006A0B08">
            <w:pPr>
              <w:spacing w:before="120" w:after="120"/>
            </w:pPr>
            <w:r>
              <w:lastRenderedPageBreak/>
              <w:t>9</w:t>
            </w:r>
          </w:p>
        </w:tc>
        <w:tc>
          <w:tcPr>
            <w:tcW w:w="630" w:type="dxa"/>
          </w:tcPr>
          <w:p w:rsidR="00D31631" w:rsidRPr="0062117A" w:rsidRDefault="00D31631" w:rsidP="006A0B08">
            <w:pPr>
              <w:spacing w:before="120" w:after="120"/>
            </w:pPr>
          </w:p>
        </w:tc>
        <w:tc>
          <w:tcPr>
            <w:tcW w:w="450" w:type="dxa"/>
          </w:tcPr>
          <w:p w:rsidR="00D31631" w:rsidRDefault="00D31631" w:rsidP="006A0B08">
            <w:pPr>
              <w:spacing w:before="120" w:after="120"/>
            </w:pPr>
            <w:r>
              <w:t>22</w:t>
            </w:r>
          </w:p>
        </w:tc>
        <w:tc>
          <w:tcPr>
            <w:tcW w:w="5940" w:type="dxa"/>
          </w:tcPr>
          <w:p w:rsidR="00D31631" w:rsidRDefault="00D31631" w:rsidP="006A0B08">
            <w:pPr>
              <w:spacing w:before="120" w:after="120"/>
            </w:pPr>
            <w:r>
              <w:t>It would be desirable to have a set of terminology agreed upon by participants to characteristics shapes, profiles, ratable, non-ratable, and so forth to facilitate discussion.</w:t>
            </w:r>
          </w:p>
        </w:tc>
        <w:tc>
          <w:tcPr>
            <w:tcW w:w="5670" w:type="dxa"/>
          </w:tcPr>
          <w:p w:rsidR="00D31631" w:rsidRDefault="008F0B79" w:rsidP="006A0B08">
            <w:pPr>
              <w:spacing w:before="120" w:after="120"/>
            </w:pPr>
            <w:r>
              <w:t>Discuss, examine, and if needed, define terms for confirmation related processes including shapes, profiles, ratable, non-ratable.</w:t>
            </w:r>
          </w:p>
        </w:tc>
      </w:tr>
      <w:tr w:rsidR="00F51536" w:rsidTr="00811BB6">
        <w:trPr>
          <w:cantSplit/>
        </w:trPr>
        <w:tc>
          <w:tcPr>
            <w:tcW w:w="468" w:type="dxa"/>
          </w:tcPr>
          <w:p w:rsidR="00F51536" w:rsidRDefault="00F51536" w:rsidP="00FA3AEF">
            <w:pPr>
              <w:spacing w:before="120" w:after="120"/>
            </w:pPr>
            <w:r>
              <w:t>9</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25</w:t>
            </w:r>
          </w:p>
        </w:tc>
        <w:tc>
          <w:tcPr>
            <w:tcW w:w="5940" w:type="dxa"/>
          </w:tcPr>
          <w:p w:rsidR="00F51536" w:rsidRDefault="00F51536" w:rsidP="00FA3AEF">
            <w:pPr>
              <w:spacing w:before="120" w:after="120"/>
            </w:pPr>
            <w:r>
              <w:t>Communication protocols with LDCs, gas generator operators and natural gas marketing companies</w:t>
            </w:r>
          </w:p>
        </w:tc>
        <w:tc>
          <w:tcPr>
            <w:tcW w:w="5670" w:type="dxa"/>
          </w:tcPr>
          <w:p w:rsidR="00F51536" w:rsidRDefault="009B5C30" w:rsidP="00FA3AEF">
            <w:pPr>
              <w:spacing w:before="120" w:after="120"/>
            </w:pPr>
            <w:r>
              <w:t>Discuss, examine, and if needed, define notifications to enhance communication between LDCs, gas generator operators, and natural gas marketing companies.</w:t>
            </w:r>
          </w:p>
        </w:tc>
      </w:tr>
      <w:tr w:rsidR="00F51536" w:rsidTr="00811BB6">
        <w:trPr>
          <w:cantSplit/>
        </w:trPr>
        <w:tc>
          <w:tcPr>
            <w:tcW w:w="468" w:type="dxa"/>
          </w:tcPr>
          <w:p w:rsidR="00F51536" w:rsidRDefault="00F51536" w:rsidP="00FA3AEF">
            <w:pPr>
              <w:spacing w:before="120" w:after="120"/>
            </w:pPr>
            <w:r>
              <w:t>9</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26</w:t>
            </w:r>
          </w:p>
        </w:tc>
        <w:tc>
          <w:tcPr>
            <w:tcW w:w="5940" w:type="dxa"/>
          </w:tcPr>
          <w:p w:rsidR="00F51536" w:rsidRDefault="00F51536" w:rsidP="00FA3AEF">
            <w:pPr>
              <w:spacing w:before="120" w:after="120"/>
            </w:pPr>
            <w:r>
              <w:t>Improve efficiency of critical information sharing (related to items 1 and 2)</w:t>
            </w:r>
          </w:p>
        </w:tc>
        <w:tc>
          <w:tcPr>
            <w:tcW w:w="5670" w:type="dxa"/>
          </w:tcPr>
          <w:p w:rsidR="00F51536" w:rsidRDefault="009B5C30" w:rsidP="00FA3AEF">
            <w:pPr>
              <w:spacing w:before="120" w:after="120"/>
            </w:pPr>
            <w:r>
              <w:t>Discuss, examine, and if needed, define notifications and other means of critical information sharing.</w:t>
            </w:r>
          </w:p>
        </w:tc>
      </w:tr>
    </w:tbl>
    <w:p w:rsidR="008F0B79" w:rsidRDefault="008F0B79" w:rsidP="00DB4CC2">
      <w:pPr>
        <w:spacing w:before="120"/>
      </w:pPr>
    </w:p>
    <w:p w:rsidR="00F51536" w:rsidRDefault="00F51536" w:rsidP="00DB4CC2">
      <w:pPr>
        <w:spacing w:before="120"/>
      </w:pPr>
    </w:p>
    <w:p w:rsidR="001053BF" w:rsidRDefault="001053BF">
      <w:r>
        <w:br w:type="page"/>
      </w:r>
    </w:p>
    <w:p w:rsidR="00F51536" w:rsidRDefault="00F51536" w:rsidP="00DB4CC2">
      <w:pPr>
        <w:spacing w:before="120"/>
      </w:pPr>
    </w:p>
    <w:tbl>
      <w:tblPr>
        <w:tblStyle w:val="TableGrid"/>
        <w:tblW w:w="0" w:type="auto"/>
        <w:tblLayout w:type="fixed"/>
        <w:tblLook w:val="04A0" w:firstRow="1" w:lastRow="0" w:firstColumn="1" w:lastColumn="0" w:noHBand="0" w:noVBand="1"/>
      </w:tblPr>
      <w:tblGrid>
        <w:gridCol w:w="468"/>
        <w:gridCol w:w="630"/>
        <w:gridCol w:w="450"/>
        <w:gridCol w:w="5940"/>
        <w:gridCol w:w="5670"/>
      </w:tblGrid>
      <w:tr w:rsidR="008F0B79" w:rsidTr="00811BB6">
        <w:trPr>
          <w:cantSplit/>
          <w:tblHeader/>
        </w:trPr>
        <w:tc>
          <w:tcPr>
            <w:tcW w:w="13158" w:type="dxa"/>
            <w:gridSpan w:val="5"/>
          </w:tcPr>
          <w:p w:rsidR="008F0B79" w:rsidRPr="001053BF" w:rsidRDefault="008F0B79" w:rsidP="008F0B79">
            <w:pPr>
              <w:spacing w:before="120" w:after="120"/>
              <w:jc w:val="center"/>
              <w:rPr>
                <w:b/>
              </w:rPr>
            </w:pPr>
            <w:r>
              <w:br w:type="page"/>
            </w:r>
            <w:r w:rsidRPr="001053BF">
              <w:rPr>
                <w:b/>
              </w:rPr>
              <w:t>Table 2 – Analysis can be conducted after 4/1/2015 data is available</w:t>
            </w:r>
          </w:p>
        </w:tc>
      </w:tr>
      <w:tr w:rsidR="008F0B79" w:rsidTr="00811BB6">
        <w:trPr>
          <w:cantSplit/>
          <w:tblHeader/>
        </w:trPr>
        <w:tc>
          <w:tcPr>
            <w:tcW w:w="1098" w:type="dxa"/>
            <w:gridSpan w:val="2"/>
          </w:tcPr>
          <w:p w:rsidR="008F0B79" w:rsidRDefault="008F0B79" w:rsidP="00FA3AEF">
            <w:pPr>
              <w:spacing w:before="120" w:after="120"/>
            </w:pPr>
            <w:r>
              <w:t>Category</w:t>
            </w:r>
          </w:p>
        </w:tc>
        <w:tc>
          <w:tcPr>
            <w:tcW w:w="6390" w:type="dxa"/>
            <w:gridSpan w:val="2"/>
          </w:tcPr>
          <w:p w:rsidR="008F0B79" w:rsidRDefault="008F0B79" w:rsidP="00FA3AEF">
            <w:pPr>
              <w:spacing w:before="120" w:after="120"/>
            </w:pPr>
            <w:r>
              <w:t>Issue</w:t>
            </w:r>
          </w:p>
        </w:tc>
        <w:tc>
          <w:tcPr>
            <w:tcW w:w="5670" w:type="dxa"/>
          </w:tcPr>
          <w:p w:rsidR="008F0B79" w:rsidRDefault="00EB7415" w:rsidP="00FA3AEF">
            <w:pPr>
              <w:spacing w:before="120" w:after="120"/>
            </w:pPr>
            <w:r>
              <w:t>Recommendation Language</w:t>
            </w:r>
          </w:p>
        </w:tc>
      </w:tr>
      <w:tr w:rsidR="00FD1621" w:rsidTr="00811BB6">
        <w:trPr>
          <w:cantSplit/>
        </w:trPr>
        <w:tc>
          <w:tcPr>
            <w:tcW w:w="468" w:type="dxa"/>
          </w:tcPr>
          <w:p w:rsidR="00FD1621" w:rsidRDefault="00FD1621" w:rsidP="00FA3AEF">
            <w:pPr>
              <w:spacing w:before="120" w:after="120"/>
            </w:pPr>
            <w:r>
              <w:t>2</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40</w:t>
            </w:r>
          </w:p>
        </w:tc>
        <w:tc>
          <w:tcPr>
            <w:tcW w:w="5940" w:type="dxa"/>
          </w:tcPr>
          <w:p w:rsidR="00FD1621" w:rsidRDefault="00FD1621" w:rsidP="00FA3AEF">
            <w:pPr>
              <w:spacing w:before="120" w:after="120"/>
            </w:pPr>
            <w:r>
              <w:t>Some parties seek more opportunities to change the shape of flows over the course of a gas day so that the actual flows may differ from the 1/24th per hour rate.  For example: use more nomination cycles and schedules to achieve non-ratable takes, instead of /in addition to using other tools like no-notice and hourly nomination services.</w:t>
            </w:r>
          </w:p>
        </w:tc>
        <w:tc>
          <w:tcPr>
            <w:tcW w:w="5670" w:type="dxa"/>
          </w:tcPr>
          <w:p w:rsidR="00FD1621" w:rsidRDefault="009B5C30" w:rsidP="009B5C30">
            <w:pPr>
              <w:spacing w:before="120" w:after="120"/>
            </w:pPr>
            <w:r>
              <w:t>Investigate, discuss, examine, and if needed, define the ability to submit a nomination with up to 24 distinct hourly quantities as a nomination in a traditional nomination timeline, such as a timely nomination.</w:t>
            </w:r>
          </w:p>
        </w:tc>
      </w:tr>
      <w:tr w:rsidR="00FD1621" w:rsidTr="00811BB6">
        <w:trPr>
          <w:cantSplit/>
        </w:trPr>
        <w:tc>
          <w:tcPr>
            <w:tcW w:w="468" w:type="dxa"/>
          </w:tcPr>
          <w:p w:rsidR="00FD1621" w:rsidRDefault="00FD1621" w:rsidP="00FA3AEF">
            <w:pPr>
              <w:spacing w:before="120" w:after="120"/>
              <w:jc w:val="center"/>
            </w:pPr>
            <w:r>
              <w:t>6</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45</w:t>
            </w:r>
          </w:p>
        </w:tc>
        <w:tc>
          <w:tcPr>
            <w:tcW w:w="5940" w:type="dxa"/>
          </w:tcPr>
          <w:p w:rsidR="00FD1621" w:rsidRDefault="00FD1621" w:rsidP="00FA3AEF">
            <w:pPr>
              <w:spacing w:before="120" w:after="120"/>
            </w:pPr>
            <w:r>
              <w:t>Intra-cycle capacity releases may improve best efforts scheduling.  Conversely best-efforts scheduling may improve the effectiveness of existing intraday capacity releases.</w:t>
            </w:r>
          </w:p>
        </w:tc>
        <w:tc>
          <w:tcPr>
            <w:tcW w:w="5670" w:type="dxa"/>
          </w:tcPr>
          <w:p w:rsidR="00FD1621" w:rsidRDefault="009B5C30" w:rsidP="00FA3AEF">
            <w:pPr>
              <w:spacing w:before="120" w:after="120"/>
            </w:pPr>
            <w:r>
              <w:t>Investigate, discuss, and examine, the value of an intra-cycle capacity release process.  If warranted, modify and create standards to support the process.</w:t>
            </w:r>
          </w:p>
        </w:tc>
      </w:tr>
      <w:tr w:rsidR="00FD1621" w:rsidTr="00811BB6">
        <w:trPr>
          <w:cantSplit/>
        </w:trPr>
        <w:tc>
          <w:tcPr>
            <w:tcW w:w="468" w:type="dxa"/>
          </w:tcPr>
          <w:p w:rsidR="00FD1621" w:rsidRDefault="00FD1621" w:rsidP="00FA3AEF">
            <w:pPr>
              <w:spacing w:before="120" w:after="120"/>
              <w:jc w:val="center"/>
            </w:pPr>
            <w:r>
              <w:t>6</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47</w:t>
            </w:r>
          </w:p>
        </w:tc>
        <w:tc>
          <w:tcPr>
            <w:tcW w:w="5940" w:type="dxa"/>
          </w:tcPr>
          <w:p w:rsidR="00FD1621" w:rsidRDefault="00FD1621" w:rsidP="00FA3AEF">
            <w:pPr>
              <w:spacing w:before="120" w:after="120"/>
            </w:pPr>
            <w:r>
              <w:t xml:space="preserve"> Episodic analysis of daily flows suggests that more opportunities to schedule may provide additional flexibility to generators and electric consumers</w:t>
            </w:r>
            <w:r w:rsidR="00811BB6">
              <w:t>’</w:t>
            </w:r>
            <w:r>
              <w:t xml:space="preserve"> benefits. </w:t>
            </w:r>
          </w:p>
        </w:tc>
        <w:tc>
          <w:tcPr>
            <w:tcW w:w="5670" w:type="dxa"/>
          </w:tcPr>
          <w:p w:rsidR="00FD1621" w:rsidRDefault="009B5C30" w:rsidP="00FA3AEF">
            <w:pPr>
              <w:spacing w:before="120" w:after="120"/>
            </w:pPr>
            <w:r>
              <w:t>Investigate, discuss, and examine the value of additional scheduling opportunities.  If warranted, modify and create standards to support this process.</w:t>
            </w:r>
          </w:p>
        </w:tc>
      </w:tr>
      <w:tr w:rsidR="00FD1621" w:rsidTr="00811BB6">
        <w:trPr>
          <w:cantSplit/>
        </w:trPr>
        <w:tc>
          <w:tcPr>
            <w:tcW w:w="468" w:type="dxa"/>
          </w:tcPr>
          <w:p w:rsidR="00FD1621" w:rsidRDefault="00FD1621" w:rsidP="00FA3AEF">
            <w:pPr>
              <w:spacing w:before="120" w:after="120"/>
            </w:pPr>
            <w:r>
              <w:t>7</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20</w:t>
            </w:r>
          </w:p>
        </w:tc>
        <w:tc>
          <w:tcPr>
            <w:tcW w:w="5940" w:type="dxa"/>
          </w:tcPr>
          <w:p w:rsidR="00FD1621" w:rsidRDefault="00FD1621" w:rsidP="00FA3AEF">
            <w:pPr>
              <w:spacing w:before="120" w:after="120"/>
            </w:pPr>
            <w:r>
              <w:t>Availability of capacity at interconnection points.  There is currently uncertainty as to impact of tighter timeframes on the scheduling of capacity for the later cycles. (At present, the schedules tend to come out early.)</w:t>
            </w:r>
          </w:p>
        </w:tc>
        <w:tc>
          <w:tcPr>
            <w:tcW w:w="5670" w:type="dxa"/>
          </w:tcPr>
          <w:p w:rsidR="00FD1621" w:rsidRDefault="009B5C30" w:rsidP="009B5C30">
            <w:pPr>
              <w:spacing w:before="120" w:after="120"/>
            </w:pPr>
            <w:r>
              <w:t>Investigate, discuss, and examine the value of providing additional available capacity information at interconnects.  If warranted, modify and create standards to support this process.</w:t>
            </w:r>
          </w:p>
        </w:tc>
      </w:tr>
    </w:tbl>
    <w:p w:rsidR="006A0B08" w:rsidRDefault="006A0B08" w:rsidP="00DB4CC2">
      <w:pPr>
        <w:spacing w:before="120"/>
      </w:pPr>
    </w:p>
    <w:p w:rsidR="00F51536" w:rsidRDefault="00F51536" w:rsidP="00DB4CC2">
      <w:pPr>
        <w:spacing w:before="120"/>
      </w:pPr>
    </w:p>
    <w:p w:rsidR="001053BF" w:rsidRDefault="001053BF">
      <w:r>
        <w:br w:type="page"/>
      </w:r>
    </w:p>
    <w:p w:rsidR="00F51536" w:rsidRDefault="00F51536" w:rsidP="00DB4CC2">
      <w:pPr>
        <w:spacing w:before="120"/>
      </w:pPr>
    </w:p>
    <w:tbl>
      <w:tblPr>
        <w:tblStyle w:val="TableGrid"/>
        <w:tblW w:w="0" w:type="auto"/>
        <w:tblLayout w:type="fixed"/>
        <w:tblLook w:val="04A0" w:firstRow="1" w:lastRow="0" w:firstColumn="1" w:lastColumn="0" w:noHBand="0" w:noVBand="1"/>
      </w:tblPr>
      <w:tblGrid>
        <w:gridCol w:w="468"/>
        <w:gridCol w:w="630"/>
        <w:gridCol w:w="450"/>
        <w:gridCol w:w="5940"/>
        <w:gridCol w:w="5670"/>
      </w:tblGrid>
      <w:tr w:rsidR="00FD1621" w:rsidTr="00811BB6">
        <w:trPr>
          <w:cantSplit/>
        </w:trPr>
        <w:tc>
          <w:tcPr>
            <w:tcW w:w="13158" w:type="dxa"/>
            <w:gridSpan w:val="5"/>
          </w:tcPr>
          <w:p w:rsidR="00FD1621" w:rsidRPr="001053BF" w:rsidRDefault="00FD1621" w:rsidP="00FD1621">
            <w:pPr>
              <w:spacing w:before="120" w:after="120"/>
              <w:jc w:val="center"/>
              <w:rPr>
                <w:b/>
              </w:rPr>
            </w:pPr>
            <w:r w:rsidRPr="001053BF">
              <w:rPr>
                <w:b/>
              </w:rPr>
              <w:t>Table 3 – NAESB Analysis Needed</w:t>
            </w:r>
          </w:p>
        </w:tc>
      </w:tr>
      <w:tr w:rsidR="00FD1621" w:rsidTr="00811BB6">
        <w:trPr>
          <w:cantSplit/>
        </w:trPr>
        <w:tc>
          <w:tcPr>
            <w:tcW w:w="1098" w:type="dxa"/>
            <w:gridSpan w:val="2"/>
          </w:tcPr>
          <w:p w:rsidR="00FD1621" w:rsidRDefault="00FD1621" w:rsidP="00FA3AEF">
            <w:pPr>
              <w:spacing w:before="120" w:after="120"/>
            </w:pPr>
            <w:r>
              <w:t>Category</w:t>
            </w:r>
          </w:p>
        </w:tc>
        <w:tc>
          <w:tcPr>
            <w:tcW w:w="6390" w:type="dxa"/>
            <w:gridSpan w:val="2"/>
          </w:tcPr>
          <w:p w:rsidR="00FD1621" w:rsidRDefault="00FD1621" w:rsidP="00FA3AEF">
            <w:pPr>
              <w:spacing w:before="120" w:after="120"/>
            </w:pPr>
            <w:r>
              <w:t>Issue</w:t>
            </w:r>
          </w:p>
        </w:tc>
        <w:tc>
          <w:tcPr>
            <w:tcW w:w="5670" w:type="dxa"/>
          </w:tcPr>
          <w:p w:rsidR="00FD1621" w:rsidRDefault="00EB7415" w:rsidP="00FA3AEF">
            <w:pPr>
              <w:spacing w:before="120" w:after="120"/>
            </w:pPr>
            <w:r>
              <w:t>Recommendation Language</w:t>
            </w:r>
          </w:p>
        </w:tc>
      </w:tr>
      <w:tr w:rsidR="00FD1621" w:rsidTr="00811BB6">
        <w:trPr>
          <w:cantSplit/>
        </w:trPr>
        <w:tc>
          <w:tcPr>
            <w:tcW w:w="468" w:type="dxa"/>
          </w:tcPr>
          <w:p w:rsidR="00FD1621" w:rsidRDefault="00FD1621" w:rsidP="00FA3AEF">
            <w:pPr>
              <w:spacing w:before="120" w:after="120"/>
              <w:jc w:val="center"/>
            </w:pPr>
            <w:r>
              <w:t>5, 11</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57</w:t>
            </w:r>
          </w:p>
        </w:tc>
        <w:tc>
          <w:tcPr>
            <w:tcW w:w="5940" w:type="dxa"/>
          </w:tcPr>
          <w:p w:rsidR="00FD1621" w:rsidRDefault="00FD1621" w:rsidP="00FA3AEF">
            <w:pPr>
              <w:spacing w:before="120" w:after="120"/>
            </w:pPr>
            <w:r>
              <w:t xml:space="preserve">Could </w:t>
            </w:r>
            <w:proofErr w:type="spellStart"/>
            <w:r>
              <w:t>eTag</w:t>
            </w:r>
            <w:proofErr w:type="spellEnd"/>
            <w:r>
              <w:t xml:space="preserve"> be applied to the gas industry to mimic the significant number of transactions processed on the power grid that use </w:t>
            </w:r>
            <w:proofErr w:type="spellStart"/>
            <w:r>
              <w:t>eTag</w:t>
            </w:r>
            <w:proofErr w:type="spellEnd"/>
            <w:r>
              <w:t xml:space="preserve"> in short processing windows, and if so, can it result in a streamlined scheduling process for natural gas?</w:t>
            </w:r>
          </w:p>
        </w:tc>
        <w:tc>
          <w:tcPr>
            <w:tcW w:w="5670" w:type="dxa"/>
          </w:tcPr>
          <w:p w:rsidR="00FD1621" w:rsidRDefault="009B5C30" w:rsidP="009B5C30">
            <w:pPr>
              <w:spacing w:before="120" w:after="120"/>
            </w:pPr>
            <w:r>
              <w:t xml:space="preserve">Investigate, discuss, and examine the value of </w:t>
            </w:r>
            <w:proofErr w:type="spellStart"/>
            <w:r>
              <w:t>eTag</w:t>
            </w:r>
            <w:proofErr w:type="spellEnd"/>
            <w:r>
              <w:t>-like capabilities applied to natural gas nominations.  If warranted, modify and create standards to support this process.</w:t>
            </w:r>
          </w:p>
        </w:tc>
      </w:tr>
      <w:tr w:rsidR="00FD1621" w:rsidTr="00811BB6">
        <w:trPr>
          <w:cantSplit/>
        </w:trPr>
        <w:tc>
          <w:tcPr>
            <w:tcW w:w="468" w:type="dxa"/>
          </w:tcPr>
          <w:p w:rsidR="00FD1621" w:rsidRDefault="00FD1621" w:rsidP="00FA3AEF">
            <w:pPr>
              <w:spacing w:before="120" w:after="120"/>
              <w:jc w:val="center"/>
            </w:pPr>
            <w:r>
              <w:t>5</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58</w:t>
            </w:r>
          </w:p>
        </w:tc>
        <w:tc>
          <w:tcPr>
            <w:tcW w:w="5940" w:type="dxa"/>
          </w:tcPr>
          <w:p w:rsidR="00FD1621" w:rsidRDefault="00FD1621" w:rsidP="00FA3AEF">
            <w:pPr>
              <w:spacing w:before="120" w:after="120"/>
            </w:pPr>
            <w:r>
              <w:t>Are there “lessons learned” in the electric industry that could benefit the gas industry as it considers the feasibility of modifying the scheduling process to make it more efficient?</w:t>
            </w:r>
          </w:p>
        </w:tc>
        <w:tc>
          <w:tcPr>
            <w:tcW w:w="5670" w:type="dxa"/>
          </w:tcPr>
          <w:p w:rsidR="00FD1621" w:rsidRDefault="009B5C30" w:rsidP="009B5C30">
            <w:pPr>
              <w:spacing w:before="120" w:after="120"/>
            </w:pPr>
            <w:r>
              <w:t>Investigate, discuss, and examine the electric industry practices to determine if any add value to the natural gas industry practices for scheduling and confirmations.  If warranted, modify and create standards to support this process.</w:t>
            </w:r>
          </w:p>
        </w:tc>
      </w:tr>
      <w:tr w:rsidR="00FD1621" w:rsidTr="00811BB6">
        <w:trPr>
          <w:cantSplit/>
        </w:trPr>
        <w:tc>
          <w:tcPr>
            <w:tcW w:w="468" w:type="dxa"/>
          </w:tcPr>
          <w:p w:rsidR="00FD1621" w:rsidRDefault="00FD1621" w:rsidP="00FA3AEF">
            <w:pPr>
              <w:spacing w:before="120" w:after="120"/>
            </w:pPr>
            <w:r>
              <w:t>7</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11</w:t>
            </w:r>
          </w:p>
        </w:tc>
        <w:tc>
          <w:tcPr>
            <w:tcW w:w="5940" w:type="dxa"/>
          </w:tcPr>
          <w:p w:rsidR="00FD1621" w:rsidRDefault="00FD1621" w:rsidP="00FA3AEF">
            <w:pPr>
              <w:spacing w:before="120" w:after="120"/>
            </w:pPr>
            <w:r>
              <w:t>Physical assistance agreed upon between interconnecting parties. OBAs and similar type of arrangement (the implementing devices), seem to be working well.</w:t>
            </w:r>
          </w:p>
        </w:tc>
        <w:tc>
          <w:tcPr>
            <w:tcW w:w="5670" w:type="dxa"/>
          </w:tcPr>
          <w:p w:rsidR="00FD1621" w:rsidRDefault="009B5C30" w:rsidP="00FA3AEF">
            <w:pPr>
              <w:spacing w:before="120" w:after="120"/>
            </w:pPr>
            <w:r>
              <w:t>Is action needed here?</w:t>
            </w:r>
          </w:p>
        </w:tc>
      </w:tr>
      <w:tr w:rsidR="00FD1621" w:rsidTr="00811BB6">
        <w:trPr>
          <w:cantSplit/>
        </w:trPr>
        <w:tc>
          <w:tcPr>
            <w:tcW w:w="468" w:type="dxa"/>
          </w:tcPr>
          <w:p w:rsidR="00FD1621" w:rsidRDefault="00FD1621" w:rsidP="00FA3AEF">
            <w:pPr>
              <w:spacing w:before="120" w:after="120"/>
            </w:pPr>
            <w:r>
              <w:t>11</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54</w:t>
            </w:r>
          </w:p>
        </w:tc>
        <w:tc>
          <w:tcPr>
            <w:tcW w:w="5940" w:type="dxa"/>
          </w:tcPr>
          <w:p w:rsidR="00FD1621" w:rsidRDefault="00FD1621" w:rsidP="00FA3AEF">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5670" w:type="dxa"/>
          </w:tcPr>
          <w:p w:rsidR="00FD1621" w:rsidRDefault="009B5C30" w:rsidP="009B5C30">
            <w:pPr>
              <w:spacing w:before="120" w:after="120"/>
            </w:pPr>
            <w:r>
              <w:t>Investigate, discuss, and examine the value of simulation tools to determine if more interconnection is needed between gas controllers and gas fired generators</w:t>
            </w:r>
            <w:proofErr w:type="gramStart"/>
            <w:r>
              <w:t>?????.</w:t>
            </w:r>
            <w:proofErr w:type="gramEnd"/>
            <w:r>
              <w:t xml:space="preserve">  If warranted, modify and create standards to support this process.</w:t>
            </w:r>
          </w:p>
        </w:tc>
      </w:tr>
    </w:tbl>
    <w:p w:rsidR="00FD1621" w:rsidRDefault="00FD1621" w:rsidP="00DB4CC2">
      <w:pPr>
        <w:spacing w:before="120"/>
      </w:pPr>
    </w:p>
    <w:p w:rsidR="00F51536" w:rsidRDefault="00F51536" w:rsidP="00DB4CC2">
      <w:pPr>
        <w:spacing w:before="120"/>
      </w:pPr>
    </w:p>
    <w:p w:rsidR="001053BF" w:rsidRDefault="001053BF">
      <w:r>
        <w:br w:type="page"/>
      </w:r>
    </w:p>
    <w:p w:rsidR="00F51536" w:rsidRDefault="00F51536" w:rsidP="00DB4CC2">
      <w:pPr>
        <w:spacing w:before="120"/>
      </w:pPr>
    </w:p>
    <w:tbl>
      <w:tblPr>
        <w:tblStyle w:val="TableGrid"/>
        <w:tblW w:w="0" w:type="auto"/>
        <w:tblLayout w:type="fixed"/>
        <w:tblLook w:val="04A0" w:firstRow="1" w:lastRow="0" w:firstColumn="1" w:lastColumn="0" w:noHBand="0" w:noVBand="1"/>
      </w:tblPr>
      <w:tblGrid>
        <w:gridCol w:w="468"/>
        <w:gridCol w:w="630"/>
        <w:gridCol w:w="450"/>
        <w:gridCol w:w="5940"/>
        <w:gridCol w:w="5670"/>
      </w:tblGrid>
      <w:tr w:rsidR="00FD1621" w:rsidTr="00811BB6">
        <w:trPr>
          <w:cantSplit/>
          <w:tblHeader/>
        </w:trPr>
        <w:tc>
          <w:tcPr>
            <w:tcW w:w="13158" w:type="dxa"/>
            <w:gridSpan w:val="5"/>
          </w:tcPr>
          <w:p w:rsidR="00FD1621" w:rsidRPr="001053BF" w:rsidRDefault="00FD1621" w:rsidP="00FD1621">
            <w:pPr>
              <w:spacing w:before="120" w:after="120"/>
              <w:jc w:val="center"/>
              <w:rPr>
                <w:b/>
              </w:rPr>
            </w:pPr>
            <w:r w:rsidRPr="001053BF">
              <w:rPr>
                <w:b/>
              </w:rPr>
              <w:t>Table 4 – FERC / Pipes</w:t>
            </w:r>
          </w:p>
        </w:tc>
      </w:tr>
      <w:tr w:rsidR="00FD1621" w:rsidTr="00811BB6">
        <w:trPr>
          <w:cantSplit/>
          <w:tblHeader/>
        </w:trPr>
        <w:tc>
          <w:tcPr>
            <w:tcW w:w="1098" w:type="dxa"/>
            <w:gridSpan w:val="2"/>
          </w:tcPr>
          <w:p w:rsidR="00FD1621" w:rsidRDefault="00FD1621" w:rsidP="00FA3AEF">
            <w:pPr>
              <w:spacing w:before="120" w:after="120"/>
            </w:pPr>
            <w:r>
              <w:t>Category</w:t>
            </w:r>
          </w:p>
        </w:tc>
        <w:tc>
          <w:tcPr>
            <w:tcW w:w="6390" w:type="dxa"/>
            <w:gridSpan w:val="2"/>
          </w:tcPr>
          <w:p w:rsidR="00FD1621" w:rsidRDefault="00FD1621" w:rsidP="00FA3AEF">
            <w:pPr>
              <w:spacing w:before="120" w:after="120"/>
            </w:pPr>
            <w:r>
              <w:t>Issue</w:t>
            </w:r>
          </w:p>
        </w:tc>
        <w:tc>
          <w:tcPr>
            <w:tcW w:w="5670" w:type="dxa"/>
          </w:tcPr>
          <w:p w:rsidR="00FD1621" w:rsidRDefault="00FD1621" w:rsidP="00EB7415">
            <w:pPr>
              <w:spacing w:before="120" w:after="120"/>
            </w:pPr>
            <w:r>
              <w:t>Recommend</w:t>
            </w:r>
            <w:r w:rsidR="00EB7415">
              <w:t>ation Language</w:t>
            </w:r>
          </w:p>
        </w:tc>
      </w:tr>
      <w:tr w:rsidR="00FD1621" w:rsidTr="00811BB6">
        <w:trPr>
          <w:cantSplit/>
        </w:trPr>
        <w:tc>
          <w:tcPr>
            <w:tcW w:w="468" w:type="dxa"/>
          </w:tcPr>
          <w:p w:rsidR="00FD1621" w:rsidRDefault="00FD1621" w:rsidP="00FA3AEF">
            <w:pPr>
              <w:spacing w:before="120" w:after="120"/>
              <w:jc w:val="center"/>
            </w:pPr>
            <w:r>
              <w:t>1</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w:t>
            </w:r>
          </w:p>
        </w:tc>
        <w:tc>
          <w:tcPr>
            <w:tcW w:w="5940" w:type="dxa"/>
            <w:vAlign w:val="center"/>
          </w:tcPr>
          <w:p w:rsidR="00FD1621" w:rsidRDefault="00FD1621" w:rsidP="00FA3AEF">
            <w:pPr>
              <w:spacing w:before="120" w:after="120"/>
            </w:pPr>
            <w: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5670" w:type="dxa"/>
          </w:tcPr>
          <w:p w:rsidR="00FD1621" w:rsidRDefault="009B5C30" w:rsidP="00FA3AEF">
            <w:pPr>
              <w:spacing w:before="120" w:after="120"/>
            </w:pPr>
            <w:r>
              <w:t>The FERC and or Pipelines, through services, should examine the issue of: 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r>
      <w:tr w:rsidR="00FD1621" w:rsidTr="00811BB6">
        <w:trPr>
          <w:cantSplit/>
        </w:trPr>
        <w:tc>
          <w:tcPr>
            <w:tcW w:w="468" w:type="dxa"/>
          </w:tcPr>
          <w:p w:rsidR="00FD1621" w:rsidRDefault="00FD1621" w:rsidP="00FA3AEF">
            <w:pPr>
              <w:spacing w:before="120" w:after="120"/>
              <w:jc w:val="center"/>
            </w:pPr>
            <w:r>
              <w:t>1</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29</w:t>
            </w:r>
          </w:p>
        </w:tc>
        <w:tc>
          <w:tcPr>
            <w:tcW w:w="5940" w:type="dxa"/>
            <w:vAlign w:val="center"/>
          </w:tcPr>
          <w:p w:rsidR="00FD1621" w:rsidRDefault="00FD1621" w:rsidP="00FA3AEF">
            <w:pPr>
              <w:spacing w:before="120" w:after="120"/>
            </w:pPr>
            <w:r>
              <w:t xml:space="preserve">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 </w:t>
            </w:r>
          </w:p>
        </w:tc>
        <w:tc>
          <w:tcPr>
            <w:tcW w:w="5670" w:type="dxa"/>
          </w:tcPr>
          <w:p w:rsidR="00FD1621" w:rsidRDefault="009B5C30" w:rsidP="00FA3AEF">
            <w:pPr>
              <w:spacing w:before="120" w:after="120"/>
            </w:pPr>
            <w:r>
              <w:t>The FERC and or Pipelines, through services, should examine the issue of:</w:t>
            </w:r>
            <w:r w:rsidR="003210DC">
              <w:t xml:space="preserve"> 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r>
      <w:tr w:rsidR="00FD1621" w:rsidTr="00811BB6">
        <w:trPr>
          <w:cantSplit/>
        </w:trPr>
        <w:tc>
          <w:tcPr>
            <w:tcW w:w="468" w:type="dxa"/>
          </w:tcPr>
          <w:p w:rsidR="00FD1621" w:rsidRDefault="00FD1621" w:rsidP="00FA3AEF">
            <w:pPr>
              <w:spacing w:before="120" w:after="120"/>
            </w:pPr>
            <w:r>
              <w:t>2</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2</w:t>
            </w:r>
          </w:p>
        </w:tc>
        <w:tc>
          <w:tcPr>
            <w:tcW w:w="5940" w:type="dxa"/>
          </w:tcPr>
          <w:p w:rsidR="00FD1621" w:rsidRDefault="00FD1621" w:rsidP="00FA3AEF">
            <w:pPr>
              <w:spacing w:before="120" w:after="120"/>
            </w:pPr>
            <w: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5670" w:type="dxa"/>
          </w:tcPr>
          <w:p w:rsidR="00FD1621" w:rsidRDefault="009B5C30" w:rsidP="001053BF">
            <w:pPr>
              <w:spacing w:before="120" w:after="120"/>
            </w:pPr>
            <w:r>
              <w:t>The FERC and or Pipelines, through services, should examine the issue of:</w:t>
            </w:r>
            <w:r w:rsidR="003210DC">
              <w:t xml:space="preserve"> Non-ratable </w:t>
            </w:r>
            <w:proofErr w:type="gramStart"/>
            <w:r w:rsidR="003210DC">
              <w:t>flexibility,</w:t>
            </w:r>
            <w:proofErr w:type="gramEnd"/>
            <w:r w:rsidR="003210DC">
              <w:t xml:space="preserve">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r>
      <w:tr w:rsidR="00FD1621" w:rsidTr="00811BB6">
        <w:trPr>
          <w:cantSplit/>
        </w:trPr>
        <w:tc>
          <w:tcPr>
            <w:tcW w:w="468" w:type="dxa"/>
          </w:tcPr>
          <w:p w:rsidR="00FD1621" w:rsidRDefault="00FD1621" w:rsidP="00FA3AEF">
            <w:pPr>
              <w:spacing w:before="120" w:after="120"/>
            </w:pPr>
            <w:r>
              <w:lastRenderedPageBreak/>
              <w:t>2</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42</w:t>
            </w:r>
          </w:p>
        </w:tc>
        <w:tc>
          <w:tcPr>
            <w:tcW w:w="5940" w:type="dxa"/>
          </w:tcPr>
          <w:p w:rsidR="00FD1621" w:rsidRDefault="00FD1621" w:rsidP="00FA3AEF">
            <w:pPr>
              <w:spacing w:before="120" w:after="120"/>
            </w:pPr>
            <w:r>
              <w:t xml:space="preserve">A field test for best-efforts scheduling may be able to give us information as to demand and utility of services supporting non-ratable service.  </w:t>
            </w:r>
          </w:p>
        </w:tc>
        <w:tc>
          <w:tcPr>
            <w:tcW w:w="5670" w:type="dxa"/>
          </w:tcPr>
          <w:p w:rsidR="00FD1621" w:rsidRDefault="009B5C30" w:rsidP="00FA3AEF">
            <w:pPr>
              <w:spacing w:before="120" w:after="120"/>
            </w:pPr>
            <w:r>
              <w:t>The FERC and or Pipelines, through services, should examine the issue of:</w:t>
            </w:r>
            <w:r w:rsidR="003210DC">
              <w:t xml:space="preserve"> A field test for best-efforts scheduling may be able to give us information as to demand and utility of services supporting non-ratable service.  </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3</w:t>
            </w:r>
          </w:p>
        </w:tc>
        <w:tc>
          <w:tcPr>
            <w:tcW w:w="5940" w:type="dxa"/>
          </w:tcPr>
          <w:p w:rsidR="00FD1621" w:rsidRDefault="00FD1621" w:rsidP="00FA3AEF">
            <w:pPr>
              <w:spacing w:before="120" w:after="120"/>
            </w:pPr>
            <w:r>
              <w:t>Performance of receipt/delivery locations – off-rate (daily/hourly)</w:t>
            </w:r>
          </w:p>
        </w:tc>
        <w:tc>
          <w:tcPr>
            <w:tcW w:w="5670" w:type="dxa"/>
          </w:tcPr>
          <w:p w:rsidR="00FD1621" w:rsidRDefault="009B5C30" w:rsidP="00FA3AEF">
            <w:pPr>
              <w:spacing w:before="120" w:after="120"/>
            </w:pPr>
            <w:r>
              <w:t>The FERC and or Pipelines, through services, should examine the issue of:</w:t>
            </w:r>
            <w:r w:rsidR="003210DC">
              <w:t xml:space="preserve"> Performance of receipt/delivery locations – off-rate (daily/hourly)</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4</w:t>
            </w:r>
          </w:p>
        </w:tc>
        <w:tc>
          <w:tcPr>
            <w:tcW w:w="5940" w:type="dxa"/>
          </w:tcPr>
          <w:p w:rsidR="00FD1621" w:rsidRDefault="00FD1621" w:rsidP="00FA3AEF">
            <w:pPr>
              <w:spacing w:before="120" w:after="120"/>
            </w:pPr>
            <w:r>
              <w:t>Redirection of net scheduled flows resulting from nominations can occur through other portions of the pipeline</w:t>
            </w:r>
          </w:p>
        </w:tc>
        <w:tc>
          <w:tcPr>
            <w:tcW w:w="5670" w:type="dxa"/>
          </w:tcPr>
          <w:p w:rsidR="00FD1621" w:rsidRDefault="009B5C30" w:rsidP="00FA3AEF">
            <w:pPr>
              <w:spacing w:before="120" w:after="120"/>
            </w:pPr>
            <w:r>
              <w:t>The FERC and or Pipelines, through services, should examine the issue of:</w:t>
            </w:r>
            <w:r w:rsidR="003210DC">
              <w:t xml:space="preserve"> Redirection of net scheduled flows resulting from nominations can occur through other portions of the pipeline</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5</w:t>
            </w:r>
          </w:p>
        </w:tc>
        <w:tc>
          <w:tcPr>
            <w:tcW w:w="5940" w:type="dxa"/>
          </w:tcPr>
          <w:p w:rsidR="00FD1621" w:rsidRDefault="00FD1621" w:rsidP="00FA3AEF">
            <w:pPr>
              <w:spacing w:before="120" w:after="120"/>
            </w:pPr>
            <w:r>
              <w:t>Interdependent capacity changes due to location of receipts/deliveries</w:t>
            </w:r>
          </w:p>
        </w:tc>
        <w:tc>
          <w:tcPr>
            <w:tcW w:w="5670" w:type="dxa"/>
          </w:tcPr>
          <w:p w:rsidR="00FD1621" w:rsidRDefault="009B5C30" w:rsidP="00FA3AEF">
            <w:pPr>
              <w:spacing w:before="120" w:after="120"/>
            </w:pPr>
            <w:r>
              <w:t>The FERC and or Pipelines, through services, should examine the issue of:</w:t>
            </w:r>
            <w:r w:rsidR="003210DC">
              <w:t xml:space="preserve"> Interdependent capacity changes due to location of receipts/deliveries</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6</w:t>
            </w:r>
          </w:p>
        </w:tc>
        <w:tc>
          <w:tcPr>
            <w:tcW w:w="5940" w:type="dxa"/>
          </w:tcPr>
          <w:p w:rsidR="00FD1621" w:rsidRDefault="00FD1621" w:rsidP="00FA3AEF">
            <w:pPr>
              <w:spacing w:before="120" w:after="120"/>
            </w:pPr>
            <w:r>
              <w:t>Impact of weather on supply/demand and compressor efficiencies</w:t>
            </w:r>
          </w:p>
        </w:tc>
        <w:tc>
          <w:tcPr>
            <w:tcW w:w="5670" w:type="dxa"/>
          </w:tcPr>
          <w:p w:rsidR="00FD1621" w:rsidRDefault="009B5C30" w:rsidP="00FA3AEF">
            <w:pPr>
              <w:spacing w:before="120" w:after="120"/>
            </w:pPr>
            <w:r>
              <w:t>The FERC and or Pipelines, through services, should examine the issue of:</w:t>
            </w:r>
            <w:r w:rsidR="003210DC">
              <w:t xml:space="preserve"> Impact of weather on supply/demand and compressor efficiencies</w:t>
            </w:r>
          </w:p>
        </w:tc>
      </w:tr>
      <w:tr w:rsidR="00FD1621" w:rsidTr="00811BB6">
        <w:trPr>
          <w:cantSplit/>
          <w:trHeight w:val="935"/>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7</w:t>
            </w:r>
          </w:p>
        </w:tc>
        <w:tc>
          <w:tcPr>
            <w:tcW w:w="5940" w:type="dxa"/>
          </w:tcPr>
          <w:p w:rsidR="00FD1621" w:rsidRDefault="00FD1621" w:rsidP="00FA3AEF">
            <w:pPr>
              <w:spacing w:before="120" w:after="120"/>
            </w:pPr>
            <w:r>
              <w:t>Pipeline line pack, pipeline storage, and third party storage(including LDC storage) levels/location in relation to supply/demand</w:t>
            </w:r>
          </w:p>
        </w:tc>
        <w:tc>
          <w:tcPr>
            <w:tcW w:w="5670" w:type="dxa"/>
          </w:tcPr>
          <w:p w:rsidR="00FD1621" w:rsidRDefault="009B5C30" w:rsidP="00FA3AEF">
            <w:pPr>
              <w:spacing w:before="120" w:after="120"/>
            </w:pPr>
            <w:r>
              <w:t>The FERC and or Pipelines, through services, should examine the issue of:</w:t>
            </w:r>
            <w:r w:rsidR="003210DC">
              <w:t xml:space="preserve"> Pipeline line pack, pipeline storage, and third party storage(including LDC storage) levels/location in relation to supply/demand</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8</w:t>
            </w:r>
          </w:p>
        </w:tc>
        <w:tc>
          <w:tcPr>
            <w:tcW w:w="5940" w:type="dxa"/>
          </w:tcPr>
          <w:p w:rsidR="00FD1621" w:rsidRDefault="00FD1621" w:rsidP="00FA3AEF">
            <w:pPr>
              <w:spacing w:before="120" w:after="120"/>
            </w:pPr>
            <w:r>
              <w:t>Gas quality fluctuation – heat content, etc.</w:t>
            </w:r>
          </w:p>
        </w:tc>
        <w:tc>
          <w:tcPr>
            <w:tcW w:w="5670" w:type="dxa"/>
          </w:tcPr>
          <w:p w:rsidR="00FD1621" w:rsidRDefault="009B5C30" w:rsidP="00FA3AEF">
            <w:pPr>
              <w:spacing w:before="120" w:after="120"/>
            </w:pPr>
            <w:r>
              <w:t>The FERC and or Pipelines, through services, should examine the issue of:</w:t>
            </w:r>
            <w:r w:rsidR="003210DC">
              <w:t xml:space="preserve"> Gas quality fluctuation – heat content, etc.</w:t>
            </w:r>
          </w:p>
        </w:tc>
      </w:tr>
      <w:tr w:rsidR="00FD1621" w:rsidTr="00811BB6">
        <w:trPr>
          <w:cantSplit/>
        </w:trPr>
        <w:tc>
          <w:tcPr>
            <w:tcW w:w="468" w:type="dxa"/>
          </w:tcPr>
          <w:p w:rsidR="00FD1621" w:rsidRDefault="00FD1621" w:rsidP="00FA3AEF">
            <w:pPr>
              <w:spacing w:before="120" w:after="120"/>
            </w:pPr>
            <w:r>
              <w:lastRenderedPageBreak/>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9</w:t>
            </w:r>
          </w:p>
        </w:tc>
        <w:tc>
          <w:tcPr>
            <w:tcW w:w="5940" w:type="dxa"/>
          </w:tcPr>
          <w:p w:rsidR="00FD1621" w:rsidRDefault="00FD1621" w:rsidP="00FA3AEF">
            <w:pPr>
              <w:spacing w:before="120" w:after="120"/>
            </w:pPr>
            <w:r>
              <w:t>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c>
          <w:tcPr>
            <w:tcW w:w="5670" w:type="dxa"/>
          </w:tcPr>
          <w:p w:rsidR="00FD1621" w:rsidRDefault="009B5C30" w:rsidP="00FA3AEF">
            <w:pPr>
              <w:spacing w:before="120" w:after="120"/>
            </w:pPr>
            <w:r>
              <w:t>The FERC and or Pipelines, through services, should examine the issue of:</w:t>
            </w:r>
            <w:r w:rsidR="003210DC">
              <w:t xml:space="preserve"> Backhaul/displacement reliability.  Pipelines evaluate historic patterns of backhaul/displacement transactions to determine whether such transactions can be relied upon during evaluation of the following scheduling cycles. (E.g.: Can the backhaul happen? Can you keep relying on it and does it create space for forward haul?)</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10</w:t>
            </w:r>
          </w:p>
        </w:tc>
        <w:tc>
          <w:tcPr>
            <w:tcW w:w="5940" w:type="dxa"/>
          </w:tcPr>
          <w:p w:rsidR="00FD1621" w:rsidRDefault="00FD1621" w:rsidP="00FA3AEF">
            <w:pPr>
              <w:spacing w:before="120" w:after="120"/>
            </w:pPr>
            <w:r>
              <w:t>Maintenance activities</w:t>
            </w:r>
          </w:p>
        </w:tc>
        <w:tc>
          <w:tcPr>
            <w:tcW w:w="5670" w:type="dxa"/>
          </w:tcPr>
          <w:p w:rsidR="00FD1621" w:rsidRDefault="009B5C30" w:rsidP="00FA3AEF">
            <w:pPr>
              <w:spacing w:before="120" w:after="120"/>
            </w:pPr>
            <w:r>
              <w:t>The FERC and or Pipelines, through services, should examine the issue of:</w:t>
            </w:r>
            <w:r w:rsidR="003210DC">
              <w:t xml:space="preserve"> Maintenance activities</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12</w:t>
            </w:r>
          </w:p>
        </w:tc>
        <w:tc>
          <w:tcPr>
            <w:tcW w:w="5940" w:type="dxa"/>
          </w:tcPr>
          <w:p w:rsidR="00FD1621" w:rsidRDefault="00FD1621" w:rsidP="00FA3AEF">
            <w:pPr>
              <w:spacing w:before="120" w:after="120"/>
            </w:pPr>
            <w:r>
              <w:t>Order of applying reductions (optimization) – location v. segments, order of scheduling segments, timing of the balancing</w:t>
            </w:r>
          </w:p>
        </w:tc>
        <w:tc>
          <w:tcPr>
            <w:tcW w:w="5670" w:type="dxa"/>
          </w:tcPr>
          <w:p w:rsidR="00FD1621" w:rsidRDefault="009B5C30" w:rsidP="00FA3AEF">
            <w:pPr>
              <w:spacing w:before="120" w:after="120"/>
            </w:pPr>
            <w:r>
              <w:t>The FERC and or Pipelines, through services, should examine the issue of:</w:t>
            </w:r>
            <w:r w:rsidR="003210DC">
              <w:t xml:space="preserve"> Order of applying reductions (optimization) – location v. segments, order of scheduling segments, timing of the balancing</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13</w:t>
            </w:r>
          </w:p>
        </w:tc>
        <w:tc>
          <w:tcPr>
            <w:tcW w:w="5940" w:type="dxa"/>
          </w:tcPr>
          <w:p w:rsidR="00FD1621" w:rsidRDefault="00FD1621" w:rsidP="00FA3AEF">
            <w:pPr>
              <w:spacing w:before="120" w:after="120"/>
            </w:pPr>
            <w:r>
              <w:t xml:space="preserve"> Identification of opportunities for imbalance management</w:t>
            </w:r>
          </w:p>
        </w:tc>
        <w:tc>
          <w:tcPr>
            <w:tcW w:w="5670" w:type="dxa"/>
          </w:tcPr>
          <w:p w:rsidR="00FD1621" w:rsidRDefault="009B5C30" w:rsidP="00FA3AEF">
            <w:pPr>
              <w:spacing w:before="120" w:after="120"/>
            </w:pPr>
            <w:r>
              <w:t>The FERC and or Pipelines, through services, should examine the issue of:</w:t>
            </w:r>
            <w:r w:rsidR="003210DC">
              <w:t xml:space="preserve"> Identification of opportunities for imbalance management</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14</w:t>
            </w:r>
          </w:p>
        </w:tc>
        <w:tc>
          <w:tcPr>
            <w:tcW w:w="5940" w:type="dxa"/>
          </w:tcPr>
          <w:p w:rsidR="00FD1621" w:rsidRDefault="00FD1621" w:rsidP="00FA3AEF">
            <w:pPr>
              <w:spacing w:before="120" w:after="120"/>
            </w:pPr>
            <w:r>
              <w:t>Balancing of pools</w:t>
            </w:r>
          </w:p>
        </w:tc>
        <w:tc>
          <w:tcPr>
            <w:tcW w:w="5670" w:type="dxa"/>
          </w:tcPr>
          <w:p w:rsidR="00FD1621" w:rsidRDefault="009B5C30" w:rsidP="00FA3AEF">
            <w:pPr>
              <w:spacing w:before="120" w:after="120"/>
            </w:pPr>
            <w:r>
              <w:t>The FERC and or Pipelines, through services, should examine the issue of:</w:t>
            </w:r>
            <w:r w:rsidR="003210DC">
              <w:t xml:space="preserve"> Balancing of pools</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15</w:t>
            </w:r>
          </w:p>
        </w:tc>
        <w:tc>
          <w:tcPr>
            <w:tcW w:w="5940" w:type="dxa"/>
          </w:tcPr>
          <w:p w:rsidR="00FD1621" w:rsidRDefault="00FD1621" w:rsidP="00FA3AEF">
            <w:pPr>
              <w:spacing w:before="120" w:after="120"/>
            </w:pPr>
            <w:r>
              <w:t>Flexibility of EPSQ, its level and when it should apply</w:t>
            </w:r>
          </w:p>
        </w:tc>
        <w:tc>
          <w:tcPr>
            <w:tcW w:w="5670" w:type="dxa"/>
          </w:tcPr>
          <w:p w:rsidR="00FD1621" w:rsidRDefault="009B5C30" w:rsidP="00FA3AEF">
            <w:pPr>
              <w:spacing w:before="120" w:after="120"/>
            </w:pPr>
            <w:r>
              <w:t>The FERC and or Pipelines, through services, should examine the issue of:</w:t>
            </w:r>
            <w:r w:rsidR="003210DC">
              <w:t xml:space="preserve"> Flexibility of EPSQ, its level and when it should apply</w:t>
            </w:r>
          </w:p>
        </w:tc>
      </w:tr>
      <w:tr w:rsidR="00FD1621" w:rsidTr="00811BB6">
        <w:trPr>
          <w:cantSplit/>
        </w:trPr>
        <w:tc>
          <w:tcPr>
            <w:tcW w:w="468" w:type="dxa"/>
          </w:tcPr>
          <w:p w:rsidR="00FD1621" w:rsidRDefault="00FD1621" w:rsidP="00FA3AEF">
            <w:pPr>
              <w:spacing w:before="120" w:after="120"/>
            </w:pPr>
            <w:r>
              <w:t>3</w:t>
            </w:r>
          </w:p>
        </w:tc>
        <w:tc>
          <w:tcPr>
            <w:tcW w:w="630" w:type="dxa"/>
          </w:tcPr>
          <w:p w:rsidR="00FD1621" w:rsidRPr="0062117A" w:rsidRDefault="00FD1621" w:rsidP="00FA3AEF">
            <w:pPr>
              <w:spacing w:before="120" w:after="120"/>
            </w:pPr>
          </w:p>
        </w:tc>
        <w:tc>
          <w:tcPr>
            <w:tcW w:w="450" w:type="dxa"/>
          </w:tcPr>
          <w:p w:rsidR="00FD1621" w:rsidRDefault="00FD1621" w:rsidP="00FA3AEF">
            <w:pPr>
              <w:spacing w:before="120" w:after="120"/>
            </w:pPr>
            <w:r>
              <w:t>24</w:t>
            </w:r>
          </w:p>
        </w:tc>
        <w:tc>
          <w:tcPr>
            <w:tcW w:w="5940" w:type="dxa"/>
          </w:tcPr>
          <w:p w:rsidR="00FD1621" w:rsidRDefault="00FD1621" w:rsidP="00FA3AEF">
            <w:pPr>
              <w:spacing w:before="120" w:after="120"/>
            </w:pPr>
            <w:r>
              <w:t>Operational risk assessment.  Some grid operators take into consideration impacts of gas scheduling and nomination on the electric grid through routine risk assessments.</w:t>
            </w:r>
          </w:p>
        </w:tc>
        <w:tc>
          <w:tcPr>
            <w:tcW w:w="5670" w:type="dxa"/>
          </w:tcPr>
          <w:p w:rsidR="00FD1621" w:rsidRDefault="009B5C30" w:rsidP="00FA3AEF">
            <w:pPr>
              <w:spacing w:before="120" w:after="120"/>
            </w:pPr>
            <w:r>
              <w:t>The FERC and or Pipelines, through services, should examine the issue of:</w:t>
            </w:r>
            <w:r w:rsidR="003210DC">
              <w:t xml:space="preserve"> Operational risk assessment.  Some grid operators take into consideration impacts of gas scheduling and nomination on the electric grid through routine risk assessments.</w:t>
            </w:r>
          </w:p>
        </w:tc>
      </w:tr>
      <w:tr w:rsidR="00F51536" w:rsidTr="00811BB6">
        <w:trPr>
          <w:cantSplit/>
        </w:trPr>
        <w:tc>
          <w:tcPr>
            <w:tcW w:w="468" w:type="dxa"/>
          </w:tcPr>
          <w:p w:rsidR="00F51536" w:rsidRDefault="00F51536" w:rsidP="00FA3AEF">
            <w:pPr>
              <w:spacing w:before="120" w:after="120"/>
              <w:jc w:val="center"/>
            </w:pPr>
            <w:r>
              <w:t>4</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16</w:t>
            </w:r>
          </w:p>
        </w:tc>
        <w:tc>
          <w:tcPr>
            <w:tcW w:w="5940" w:type="dxa"/>
          </w:tcPr>
          <w:p w:rsidR="00F51536" w:rsidRDefault="00F51536" w:rsidP="00FA3AEF">
            <w:pPr>
              <w:spacing w:before="120" w:after="120"/>
            </w:pPr>
            <w:r>
              <w:t>Application of various NAESB versions and support provided by pipelines for several versions</w:t>
            </w:r>
          </w:p>
        </w:tc>
        <w:tc>
          <w:tcPr>
            <w:tcW w:w="5670" w:type="dxa"/>
          </w:tcPr>
          <w:p w:rsidR="00F51536" w:rsidRDefault="009B5C30" w:rsidP="00FA3AEF">
            <w:pPr>
              <w:spacing w:before="120" w:after="120"/>
            </w:pPr>
            <w:r>
              <w:t>The FERC and or Pipelines, through services, should examine the issue of:</w:t>
            </w:r>
            <w:r w:rsidR="003210DC">
              <w:t xml:space="preserve"> Application of various NAESB versions and support provided by pipelines for several versions</w:t>
            </w:r>
          </w:p>
        </w:tc>
      </w:tr>
      <w:tr w:rsidR="00F51536" w:rsidTr="00811BB6">
        <w:trPr>
          <w:cantSplit/>
        </w:trPr>
        <w:tc>
          <w:tcPr>
            <w:tcW w:w="468" w:type="dxa"/>
          </w:tcPr>
          <w:p w:rsidR="00F51536" w:rsidRDefault="00F51536" w:rsidP="00FA3AEF">
            <w:pPr>
              <w:spacing w:before="120" w:after="120"/>
              <w:jc w:val="center"/>
            </w:pPr>
            <w:r>
              <w:lastRenderedPageBreak/>
              <w:t>5</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56</w:t>
            </w:r>
          </w:p>
        </w:tc>
        <w:tc>
          <w:tcPr>
            <w:tcW w:w="5940" w:type="dxa"/>
          </w:tcPr>
          <w:p w:rsidR="00F51536" w:rsidRDefault="00F51536" w:rsidP="00FA3AEF">
            <w:pPr>
              <w:spacing w:before="120" w:after="120"/>
            </w:pPr>
            <w:r>
              <w:t>Compress confirmations by expediting verification of nominations.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Compress confirmations by expediting verification of nominations.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28</w:t>
            </w:r>
          </w:p>
        </w:tc>
        <w:tc>
          <w:tcPr>
            <w:tcW w:w="5940" w:type="dxa"/>
          </w:tcPr>
          <w:p w:rsidR="00F51536" w:rsidRDefault="00F51536" w:rsidP="00FA3AEF">
            <w:pPr>
              <w:spacing w:before="120" w:after="120"/>
            </w:pPr>
            <w:r>
              <w:t>Tight execution windows for gas markets</w:t>
            </w:r>
          </w:p>
        </w:tc>
        <w:tc>
          <w:tcPr>
            <w:tcW w:w="5670" w:type="dxa"/>
          </w:tcPr>
          <w:p w:rsidR="00F51536" w:rsidRDefault="009B5C30" w:rsidP="00FA3AEF">
            <w:pPr>
              <w:spacing w:before="120" w:after="120"/>
            </w:pPr>
            <w:r>
              <w:t>The FERC and or Pipelines, through services, should examine the issue of:</w:t>
            </w:r>
            <w:r w:rsidR="003210DC">
              <w:t xml:space="preserve"> Tight execution windows for gas markets</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30</w:t>
            </w:r>
          </w:p>
        </w:tc>
        <w:tc>
          <w:tcPr>
            <w:tcW w:w="5940" w:type="dxa"/>
          </w:tcPr>
          <w:p w:rsidR="00F51536" w:rsidRDefault="00F51536" w:rsidP="00FA3AEF">
            <w:pPr>
              <w:spacing w:before="120" w:after="120"/>
            </w:pPr>
            <w:r>
              <w:t xml:space="preserve">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 </w:t>
            </w:r>
          </w:p>
        </w:tc>
        <w:tc>
          <w:tcPr>
            <w:tcW w:w="5670" w:type="dxa"/>
          </w:tcPr>
          <w:p w:rsidR="00F51536" w:rsidRDefault="009B5C30" w:rsidP="00FA3AEF">
            <w:pPr>
              <w:spacing w:before="120" w:after="120"/>
            </w:pPr>
            <w:r>
              <w:t>The FERC and or Pipelines, through services, should examine the issue of:</w:t>
            </w:r>
            <w:r w:rsidR="003210DC">
              <w:t xml:space="preserve"> 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31</w:t>
            </w:r>
          </w:p>
        </w:tc>
        <w:tc>
          <w:tcPr>
            <w:tcW w:w="5940" w:type="dxa"/>
          </w:tcPr>
          <w:p w:rsidR="00F51536" w:rsidRDefault="00F51536" w:rsidP="00FA3AEF">
            <w:pPr>
              <w:spacing w:before="120" w:after="120"/>
            </w:pPr>
            <w:r>
              <w:t>Coordination/timing challenges</w:t>
            </w:r>
          </w:p>
        </w:tc>
        <w:tc>
          <w:tcPr>
            <w:tcW w:w="5670" w:type="dxa"/>
          </w:tcPr>
          <w:p w:rsidR="00F51536" w:rsidRDefault="009B5C30" w:rsidP="00FA3AEF">
            <w:pPr>
              <w:spacing w:before="120" w:after="120"/>
            </w:pPr>
            <w:r>
              <w:t>The FERC and or Pipelines, through services, should examine the issue of:</w:t>
            </w:r>
            <w:r w:rsidR="003210DC">
              <w:t xml:space="preserve"> Coordination/timing challenges</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32</w:t>
            </w:r>
          </w:p>
        </w:tc>
        <w:tc>
          <w:tcPr>
            <w:tcW w:w="5940" w:type="dxa"/>
          </w:tcPr>
          <w:p w:rsidR="00F51536" w:rsidRDefault="00F51536" w:rsidP="00FA3AEF">
            <w:pPr>
              <w:spacing w:before="120" w:after="120"/>
            </w:pPr>
            <w:r>
              <w:t>Forcing pipelines to process quicker may decrease operational flexibility because there may be less time to determine if interruptible transportation is available.  Shorter timeframes may inadvertently introduce too much rigidity.</w:t>
            </w:r>
          </w:p>
        </w:tc>
        <w:tc>
          <w:tcPr>
            <w:tcW w:w="5670" w:type="dxa"/>
          </w:tcPr>
          <w:p w:rsidR="00F51536" w:rsidRDefault="009B5C30" w:rsidP="00FA3AEF">
            <w:pPr>
              <w:spacing w:before="120" w:after="120"/>
            </w:pPr>
            <w:r>
              <w:t>The FERC and or Pipelines, through services, should examine the issue of:</w:t>
            </w:r>
            <w:r w:rsidR="003210DC">
              <w:t xml:space="preserve"> Forcing pipelines to process quicker may decrease operational flexibility because there may be less time to determine if interruptible transportation is available.  Shorter timeframes may inadvertently introduce too much rigidity.</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49</w:t>
            </w:r>
          </w:p>
        </w:tc>
        <w:tc>
          <w:tcPr>
            <w:tcW w:w="5940" w:type="dxa"/>
          </w:tcPr>
          <w:p w:rsidR="00F51536" w:rsidRDefault="00F51536" w:rsidP="00FA3AEF">
            <w:pPr>
              <w:spacing w:before="120" w:after="120"/>
            </w:pPr>
            <w:r>
              <w:t xml:space="preserve">As the electric system continues to evolve into a </w:t>
            </w:r>
            <w:proofErr w:type="spellStart"/>
            <w:r>
              <w:t>peakier</w:t>
            </w:r>
            <w:proofErr w:type="spellEnd"/>
            <w:r>
              <w:t xml:space="preserve"> and a more renewable grid, the need for enhanced scheduling and flexibility from the gas transportation system will grow. </w:t>
            </w:r>
          </w:p>
        </w:tc>
        <w:tc>
          <w:tcPr>
            <w:tcW w:w="5670" w:type="dxa"/>
          </w:tcPr>
          <w:p w:rsidR="00F51536" w:rsidRDefault="009B5C30" w:rsidP="00FA3AEF">
            <w:pPr>
              <w:spacing w:before="120" w:after="120"/>
            </w:pPr>
            <w:r>
              <w:t>The FERC and or Pipelines, through services, should examine the issue of:</w:t>
            </w:r>
            <w:r w:rsidR="003210DC">
              <w:t xml:space="preserve"> As the electric system continues to evolve into a </w:t>
            </w:r>
            <w:proofErr w:type="spellStart"/>
            <w:r w:rsidR="003210DC">
              <w:t>peakier</w:t>
            </w:r>
            <w:proofErr w:type="spellEnd"/>
            <w:r w:rsidR="003210DC">
              <w:t xml:space="preserve"> and a more renewable grid, the need for enhanced scheduling and flexibility from the gas transportation system will grow.</w:t>
            </w:r>
          </w:p>
        </w:tc>
      </w:tr>
      <w:tr w:rsidR="00F51536" w:rsidTr="00811BB6">
        <w:trPr>
          <w:cantSplit/>
        </w:trPr>
        <w:tc>
          <w:tcPr>
            <w:tcW w:w="468" w:type="dxa"/>
          </w:tcPr>
          <w:p w:rsidR="00F51536" w:rsidRDefault="00F51536" w:rsidP="00FA3AEF">
            <w:pPr>
              <w:spacing w:before="120" w:after="120"/>
              <w:jc w:val="center"/>
            </w:pPr>
            <w:r>
              <w:lastRenderedPageBreak/>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52</w:t>
            </w:r>
          </w:p>
        </w:tc>
        <w:tc>
          <w:tcPr>
            <w:tcW w:w="5940" w:type="dxa"/>
          </w:tcPr>
          <w:p w:rsidR="00F51536" w:rsidRDefault="00F51536" w:rsidP="00FA3AEF">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How to address less time to validate nomination data that would not lead to errors or legal risks?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53</w:t>
            </w:r>
          </w:p>
        </w:tc>
        <w:tc>
          <w:tcPr>
            <w:tcW w:w="5940" w:type="dxa"/>
          </w:tcPr>
          <w:p w:rsidR="00F51536" w:rsidRDefault="00F51536" w:rsidP="00FA3AEF">
            <w:pPr>
              <w:spacing w:before="120" w:after="120"/>
            </w:pPr>
            <w:r>
              <w:t>How to address tighter deadlines that hamper gas controllers</w:t>
            </w:r>
            <w:r w:rsidR="00811BB6">
              <w:t>’</w:t>
            </w:r>
            <w:r>
              <w:t xml:space="preserve"> ability to account for shifts in volume.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How to address tighter deadlines that hamper gas controllers’ ability to account for shifts in volume.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54</w:t>
            </w:r>
          </w:p>
        </w:tc>
        <w:tc>
          <w:tcPr>
            <w:tcW w:w="5940" w:type="dxa"/>
          </w:tcPr>
          <w:p w:rsidR="00F51536" w:rsidRDefault="00F51536" w:rsidP="00FA3AEF">
            <w:pPr>
              <w:spacing w:before="120" w:after="120"/>
            </w:pPr>
            <w: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jc w:val="center"/>
            </w:pPr>
            <w:r>
              <w:t>6</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58</w:t>
            </w:r>
          </w:p>
        </w:tc>
        <w:tc>
          <w:tcPr>
            <w:tcW w:w="5940" w:type="dxa"/>
          </w:tcPr>
          <w:p w:rsidR="00F51536" w:rsidRDefault="00F51536" w:rsidP="00FA3AEF">
            <w:pPr>
              <w:spacing w:before="120" w:after="120"/>
            </w:pPr>
            <w:r>
              <w:t>Are there “lessons learned” in the electric industry that can benefit the gas industry as it considers the feasibility of modifying the scheduling process to make it more efficient?</w:t>
            </w:r>
          </w:p>
        </w:tc>
        <w:tc>
          <w:tcPr>
            <w:tcW w:w="5670" w:type="dxa"/>
          </w:tcPr>
          <w:p w:rsidR="00F51536" w:rsidRDefault="009B5C30" w:rsidP="00FA3AEF">
            <w:pPr>
              <w:spacing w:before="120" w:after="120"/>
            </w:pPr>
            <w:r>
              <w:t>The FERC and or Pipelines, through services, should examine the issue of:</w:t>
            </w:r>
            <w:r w:rsidR="003210DC">
              <w:t xml:space="preserve"> Are there “lessons learned” in the electric industry that can benefit the gas industry as it considers the feasibility of modifying the scheduling process to make it more efficient?</w:t>
            </w:r>
          </w:p>
        </w:tc>
      </w:tr>
      <w:tr w:rsidR="00F51536" w:rsidTr="00811BB6">
        <w:trPr>
          <w:cantSplit/>
        </w:trPr>
        <w:tc>
          <w:tcPr>
            <w:tcW w:w="468" w:type="dxa"/>
          </w:tcPr>
          <w:p w:rsidR="00F51536" w:rsidRDefault="00F51536" w:rsidP="00FA3AEF">
            <w:pPr>
              <w:spacing w:before="120" w:after="120"/>
            </w:pPr>
            <w:r>
              <w:t>9</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25</w:t>
            </w:r>
          </w:p>
        </w:tc>
        <w:tc>
          <w:tcPr>
            <w:tcW w:w="5940" w:type="dxa"/>
          </w:tcPr>
          <w:p w:rsidR="00F51536" w:rsidRDefault="00F51536" w:rsidP="00FA3AEF">
            <w:pPr>
              <w:spacing w:before="120" w:after="120"/>
            </w:pPr>
            <w:r>
              <w:t>Communication protocols with LDCs, gas generator operators and natural gas marketing companies</w:t>
            </w:r>
          </w:p>
        </w:tc>
        <w:tc>
          <w:tcPr>
            <w:tcW w:w="5670" w:type="dxa"/>
          </w:tcPr>
          <w:p w:rsidR="00F51536" w:rsidRDefault="009B5C30" w:rsidP="00FA3AEF">
            <w:pPr>
              <w:spacing w:before="120" w:after="120"/>
            </w:pPr>
            <w:r>
              <w:t>The FERC and or Pipelines, through services, should examine the issue of:</w:t>
            </w:r>
            <w:r w:rsidR="003210DC">
              <w:t xml:space="preserve"> Communication protocols with LDCs, gas generator operators and natural gas marketing companies</w:t>
            </w:r>
          </w:p>
        </w:tc>
      </w:tr>
      <w:tr w:rsidR="00F51536" w:rsidTr="00811BB6">
        <w:trPr>
          <w:cantSplit/>
        </w:trPr>
        <w:tc>
          <w:tcPr>
            <w:tcW w:w="468" w:type="dxa"/>
          </w:tcPr>
          <w:p w:rsidR="00F51536" w:rsidRDefault="00F51536" w:rsidP="00FA3AEF">
            <w:pPr>
              <w:spacing w:before="120" w:after="120"/>
            </w:pPr>
            <w:r>
              <w:t>9</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26</w:t>
            </w:r>
          </w:p>
        </w:tc>
        <w:tc>
          <w:tcPr>
            <w:tcW w:w="5940" w:type="dxa"/>
          </w:tcPr>
          <w:p w:rsidR="00F51536" w:rsidRDefault="00F51536" w:rsidP="00FA3AEF">
            <w:pPr>
              <w:spacing w:before="120" w:after="120"/>
            </w:pPr>
            <w:r>
              <w:t>Improve efficiency of critical information sharing (related to items 1 and 2)</w:t>
            </w:r>
          </w:p>
        </w:tc>
        <w:tc>
          <w:tcPr>
            <w:tcW w:w="5670" w:type="dxa"/>
          </w:tcPr>
          <w:p w:rsidR="00F51536" w:rsidRDefault="009B5C30" w:rsidP="00FA3AEF">
            <w:pPr>
              <w:spacing w:before="120" w:after="120"/>
            </w:pPr>
            <w:r>
              <w:t>The FERC and or Pipelines, through services, should examine the issue of:</w:t>
            </w:r>
            <w:r w:rsidR="003210DC">
              <w:t xml:space="preserve"> Improve efficiency of critical information sharing (related to items 1 and 2)</w:t>
            </w:r>
          </w:p>
        </w:tc>
      </w:tr>
      <w:tr w:rsidR="00F51536" w:rsidTr="00811BB6">
        <w:trPr>
          <w:cantSplit/>
        </w:trPr>
        <w:tc>
          <w:tcPr>
            <w:tcW w:w="468" w:type="dxa"/>
          </w:tcPr>
          <w:p w:rsidR="00F51536" w:rsidRDefault="00F51536" w:rsidP="00FA3AEF">
            <w:pPr>
              <w:spacing w:before="120" w:after="120"/>
            </w:pPr>
            <w:r>
              <w:t>10</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27</w:t>
            </w:r>
          </w:p>
        </w:tc>
        <w:tc>
          <w:tcPr>
            <w:tcW w:w="5940" w:type="dxa"/>
          </w:tcPr>
          <w:p w:rsidR="00F51536" w:rsidRDefault="00F51536" w:rsidP="00FA3AEF">
            <w:pPr>
              <w:spacing w:before="120" w:after="120"/>
            </w:pPr>
            <w:r>
              <w:t>Timing and Processing Times for Day Ahead energy markets are different across electric markets</w:t>
            </w:r>
          </w:p>
        </w:tc>
        <w:tc>
          <w:tcPr>
            <w:tcW w:w="5670" w:type="dxa"/>
          </w:tcPr>
          <w:p w:rsidR="00F51536" w:rsidRDefault="009B5C30" w:rsidP="00FA3AEF">
            <w:pPr>
              <w:spacing w:before="120" w:after="120"/>
            </w:pPr>
            <w:r>
              <w:t>The FERC and or Pipelines, through services, should examine the issue of:</w:t>
            </w:r>
            <w:r w:rsidR="003210DC">
              <w:t xml:space="preserve"> Timing and Processing Times for Day Ahead energy markets are different across electric markets</w:t>
            </w:r>
          </w:p>
        </w:tc>
      </w:tr>
      <w:tr w:rsidR="00F51536" w:rsidTr="00811BB6">
        <w:trPr>
          <w:cantSplit/>
        </w:trPr>
        <w:tc>
          <w:tcPr>
            <w:tcW w:w="468" w:type="dxa"/>
          </w:tcPr>
          <w:p w:rsidR="00F51536" w:rsidRDefault="00F51536" w:rsidP="00FA3AEF">
            <w:pPr>
              <w:spacing w:before="120" w:after="120"/>
            </w:pPr>
            <w:r>
              <w:lastRenderedPageBreak/>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42</w:t>
            </w:r>
          </w:p>
        </w:tc>
        <w:tc>
          <w:tcPr>
            <w:tcW w:w="5940" w:type="dxa"/>
          </w:tcPr>
          <w:p w:rsidR="00F51536" w:rsidRDefault="00F51536" w:rsidP="00FA3AEF">
            <w:pPr>
              <w:spacing w:before="120" w:after="120"/>
            </w:pPr>
            <w:r>
              <w:t xml:space="preserve">A field test for best-efforts scheduling may be able to give us information as to demand and utility of services supporting non-ratable service.  </w:t>
            </w:r>
          </w:p>
        </w:tc>
        <w:tc>
          <w:tcPr>
            <w:tcW w:w="5670" w:type="dxa"/>
          </w:tcPr>
          <w:p w:rsidR="00F51536" w:rsidRDefault="009B5C30" w:rsidP="00FA3AEF">
            <w:pPr>
              <w:spacing w:before="120" w:after="120"/>
            </w:pPr>
            <w:r>
              <w:t>The FERC and or Pipelines, through services, should examine the issue of:</w:t>
            </w:r>
            <w:r w:rsidR="003210DC">
              <w:t xml:space="preserve"> A field test for best-efforts scheduling may be able to give us information as to demand and utility of services supporting non-ratable service.  </w:t>
            </w:r>
          </w:p>
        </w:tc>
      </w:tr>
      <w:tr w:rsidR="00F51536" w:rsidTr="00811BB6">
        <w:trPr>
          <w:cantSplit/>
        </w:trPr>
        <w:tc>
          <w:tcPr>
            <w:tcW w:w="468" w:type="dxa"/>
          </w:tcPr>
          <w:p w:rsidR="00F51536" w:rsidRDefault="00F51536" w:rsidP="00FA3AEF">
            <w:pPr>
              <w:spacing w:before="120" w:after="120"/>
            </w:pPr>
            <w:r>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50</w:t>
            </w:r>
          </w:p>
        </w:tc>
        <w:tc>
          <w:tcPr>
            <w:tcW w:w="5940" w:type="dxa"/>
          </w:tcPr>
          <w:p w:rsidR="00F51536" w:rsidRDefault="00F51536" w:rsidP="00FA3AEF">
            <w:pPr>
              <w:spacing w:before="120" w:after="120"/>
            </w:pPr>
            <w: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How to support through </w:t>
            </w:r>
            <w:proofErr w:type="gramStart"/>
            <w:r w:rsidR="003210DC">
              <w:t>efficient  scheduling</w:t>
            </w:r>
            <w:proofErr w:type="gramEnd"/>
            <w:r w:rsidR="003210DC">
              <w:t>, a better coordination of gas supplies, transport services, ISOs and RTOs needs and needs of power generators?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keepNext/>
              <w:spacing w:before="120" w:after="120"/>
            </w:pPr>
            <w:r>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51</w:t>
            </w:r>
          </w:p>
        </w:tc>
        <w:tc>
          <w:tcPr>
            <w:tcW w:w="5940" w:type="dxa"/>
          </w:tcPr>
          <w:p w:rsidR="00F51536" w:rsidRDefault="00F51536" w:rsidP="00FA3AEF">
            <w:pPr>
              <w:spacing w:before="120" w:after="120"/>
            </w:pPr>
            <w:r>
              <w:t>Through efficient nominations and scheduling, addressing service interruptions in the supply chain.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Through efficient nominations and scheduling, addressing service interruptions in the supply chain.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pPr>
            <w:r>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52</w:t>
            </w:r>
          </w:p>
        </w:tc>
        <w:tc>
          <w:tcPr>
            <w:tcW w:w="5940" w:type="dxa"/>
          </w:tcPr>
          <w:p w:rsidR="00F51536" w:rsidRDefault="00F51536" w:rsidP="00FA3AEF">
            <w:pPr>
              <w:spacing w:before="120" w:after="120"/>
            </w:pPr>
            <w:r>
              <w:t>How to address less time to validate nomination data that would not lead to errors or legal risks?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How to address less time to validate nomination data that would not lead to errors or legal risks?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pPr>
            <w:r>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53</w:t>
            </w:r>
          </w:p>
        </w:tc>
        <w:tc>
          <w:tcPr>
            <w:tcW w:w="5940" w:type="dxa"/>
          </w:tcPr>
          <w:p w:rsidR="00F51536" w:rsidRDefault="00F51536" w:rsidP="00FA3AEF">
            <w:pPr>
              <w:spacing w:before="120" w:after="120"/>
            </w:pPr>
            <w:r>
              <w:t>How to address tighter deadlines that hamper gas controllers</w:t>
            </w:r>
            <w:r w:rsidR="00811BB6">
              <w:t>’</w:t>
            </w:r>
            <w:r>
              <w:t xml:space="preserve"> ability to account for shifts in volume?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How to address tighter deadlines that hamper gas controllers’ ability to account for shifts in volume?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pPr>
            <w:r>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55</w:t>
            </w:r>
          </w:p>
        </w:tc>
        <w:tc>
          <w:tcPr>
            <w:tcW w:w="5940" w:type="dxa"/>
          </w:tcPr>
          <w:p w:rsidR="00F51536" w:rsidRDefault="00F51536" w:rsidP="00FA3AEF">
            <w:pPr>
              <w:spacing w:before="120" w:after="120"/>
            </w:pPr>
            <w:r>
              <w:t>Need for role playing.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Need for role playing.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pPr>
            <w:r>
              <w:lastRenderedPageBreak/>
              <w:t>11</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56</w:t>
            </w:r>
          </w:p>
        </w:tc>
        <w:tc>
          <w:tcPr>
            <w:tcW w:w="5940" w:type="dxa"/>
          </w:tcPr>
          <w:p w:rsidR="00F51536" w:rsidRDefault="00F51536" w:rsidP="00FA3AEF">
            <w:pPr>
              <w:spacing w:before="120" w:after="120"/>
            </w:pPr>
            <w:r>
              <w:t>Compress confirmations by expediting verification of nominations. Using simulation to recreate “The Art of Scheduling” tools of software models could support more efficient and effective decision making.</w:t>
            </w:r>
          </w:p>
        </w:tc>
        <w:tc>
          <w:tcPr>
            <w:tcW w:w="5670" w:type="dxa"/>
          </w:tcPr>
          <w:p w:rsidR="00F51536" w:rsidRDefault="009B5C30" w:rsidP="00FA3AEF">
            <w:pPr>
              <w:spacing w:before="120" w:after="120"/>
            </w:pPr>
            <w:r>
              <w:t>The FERC and or Pipelines, through services, should examine the issue of:</w:t>
            </w:r>
            <w:r w:rsidR="003210DC">
              <w:t xml:space="preserve"> Compress confirmations by expediting verification of nominations. Using simulation to recreate “The Art of Scheduling” tools of software models could support more efficient and effective decision making.</w:t>
            </w:r>
          </w:p>
        </w:tc>
      </w:tr>
      <w:tr w:rsidR="00F51536" w:rsidTr="00811BB6">
        <w:trPr>
          <w:cantSplit/>
        </w:trPr>
        <w:tc>
          <w:tcPr>
            <w:tcW w:w="468" w:type="dxa"/>
          </w:tcPr>
          <w:p w:rsidR="00F51536" w:rsidRDefault="00F51536" w:rsidP="00FA3AEF">
            <w:pPr>
              <w:spacing w:before="120" w:after="120"/>
            </w:pPr>
            <w:r>
              <w:t>12</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41</w:t>
            </w:r>
          </w:p>
        </w:tc>
        <w:tc>
          <w:tcPr>
            <w:tcW w:w="5940" w:type="dxa"/>
          </w:tcPr>
          <w:p w:rsidR="00F51536" w:rsidRDefault="00F51536" w:rsidP="00FA3AEF">
            <w:pPr>
              <w:spacing w:before="120" w:after="120"/>
            </w:pPr>
            <w:r>
              <w:t>Would the ability to reserve current contracted primary FT capacity for use tomorrow, address issues related to inability to use FT contracts to serve intermittent electric generation?</w:t>
            </w:r>
          </w:p>
        </w:tc>
        <w:tc>
          <w:tcPr>
            <w:tcW w:w="5670" w:type="dxa"/>
          </w:tcPr>
          <w:p w:rsidR="00F51536" w:rsidRDefault="009B5C30" w:rsidP="00FA3AEF">
            <w:pPr>
              <w:spacing w:before="120" w:after="120"/>
            </w:pPr>
            <w:r>
              <w:t>The FERC and or Pipelines, through services, should examine the issue of:</w:t>
            </w:r>
            <w:r w:rsidR="003210DC">
              <w:t xml:space="preserve"> Would the ability to reserve current contracted primary FT capacity for use tomorrow, address issues related to inability to use FT contracts to serve intermittent electric generation?</w:t>
            </w:r>
          </w:p>
        </w:tc>
      </w:tr>
      <w:tr w:rsidR="00F51536" w:rsidTr="00811BB6">
        <w:trPr>
          <w:cantSplit/>
        </w:trPr>
        <w:tc>
          <w:tcPr>
            <w:tcW w:w="468" w:type="dxa"/>
          </w:tcPr>
          <w:p w:rsidR="00F51536" w:rsidRDefault="00F51536" w:rsidP="00FA3AEF">
            <w:pPr>
              <w:spacing w:before="120" w:after="120"/>
            </w:pPr>
            <w:r>
              <w:t>12</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43</w:t>
            </w:r>
          </w:p>
        </w:tc>
        <w:tc>
          <w:tcPr>
            <w:tcW w:w="5940" w:type="dxa"/>
          </w:tcPr>
          <w:p w:rsidR="00F51536" w:rsidRDefault="00F51536" w:rsidP="00FA3AEF">
            <w:pPr>
              <w:spacing w:before="120" w:after="120"/>
            </w:pPr>
            <w: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5670" w:type="dxa"/>
          </w:tcPr>
          <w:p w:rsidR="00F51536" w:rsidRDefault="009B5C30" w:rsidP="00FA3AEF">
            <w:pPr>
              <w:spacing w:before="120" w:after="120"/>
            </w:pPr>
            <w:r>
              <w:t>The FERC and or Pipelines, through services, should examine the issue of:</w:t>
            </w:r>
            <w:r w:rsidR="003210DC">
              <w:t xml:space="preserve"> 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r>
      <w:tr w:rsidR="00F51536" w:rsidTr="00811BB6">
        <w:trPr>
          <w:cantSplit/>
        </w:trPr>
        <w:tc>
          <w:tcPr>
            <w:tcW w:w="468" w:type="dxa"/>
          </w:tcPr>
          <w:p w:rsidR="00F51536" w:rsidRDefault="00F51536" w:rsidP="00FA3AEF">
            <w:pPr>
              <w:spacing w:before="120" w:after="120"/>
            </w:pPr>
            <w:r>
              <w:t>12</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44</w:t>
            </w:r>
          </w:p>
        </w:tc>
        <w:tc>
          <w:tcPr>
            <w:tcW w:w="5940" w:type="dxa"/>
          </w:tcPr>
          <w:p w:rsidR="00F51536" w:rsidRDefault="00F51536" w:rsidP="00FA3AEF">
            <w:pPr>
              <w:spacing w:before="120" w:after="120"/>
            </w:pPr>
            <w:r>
              <w:t>Volumetric service to support electric generation akin to SGS (Small Generation Service) on a best-efforts basis may meet expressed needs.</w:t>
            </w:r>
          </w:p>
        </w:tc>
        <w:tc>
          <w:tcPr>
            <w:tcW w:w="5670" w:type="dxa"/>
          </w:tcPr>
          <w:p w:rsidR="00F51536" w:rsidRDefault="009B5C30" w:rsidP="00FA3AEF">
            <w:pPr>
              <w:spacing w:before="120" w:after="120"/>
            </w:pPr>
            <w:r>
              <w:t>The FERC and or Pipelines, through services, should examine the issue of:</w:t>
            </w:r>
            <w:r w:rsidR="003210DC">
              <w:t xml:space="preserve"> Volumetric service to support electric generation akin to SGS (Small Generation Service) on a best-efforts basis may meet expressed needs.</w:t>
            </w:r>
          </w:p>
        </w:tc>
      </w:tr>
      <w:tr w:rsidR="00F51536" w:rsidTr="00811BB6">
        <w:trPr>
          <w:cantSplit/>
        </w:trPr>
        <w:tc>
          <w:tcPr>
            <w:tcW w:w="468" w:type="dxa"/>
          </w:tcPr>
          <w:p w:rsidR="00F51536" w:rsidRDefault="00F51536" w:rsidP="00FA3AEF">
            <w:pPr>
              <w:spacing w:before="120" w:after="120"/>
            </w:pPr>
            <w:r>
              <w:t>12</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48</w:t>
            </w:r>
          </w:p>
        </w:tc>
        <w:tc>
          <w:tcPr>
            <w:tcW w:w="5940" w:type="dxa"/>
          </w:tcPr>
          <w:p w:rsidR="00F51536" w:rsidRDefault="00F51536" w:rsidP="00FA3AEF">
            <w:pPr>
              <w:spacing w:before="120" w:after="120"/>
            </w:pPr>
            <w: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5670" w:type="dxa"/>
          </w:tcPr>
          <w:p w:rsidR="00F51536" w:rsidRDefault="009B5C30" w:rsidP="00FA3AEF">
            <w:pPr>
              <w:spacing w:before="120" w:after="120"/>
            </w:pPr>
            <w:r>
              <w:t>The FERC and or Pipelines, through services, should examine the issue of:</w:t>
            </w:r>
            <w:r w:rsidR="003210DC">
              <w:t xml:space="preserve"> 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r>
      <w:tr w:rsidR="00F51536" w:rsidTr="00811BB6">
        <w:trPr>
          <w:cantSplit/>
        </w:trPr>
        <w:tc>
          <w:tcPr>
            <w:tcW w:w="468" w:type="dxa"/>
          </w:tcPr>
          <w:p w:rsidR="00F51536" w:rsidRDefault="00F51536" w:rsidP="00FA3AEF">
            <w:pPr>
              <w:spacing w:before="120" w:after="120"/>
            </w:pPr>
            <w:r>
              <w:lastRenderedPageBreak/>
              <w:t>12</w:t>
            </w:r>
          </w:p>
        </w:tc>
        <w:tc>
          <w:tcPr>
            <w:tcW w:w="630" w:type="dxa"/>
          </w:tcPr>
          <w:p w:rsidR="00F51536" w:rsidRPr="0062117A" w:rsidRDefault="00F51536" w:rsidP="00FA3AEF">
            <w:pPr>
              <w:spacing w:before="120" w:after="120"/>
            </w:pPr>
          </w:p>
        </w:tc>
        <w:tc>
          <w:tcPr>
            <w:tcW w:w="450" w:type="dxa"/>
          </w:tcPr>
          <w:p w:rsidR="00F51536" w:rsidRDefault="00F51536" w:rsidP="00FA3AEF">
            <w:pPr>
              <w:spacing w:before="120" w:after="120"/>
            </w:pPr>
            <w:r>
              <w:t>49</w:t>
            </w:r>
          </w:p>
        </w:tc>
        <w:tc>
          <w:tcPr>
            <w:tcW w:w="5940" w:type="dxa"/>
          </w:tcPr>
          <w:p w:rsidR="00F51536" w:rsidRDefault="00F51536" w:rsidP="00FA3AEF">
            <w:pPr>
              <w:spacing w:before="120" w:after="120"/>
            </w:pPr>
            <w:r>
              <w:t xml:space="preserve">As the electric system continues to evolve into a </w:t>
            </w:r>
            <w:proofErr w:type="spellStart"/>
            <w:r>
              <w:t>peakier</w:t>
            </w:r>
            <w:proofErr w:type="spellEnd"/>
            <w:r>
              <w:t xml:space="preserve"> and a more renewable grid, the need for enhanced scheduling and flexibility from the gas transportation system will grow. </w:t>
            </w:r>
          </w:p>
        </w:tc>
        <w:tc>
          <w:tcPr>
            <w:tcW w:w="5670" w:type="dxa"/>
          </w:tcPr>
          <w:p w:rsidR="00F51536" w:rsidRDefault="009B5C30" w:rsidP="00FA3AEF">
            <w:pPr>
              <w:spacing w:before="120" w:after="120"/>
            </w:pPr>
            <w:r>
              <w:t>The FERC and or Pipelines, through services, should examine the issue of:</w:t>
            </w:r>
            <w:r w:rsidR="003210DC">
              <w:t xml:space="preserve"> As the electric system continues to evolve into a </w:t>
            </w:r>
            <w:proofErr w:type="spellStart"/>
            <w:r w:rsidR="003210DC">
              <w:t>peakier</w:t>
            </w:r>
            <w:proofErr w:type="spellEnd"/>
            <w:r w:rsidR="003210DC">
              <w:t xml:space="preserve"> and a more renewable grid, the need for enhanced scheduling and flexibility from the gas transportation system will grow.</w:t>
            </w:r>
          </w:p>
        </w:tc>
      </w:tr>
    </w:tbl>
    <w:p w:rsidR="00FD1621" w:rsidRDefault="00FD1621" w:rsidP="00DB4CC2">
      <w:pPr>
        <w:spacing w:before="120"/>
      </w:pPr>
    </w:p>
    <w:sectPr w:rsidR="00FD1621" w:rsidSect="00AF5D44">
      <w:headerReference w:type="default" r:id="rId9"/>
      <w:footerReference w:type="default" r:id="rId10"/>
      <w:pgSz w:w="15840" w:h="12240" w:orient="landscape" w:code="1"/>
      <w:pgMar w:top="1440" w:right="1440" w:bottom="117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DF" w:rsidRDefault="003F20DF">
      <w:r>
        <w:separator/>
      </w:r>
    </w:p>
  </w:endnote>
  <w:endnote w:type="continuationSeparator" w:id="0">
    <w:p w:rsidR="003F20DF" w:rsidRDefault="003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08" w:rsidRDefault="006A0B08" w:rsidP="009321D5">
    <w:pPr>
      <w:pStyle w:val="Footer"/>
      <w:pBdr>
        <w:top w:val="single" w:sz="18" w:space="1" w:color="auto"/>
      </w:pBdr>
      <w:jc w:val="right"/>
    </w:pPr>
    <w:r>
      <w:t xml:space="preserve">Page </w:t>
    </w:r>
    <w:r>
      <w:fldChar w:fldCharType="begin"/>
    </w:r>
    <w:r>
      <w:instrText xml:space="preserve"> PAGE </w:instrText>
    </w:r>
    <w:r>
      <w:fldChar w:fldCharType="separate"/>
    </w:r>
    <w:r w:rsidR="00C96709">
      <w:rPr>
        <w:noProof/>
      </w:rPr>
      <w:t>1</w:t>
    </w:r>
    <w:r>
      <w:rPr>
        <w:noProof/>
      </w:rPr>
      <w:fldChar w:fldCharType="end"/>
    </w:r>
    <w:r>
      <w:t xml:space="preserve"> of </w:t>
    </w:r>
    <w:r w:rsidR="003F20DF">
      <w:fldChar w:fldCharType="begin"/>
    </w:r>
    <w:r w:rsidR="003F20DF">
      <w:instrText xml:space="preserve"> NUMPAGES </w:instrText>
    </w:r>
    <w:r w:rsidR="003F20DF">
      <w:fldChar w:fldCharType="separate"/>
    </w:r>
    <w:r w:rsidR="00C96709">
      <w:rPr>
        <w:noProof/>
      </w:rPr>
      <w:t>14</w:t>
    </w:r>
    <w:r w:rsidR="003F20D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DF" w:rsidRDefault="003F20DF">
      <w:r>
        <w:separator/>
      </w:r>
    </w:p>
  </w:footnote>
  <w:footnote w:type="continuationSeparator" w:id="0">
    <w:p w:rsidR="003F20DF" w:rsidRDefault="003F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08" w:rsidRDefault="006A0B08">
    <w:pPr>
      <w:pStyle w:val="Header"/>
      <w:tabs>
        <w:tab w:val="left" w:pos="1080"/>
      </w:tabs>
      <w:rPr>
        <w:rFonts w:ascii="Bookman Old Style" w:hAnsi="Bookman Old Style"/>
        <w:b/>
        <w:noProof/>
      </w:rPr>
    </w:pPr>
    <w:r>
      <w:rPr>
        <w:noProof/>
      </w:rPr>
      <mc:AlternateContent>
        <mc:Choice Requires="wps">
          <w:drawing>
            <wp:anchor distT="0" distB="0" distL="114300" distR="114300" simplePos="0" relativeHeight="251659264" behindDoc="1" locked="0" layoutInCell="1" allowOverlap="1" wp14:anchorId="3890FDC2" wp14:editId="2D63D026">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B08" w:rsidRDefault="006A0B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6A0B08" w:rsidRDefault="006A0B08"/>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32806"/>
    <w:multiLevelType w:val="hybridMultilevel"/>
    <w:tmpl w:val="5CEE7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num>
  <w:num w:numId="4">
    <w:abstractNumId w:val="18"/>
  </w:num>
  <w:num w:numId="5">
    <w:abstractNumId w:val="13"/>
  </w:num>
  <w:num w:numId="6">
    <w:abstractNumId w:val="2"/>
  </w:num>
  <w:num w:numId="7">
    <w:abstractNumId w:val="11"/>
  </w:num>
  <w:num w:numId="8">
    <w:abstractNumId w:val="24"/>
  </w:num>
  <w:num w:numId="9">
    <w:abstractNumId w:val="19"/>
  </w:num>
  <w:num w:numId="10">
    <w:abstractNumId w:val="27"/>
  </w:num>
  <w:num w:numId="11">
    <w:abstractNumId w:val="10"/>
  </w:num>
  <w:num w:numId="12">
    <w:abstractNumId w:val="9"/>
  </w:num>
  <w:num w:numId="13">
    <w:abstractNumId w:val="22"/>
  </w:num>
  <w:num w:numId="14">
    <w:abstractNumId w:val="7"/>
  </w:num>
  <w:num w:numId="15">
    <w:abstractNumId w:val="14"/>
  </w:num>
  <w:num w:numId="16">
    <w:abstractNumId w:val="3"/>
  </w:num>
  <w:num w:numId="17">
    <w:abstractNumId w:val="21"/>
  </w:num>
  <w:num w:numId="18">
    <w:abstractNumId w:val="20"/>
  </w:num>
  <w:num w:numId="19">
    <w:abstractNumId w:val="4"/>
  </w:num>
  <w:num w:numId="20">
    <w:abstractNumId w:val="6"/>
  </w:num>
  <w:num w:numId="21">
    <w:abstractNumId w:val="17"/>
  </w:num>
  <w:num w:numId="22">
    <w:abstractNumId w:val="15"/>
  </w:num>
  <w:num w:numId="23">
    <w:abstractNumId w:val="5"/>
  </w:num>
  <w:num w:numId="24">
    <w:abstractNumId w:val="0"/>
  </w:num>
  <w:num w:numId="25">
    <w:abstractNumId w:val="8"/>
  </w:num>
  <w:num w:numId="26">
    <w:abstractNumId w:val="16"/>
  </w:num>
  <w:num w:numId="27">
    <w:abstractNumId w:val="26"/>
  </w:num>
  <w:num w:numId="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2E39"/>
    <w:rsid w:val="00013B96"/>
    <w:rsid w:val="000167CF"/>
    <w:rsid w:val="000326E4"/>
    <w:rsid w:val="000443C9"/>
    <w:rsid w:val="0006209A"/>
    <w:rsid w:val="000630F5"/>
    <w:rsid w:val="00081E2B"/>
    <w:rsid w:val="00086906"/>
    <w:rsid w:val="000A0EB9"/>
    <w:rsid w:val="000A48FF"/>
    <w:rsid w:val="000A6E3D"/>
    <w:rsid w:val="000B03F9"/>
    <w:rsid w:val="000B0E4A"/>
    <w:rsid w:val="000D0527"/>
    <w:rsid w:val="000D727C"/>
    <w:rsid w:val="000F45F0"/>
    <w:rsid w:val="000F7439"/>
    <w:rsid w:val="001053BF"/>
    <w:rsid w:val="001275E9"/>
    <w:rsid w:val="001475F3"/>
    <w:rsid w:val="001625DD"/>
    <w:rsid w:val="00163273"/>
    <w:rsid w:val="00186996"/>
    <w:rsid w:val="001956F5"/>
    <w:rsid w:val="001C6F5D"/>
    <w:rsid w:val="001D6340"/>
    <w:rsid w:val="001D779F"/>
    <w:rsid w:val="001E4B53"/>
    <w:rsid w:val="002044D5"/>
    <w:rsid w:val="0020506F"/>
    <w:rsid w:val="002101D6"/>
    <w:rsid w:val="002168BF"/>
    <w:rsid w:val="00230BE2"/>
    <w:rsid w:val="00242070"/>
    <w:rsid w:val="002423C1"/>
    <w:rsid w:val="00253EF7"/>
    <w:rsid w:val="002718B7"/>
    <w:rsid w:val="0027644C"/>
    <w:rsid w:val="00284443"/>
    <w:rsid w:val="00290DCD"/>
    <w:rsid w:val="002A26F1"/>
    <w:rsid w:val="002B074F"/>
    <w:rsid w:val="002B2B92"/>
    <w:rsid w:val="002C1AD4"/>
    <w:rsid w:val="002E33BB"/>
    <w:rsid w:val="002E6AB8"/>
    <w:rsid w:val="002F1ECB"/>
    <w:rsid w:val="002F5A9E"/>
    <w:rsid w:val="002F6DE2"/>
    <w:rsid w:val="003210DC"/>
    <w:rsid w:val="00336BA2"/>
    <w:rsid w:val="003424EA"/>
    <w:rsid w:val="00344C0B"/>
    <w:rsid w:val="00344C3F"/>
    <w:rsid w:val="00350806"/>
    <w:rsid w:val="003563F8"/>
    <w:rsid w:val="00360E79"/>
    <w:rsid w:val="003667B4"/>
    <w:rsid w:val="003674EE"/>
    <w:rsid w:val="00380021"/>
    <w:rsid w:val="003802C1"/>
    <w:rsid w:val="00397AF6"/>
    <w:rsid w:val="003A3728"/>
    <w:rsid w:val="003A4291"/>
    <w:rsid w:val="003A52F5"/>
    <w:rsid w:val="003B14F5"/>
    <w:rsid w:val="003C1644"/>
    <w:rsid w:val="003C355E"/>
    <w:rsid w:val="003C628C"/>
    <w:rsid w:val="003E2F1B"/>
    <w:rsid w:val="003E3329"/>
    <w:rsid w:val="003E527A"/>
    <w:rsid w:val="003F20DF"/>
    <w:rsid w:val="003F721D"/>
    <w:rsid w:val="00432694"/>
    <w:rsid w:val="004538AC"/>
    <w:rsid w:val="00460D78"/>
    <w:rsid w:val="00472F7B"/>
    <w:rsid w:val="00482C7D"/>
    <w:rsid w:val="00497E30"/>
    <w:rsid w:val="004C01B5"/>
    <w:rsid w:val="004C4E03"/>
    <w:rsid w:val="004C7CEC"/>
    <w:rsid w:val="004D79BF"/>
    <w:rsid w:val="00513E7C"/>
    <w:rsid w:val="005345F8"/>
    <w:rsid w:val="00551ACF"/>
    <w:rsid w:val="00564EBB"/>
    <w:rsid w:val="005815EF"/>
    <w:rsid w:val="0059325D"/>
    <w:rsid w:val="005943F3"/>
    <w:rsid w:val="00596152"/>
    <w:rsid w:val="005A299F"/>
    <w:rsid w:val="005B3D49"/>
    <w:rsid w:val="005D610F"/>
    <w:rsid w:val="005E5285"/>
    <w:rsid w:val="006035CC"/>
    <w:rsid w:val="00606FDD"/>
    <w:rsid w:val="0062117A"/>
    <w:rsid w:val="00650E25"/>
    <w:rsid w:val="00674841"/>
    <w:rsid w:val="0069471D"/>
    <w:rsid w:val="006A0B08"/>
    <w:rsid w:val="006A4249"/>
    <w:rsid w:val="006A7E06"/>
    <w:rsid w:val="006C685D"/>
    <w:rsid w:val="006C7AD5"/>
    <w:rsid w:val="006D0EFB"/>
    <w:rsid w:val="006D557A"/>
    <w:rsid w:val="006E2B3D"/>
    <w:rsid w:val="0070442A"/>
    <w:rsid w:val="007161EC"/>
    <w:rsid w:val="007206F5"/>
    <w:rsid w:val="00754AC9"/>
    <w:rsid w:val="007577F8"/>
    <w:rsid w:val="0076028A"/>
    <w:rsid w:val="00767D0B"/>
    <w:rsid w:val="00770988"/>
    <w:rsid w:val="007719B2"/>
    <w:rsid w:val="00772BCF"/>
    <w:rsid w:val="00774346"/>
    <w:rsid w:val="007926B0"/>
    <w:rsid w:val="007975C1"/>
    <w:rsid w:val="007A2DB1"/>
    <w:rsid w:val="007C0A21"/>
    <w:rsid w:val="007C50CA"/>
    <w:rsid w:val="007C5FC3"/>
    <w:rsid w:val="007D048A"/>
    <w:rsid w:val="007D115D"/>
    <w:rsid w:val="007E0090"/>
    <w:rsid w:val="007E6487"/>
    <w:rsid w:val="007F3732"/>
    <w:rsid w:val="00811BB6"/>
    <w:rsid w:val="00833B57"/>
    <w:rsid w:val="00833E8F"/>
    <w:rsid w:val="00841E13"/>
    <w:rsid w:val="008478AB"/>
    <w:rsid w:val="008635AF"/>
    <w:rsid w:val="008643E9"/>
    <w:rsid w:val="00865329"/>
    <w:rsid w:val="00881461"/>
    <w:rsid w:val="008933FA"/>
    <w:rsid w:val="00894199"/>
    <w:rsid w:val="008D240E"/>
    <w:rsid w:val="008E0662"/>
    <w:rsid w:val="008F0B79"/>
    <w:rsid w:val="008F70E1"/>
    <w:rsid w:val="00906608"/>
    <w:rsid w:val="009076C0"/>
    <w:rsid w:val="009321D5"/>
    <w:rsid w:val="00941DDA"/>
    <w:rsid w:val="009545D2"/>
    <w:rsid w:val="0096006B"/>
    <w:rsid w:val="00961151"/>
    <w:rsid w:val="009629A6"/>
    <w:rsid w:val="00962F5C"/>
    <w:rsid w:val="00967ABE"/>
    <w:rsid w:val="00972479"/>
    <w:rsid w:val="0097346F"/>
    <w:rsid w:val="009A6834"/>
    <w:rsid w:val="009B09E5"/>
    <w:rsid w:val="009B5C30"/>
    <w:rsid w:val="009E4BB5"/>
    <w:rsid w:val="009F4D57"/>
    <w:rsid w:val="00A12832"/>
    <w:rsid w:val="00A30BA2"/>
    <w:rsid w:val="00A360C0"/>
    <w:rsid w:val="00A53B2F"/>
    <w:rsid w:val="00A5619A"/>
    <w:rsid w:val="00A568B8"/>
    <w:rsid w:val="00A57711"/>
    <w:rsid w:val="00A64D28"/>
    <w:rsid w:val="00A7714F"/>
    <w:rsid w:val="00AA10A5"/>
    <w:rsid w:val="00AA59AF"/>
    <w:rsid w:val="00AA64EA"/>
    <w:rsid w:val="00AB19C3"/>
    <w:rsid w:val="00AC4E84"/>
    <w:rsid w:val="00AE6B33"/>
    <w:rsid w:val="00AF291A"/>
    <w:rsid w:val="00AF358A"/>
    <w:rsid w:val="00AF5D44"/>
    <w:rsid w:val="00AF7C76"/>
    <w:rsid w:val="00B3489B"/>
    <w:rsid w:val="00B47C04"/>
    <w:rsid w:val="00B51F0B"/>
    <w:rsid w:val="00B65439"/>
    <w:rsid w:val="00B75124"/>
    <w:rsid w:val="00B75D54"/>
    <w:rsid w:val="00B8290E"/>
    <w:rsid w:val="00B902C8"/>
    <w:rsid w:val="00B91C8A"/>
    <w:rsid w:val="00B92AB7"/>
    <w:rsid w:val="00B92B73"/>
    <w:rsid w:val="00BA209E"/>
    <w:rsid w:val="00BB2DEA"/>
    <w:rsid w:val="00BB69F9"/>
    <w:rsid w:val="00BC6447"/>
    <w:rsid w:val="00BD7EF8"/>
    <w:rsid w:val="00BE05B5"/>
    <w:rsid w:val="00BE76E7"/>
    <w:rsid w:val="00BE7958"/>
    <w:rsid w:val="00BF22B4"/>
    <w:rsid w:val="00C1167B"/>
    <w:rsid w:val="00C22D37"/>
    <w:rsid w:val="00C23DBA"/>
    <w:rsid w:val="00C266A5"/>
    <w:rsid w:val="00C26DF7"/>
    <w:rsid w:val="00C30DDD"/>
    <w:rsid w:val="00C430F6"/>
    <w:rsid w:val="00C44A09"/>
    <w:rsid w:val="00C46644"/>
    <w:rsid w:val="00C52243"/>
    <w:rsid w:val="00C77CB0"/>
    <w:rsid w:val="00C80691"/>
    <w:rsid w:val="00C96709"/>
    <w:rsid w:val="00CB264C"/>
    <w:rsid w:val="00CB2F9F"/>
    <w:rsid w:val="00CB501E"/>
    <w:rsid w:val="00CC66DA"/>
    <w:rsid w:val="00CD6046"/>
    <w:rsid w:val="00CE06CD"/>
    <w:rsid w:val="00CE072D"/>
    <w:rsid w:val="00CE5B5C"/>
    <w:rsid w:val="00CE7B2E"/>
    <w:rsid w:val="00CF4592"/>
    <w:rsid w:val="00CF7B01"/>
    <w:rsid w:val="00D2003C"/>
    <w:rsid w:val="00D24B68"/>
    <w:rsid w:val="00D31631"/>
    <w:rsid w:val="00D41EE0"/>
    <w:rsid w:val="00D6360E"/>
    <w:rsid w:val="00D65B61"/>
    <w:rsid w:val="00D7247D"/>
    <w:rsid w:val="00D82ECE"/>
    <w:rsid w:val="00D95FE9"/>
    <w:rsid w:val="00DA21D8"/>
    <w:rsid w:val="00DA37C3"/>
    <w:rsid w:val="00DB01A2"/>
    <w:rsid w:val="00DB4CC2"/>
    <w:rsid w:val="00DC0246"/>
    <w:rsid w:val="00DC2709"/>
    <w:rsid w:val="00DC67DB"/>
    <w:rsid w:val="00DD62F5"/>
    <w:rsid w:val="00E013C6"/>
    <w:rsid w:val="00E04896"/>
    <w:rsid w:val="00E12B47"/>
    <w:rsid w:val="00E260BE"/>
    <w:rsid w:val="00E47379"/>
    <w:rsid w:val="00E6258C"/>
    <w:rsid w:val="00E62B41"/>
    <w:rsid w:val="00E8037D"/>
    <w:rsid w:val="00E846CF"/>
    <w:rsid w:val="00E8705A"/>
    <w:rsid w:val="00EA4772"/>
    <w:rsid w:val="00EB7415"/>
    <w:rsid w:val="00EC0B84"/>
    <w:rsid w:val="00ED3EA0"/>
    <w:rsid w:val="00EE5CA6"/>
    <w:rsid w:val="00EF2B7C"/>
    <w:rsid w:val="00EF2C6F"/>
    <w:rsid w:val="00EF7437"/>
    <w:rsid w:val="00F00ABB"/>
    <w:rsid w:val="00F03648"/>
    <w:rsid w:val="00F06BE0"/>
    <w:rsid w:val="00F23A44"/>
    <w:rsid w:val="00F2539B"/>
    <w:rsid w:val="00F25CB0"/>
    <w:rsid w:val="00F409B9"/>
    <w:rsid w:val="00F51536"/>
    <w:rsid w:val="00F63934"/>
    <w:rsid w:val="00F648EF"/>
    <w:rsid w:val="00F843FB"/>
    <w:rsid w:val="00F93FC9"/>
    <w:rsid w:val="00FA2ECA"/>
    <w:rsid w:val="00FB3118"/>
    <w:rsid w:val="00FB33FA"/>
    <w:rsid w:val="00FC1D06"/>
    <w:rsid w:val="00FD162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177937247">
      <w:bodyDiv w:val="1"/>
      <w:marLeft w:val="0"/>
      <w:marRight w:val="0"/>
      <w:marTop w:val="0"/>
      <w:marBottom w:val="0"/>
      <w:divBdr>
        <w:top w:val="none" w:sz="0" w:space="0" w:color="auto"/>
        <w:left w:val="none" w:sz="0" w:space="0" w:color="auto"/>
        <w:bottom w:val="none" w:sz="0" w:space="0" w:color="auto"/>
        <w:right w:val="none" w:sz="0" w:space="0" w:color="auto"/>
      </w:divBdr>
    </w:div>
    <w:div w:id="203107293">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3235568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545727266">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55688548">
      <w:bodyDiv w:val="1"/>
      <w:marLeft w:val="0"/>
      <w:marRight w:val="0"/>
      <w:marTop w:val="0"/>
      <w:marBottom w:val="0"/>
      <w:divBdr>
        <w:top w:val="none" w:sz="0" w:space="0" w:color="auto"/>
        <w:left w:val="none" w:sz="0" w:space="0" w:color="auto"/>
        <w:bottom w:val="none" w:sz="0" w:space="0" w:color="auto"/>
        <w:right w:val="none" w:sz="0" w:space="0" w:color="auto"/>
      </w:divBdr>
    </w:div>
    <w:div w:id="662011169">
      <w:bodyDiv w:val="1"/>
      <w:marLeft w:val="0"/>
      <w:marRight w:val="0"/>
      <w:marTop w:val="0"/>
      <w:marBottom w:val="0"/>
      <w:divBdr>
        <w:top w:val="none" w:sz="0" w:space="0" w:color="auto"/>
        <w:left w:val="none" w:sz="0" w:space="0" w:color="auto"/>
        <w:bottom w:val="none" w:sz="0" w:space="0" w:color="auto"/>
        <w:right w:val="none" w:sz="0" w:space="0" w:color="auto"/>
      </w:divBdr>
    </w:div>
    <w:div w:id="685403189">
      <w:bodyDiv w:val="1"/>
      <w:marLeft w:val="0"/>
      <w:marRight w:val="0"/>
      <w:marTop w:val="0"/>
      <w:marBottom w:val="0"/>
      <w:divBdr>
        <w:top w:val="none" w:sz="0" w:space="0" w:color="auto"/>
        <w:left w:val="none" w:sz="0" w:space="0" w:color="auto"/>
        <w:bottom w:val="none" w:sz="0" w:space="0" w:color="auto"/>
        <w:right w:val="none" w:sz="0" w:space="0" w:color="auto"/>
      </w:divBdr>
    </w:div>
    <w:div w:id="736514776">
      <w:bodyDiv w:val="1"/>
      <w:marLeft w:val="0"/>
      <w:marRight w:val="0"/>
      <w:marTop w:val="0"/>
      <w:marBottom w:val="0"/>
      <w:divBdr>
        <w:top w:val="none" w:sz="0" w:space="0" w:color="auto"/>
        <w:left w:val="none" w:sz="0" w:space="0" w:color="auto"/>
        <w:bottom w:val="none" w:sz="0" w:space="0" w:color="auto"/>
        <w:right w:val="none" w:sz="0" w:space="0" w:color="auto"/>
      </w:divBdr>
    </w:div>
    <w:div w:id="771587122">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891891088">
      <w:bodyDiv w:val="1"/>
      <w:marLeft w:val="0"/>
      <w:marRight w:val="0"/>
      <w:marTop w:val="0"/>
      <w:marBottom w:val="0"/>
      <w:divBdr>
        <w:top w:val="none" w:sz="0" w:space="0" w:color="auto"/>
        <w:left w:val="none" w:sz="0" w:space="0" w:color="auto"/>
        <w:bottom w:val="none" w:sz="0" w:space="0" w:color="auto"/>
        <w:right w:val="none" w:sz="0" w:space="0" w:color="auto"/>
      </w:divBdr>
    </w:div>
    <w:div w:id="91266424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1632128">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86733900">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28417575">
      <w:bodyDiv w:val="1"/>
      <w:marLeft w:val="0"/>
      <w:marRight w:val="0"/>
      <w:marTop w:val="0"/>
      <w:marBottom w:val="0"/>
      <w:divBdr>
        <w:top w:val="none" w:sz="0" w:space="0" w:color="auto"/>
        <w:left w:val="none" w:sz="0" w:space="0" w:color="auto"/>
        <w:bottom w:val="none" w:sz="0" w:space="0" w:color="auto"/>
        <w:right w:val="none" w:sz="0" w:space="0" w:color="auto"/>
      </w:divBdr>
    </w:div>
    <w:div w:id="1245724565">
      <w:bodyDiv w:val="1"/>
      <w:marLeft w:val="0"/>
      <w:marRight w:val="0"/>
      <w:marTop w:val="0"/>
      <w:marBottom w:val="0"/>
      <w:divBdr>
        <w:top w:val="none" w:sz="0" w:space="0" w:color="auto"/>
        <w:left w:val="none" w:sz="0" w:space="0" w:color="auto"/>
        <w:bottom w:val="none" w:sz="0" w:space="0" w:color="auto"/>
        <w:right w:val="none" w:sz="0" w:space="0" w:color="auto"/>
      </w:divBdr>
    </w:div>
    <w:div w:id="1266690507">
      <w:bodyDiv w:val="1"/>
      <w:marLeft w:val="0"/>
      <w:marRight w:val="0"/>
      <w:marTop w:val="0"/>
      <w:marBottom w:val="0"/>
      <w:divBdr>
        <w:top w:val="none" w:sz="0" w:space="0" w:color="auto"/>
        <w:left w:val="none" w:sz="0" w:space="0" w:color="auto"/>
        <w:bottom w:val="none" w:sz="0" w:space="0" w:color="auto"/>
        <w:right w:val="none" w:sz="0" w:space="0" w:color="auto"/>
      </w:divBdr>
    </w:div>
    <w:div w:id="1306618033">
      <w:bodyDiv w:val="1"/>
      <w:marLeft w:val="0"/>
      <w:marRight w:val="0"/>
      <w:marTop w:val="0"/>
      <w:marBottom w:val="0"/>
      <w:divBdr>
        <w:top w:val="none" w:sz="0" w:space="0" w:color="auto"/>
        <w:left w:val="none" w:sz="0" w:space="0" w:color="auto"/>
        <w:bottom w:val="none" w:sz="0" w:space="0" w:color="auto"/>
        <w:right w:val="none" w:sz="0" w:space="0" w:color="auto"/>
      </w:divBdr>
    </w:div>
    <w:div w:id="1330519689">
      <w:bodyDiv w:val="1"/>
      <w:marLeft w:val="0"/>
      <w:marRight w:val="0"/>
      <w:marTop w:val="0"/>
      <w:marBottom w:val="0"/>
      <w:divBdr>
        <w:top w:val="none" w:sz="0" w:space="0" w:color="auto"/>
        <w:left w:val="none" w:sz="0" w:space="0" w:color="auto"/>
        <w:bottom w:val="none" w:sz="0" w:space="0" w:color="auto"/>
        <w:right w:val="none" w:sz="0" w:space="0" w:color="auto"/>
      </w:divBdr>
    </w:div>
    <w:div w:id="1347052326">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04319975">
      <w:bodyDiv w:val="1"/>
      <w:marLeft w:val="0"/>
      <w:marRight w:val="0"/>
      <w:marTop w:val="0"/>
      <w:marBottom w:val="0"/>
      <w:divBdr>
        <w:top w:val="none" w:sz="0" w:space="0" w:color="auto"/>
        <w:left w:val="none" w:sz="0" w:space="0" w:color="auto"/>
        <w:bottom w:val="none" w:sz="0" w:space="0" w:color="auto"/>
        <w:right w:val="none" w:sz="0" w:space="0" w:color="auto"/>
      </w:divBdr>
    </w:div>
    <w:div w:id="1550260351">
      <w:bodyDiv w:val="1"/>
      <w:marLeft w:val="0"/>
      <w:marRight w:val="0"/>
      <w:marTop w:val="0"/>
      <w:marBottom w:val="0"/>
      <w:divBdr>
        <w:top w:val="none" w:sz="0" w:space="0" w:color="auto"/>
        <w:left w:val="none" w:sz="0" w:space="0" w:color="auto"/>
        <w:bottom w:val="none" w:sz="0" w:space="0" w:color="auto"/>
        <w:right w:val="none" w:sz="0" w:space="0" w:color="auto"/>
      </w:divBdr>
    </w:div>
    <w:div w:id="1557277321">
      <w:bodyDiv w:val="1"/>
      <w:marLeft w:val="0"/>
      <w:marRight w:val="0"/>
      <w:marTop w:val="0"/>
      <w:marBottom w:val="0"/>
      <w:divBdr>
        <w:top w:val="none" w:sz="0" w:space="0" w:color="auto"/>
        <w:left w:val="none" w:sz="0" w:space="0" w:color="auto"/>
        <w:bottom w:val="none" w:sz="0" w:space="0" w:color="auto"/>
        <w:right w:val="none" w:sz="0" w:space="0" w:color="auto"/>
      </w:divBdr>
    </w:div>
    <w:div w:id="1602224657">
      <w:bodyDiv w:val="1"/>
      <w:marLeft w:val="0"/>
      <w:marRight w:val="0"/>
      <w:marTop w:val="0"/>
      <w:marBottom w:val="0"/>
      <w:divBdr>
        <w:top w:val="none" w:sz="0" w:space="0" w:color="auto"/>
        <w:left w:val="none" w:sz="0" w:space="0" w:color="auto"/>
        <w:bottom w:val="none" w:sz="0" w:space="0" w:color="auto"/>
        <w:right w:val="none" w:sz="0" w:space="0" w:color="auto"/>
      </w:divBdr>
    </w:div>
    <w:div w:id="1705474260">
      <w:bodyDiv w:val="1"/>
      <w:marLeft w:val="0"/>
      <w:marRight w:val="0"/>
      <w:marTop w:val="0"/>
      <w:marBottom w:val="0"/>
      <w:divBdr>
        <w:top w:val="none" w:sz="0" w:space="0" w:color="auto"/>
        <w:left w:val="none" w:sz="0" w:space="0" w:color="auto"/>
        <w:bottom w:val="none" w:sz="0" w:space="0" w:color="auto"/>
        <w:right w:val="none" w:sz="0" w:space="0" w:color="auto"/>
      </w:divBdr>
    </w:div>
    <w:div w:id="1729376275">
      <w:bodyDiv w:val="1"/>
      <w:marLeft w:val="0"/>
      <w:marRight w:val="0"/>
      <w:marTop w:val="0"/>
      <w:marBottom w:val="0"/>
      <w:divBdr>
        <w:top w:val="none" w:sz="0" w:space="0" w:color="auto"/>
        <w:left w:val="none" w:sz="0" w:space="0" w:color="auto"/>
        <w:bottom w:val="none" w:sz="0" w:space="0" w:color="auto"/>
        <w:right w:val="none" w:sz="0" w:space="0" w:color="auto"/>
      </w:divBdr>
    </w:div>
    <w:div w:id="1760758625">
      <w:bodyDiv w:val="1"/>
      <w:marLeft w:val="0"/>
      <w:marRight w:val="0"/>
      <w:marTop w:val="0"/>
      <w:marBottom w:val="0"/>
      <w:divBdr>
        <w:top w:val="none" w:sz="0" w:space="0" w:color="auto"/>
        <w:left w:val="none" w:sz="0" w:space="0" w:color="auto"/>
        <w:bottom w:val="none" w:sz="0" w:space="0" w:color="auto"/>
        <w:right w:val="none" w:sz="0" w:space="0" w:color="auto"/>
      </w:divBdr>
    </w:div>
    <w:div w:id="1816948032">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1925528492">
      <w:bodyDiv w:val="1"/>
      <w:marLeft w:val="0"/>
      <w:marRight w:val="0"/>
      <w:marTop w:val="0"/>
      <w:marBottom w:val="0"/>
      <w:divBdr>
        <w:top w:val="none" w:sz="0" w:space="0" w:color="auto"/>
        <w:left w:val="none" w:sz="0" w:space="0" w:color="auto"/>
        <w:bottom w:val="none" w:sz="0" w:space="0" w:color="auto"/>
        <w:right w:val="none" w:sz="0" w:space="0" w:color="auto"/>
      </w:divBdr>
    </w:div>
    <w:div w:id="1941643562">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33874513">
      <w:bodyDiv w:val="1"/>
      <w:marLeft w:val="0"/>
      <w:marRight w:val="0"/>
      <w:marTop w:val="0"/>
      <w:marBottom w:val="0"/>
      <w:divBdr>
        <w:top w:val="none" w:sz="0" w:space="0" w:color="auto"/>
        <w:left w:val="none" w:sz="0" w:space="0" w:color="auto"/>
        <w:bottom w:val="none" w:sz="0" w:space="0" w:color="auto"/>
        <w:right w:val="none" w:sz="0" w:space="0" w:color="auto"/>
      </w:divBdr>
    </w:div>
    <w:div w:id="21209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C4CF-BC5B-41CA-8F87-4367F121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4879</Words>
  <Characters>27030</Characters>
  <Application>Microsoft Office Word</Application>
  <DocSecurity>0</DocSecurity>
  <Lines>519</Lines>
  <Paragraphs>204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2016-03-16T20:24:00Z</cp:lastPrinted>
  <dcterms:created xsi:type="dcterms:W3CDTF">2016-03-18T19:34:00Z</dcterms:created>
  <dcterms:modified xsi:type="dcterms:W3CDTF">2016-03-18T19:34:00Z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