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eastAsia="Times New Roman"/>
        </w:rPr>
      </w:pPr>
      <w:r>
        <w:rPr>
          <w:rFonts w:eastAsia="Times New Roman"/>
        </w:rPr>
        <w:pict>
          <v:rect id="_x0000_i1025" style="width:468pt;height:1.2pt" o:hralign="center" o:hrstd="t" o:hr="t" fillcolor="#a0a0a0" stroked="f"/>
        </w:pict>
      </w:r>
    </w:p>
    <w:p>
      <w:pPr>
        <w:spacing w:after="240"/>
        <w:outlineLvl w:val="0"/>
      </w:pPr>
      <w:r>
        <w:rPr>
          <w:rFonts w:ascii="Tahoma" w:hAnsi="Tahoma" w:cs="Tahoma"/>
          <w:b/>
          <w:bCs/>
          <w:sz w:val="20"/>
          <w:szCs w:val="20"/>
        </w:rPr>
        <w:t>From:</w:t>
      </w:r>
      <w:r>
        <w:rPr>
          <w:rFonts w:ascii="Tahoma" w:hAnsi="Tahoma" w:cs="Tahoma"/>
          <w:sz w:val="20"/>
          <w:szCs w:val="20"/>
        </w:rPr>
        <w:t xml:space="preserve"> McFarlane, Kim I.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January 30, 2012 12:43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'naesb@naesb.org.'</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Jarvis, Jeff; Sappenfield, Keith; ^</w:t>
      </w:r>
      <w:proofErr w:type="spellStart"/>
      <w:r>
        <w:rPr>
          <w:rFonts w:ascii="Tahoma" w:hAnsi="Tahoma" w:cs="Tahoma"/>
          <w:sz w:val="20"/>
          <w:szCs w:val="20"/>
        </w:rPr>
        <w:t>LegalMktgDNV</w:t>
      </w:r>
      <w:proofErr w:type="spell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NGL Master Agreement Survey.</w:t>
      </w:r>
    </w:p>
    <w:p>
      <w:r>
        <w:rPr>
          <w:rFonts w:ascii="Arial" w:hAnsi="Arial" w:cs="Arial"/>
          <w:sz w:val="20"/>
          <w:szCs w:val="20"/>
        </w:rPr>
        <w:t>Good afternoon,</w:t>
      </w:r>
    </w:p>
    <w:p>
      <w:r>
        <w:t> </w:t>
      </w:r>
    </w:p>
    <w:p>
      <w:r>
        <w:rPr>
          <w:rFonts w:ascii="Arial" w:hAnsi="Arial" w:cs="Arial"/>
          <w:sz w:val="20"/>
          <w:szCs w:val="20"/>
        </w:rPr>
        <w:t>I refer to your recent email regarding the Natural Gas Liquids Master Agreement that NAESB is considering developing.</w:t>
      </w:r>
    </w:p>
    <w:p>
      <w:r>
        <w:t> </w:t>
      </w:r>
    </w:p>
    <w:p>
      <w:proofErr w:type="spellStart"/>
      <w:r>
        <w:rPr>
          <w:rFonts w:ascii="Arial" w:hAnsi="Arial" w:cs="Arial"/>
          <w:sz w:val="20"/>
          <w:szCs w:val="20"/>
        </w:rPr>
        <w:t>Encana</w:t>
      </w:r>
      <w:proofErr w:type="spellEnd"/>
      <w:r>
        <w:rPr>
          <w:rFonts w:ascii="Arial" w:hAnsi="Arial" w:cs="Arial"/>
          <w:sz w:val="20"/>
          <w:szCs w:val="20"/>
        </w:rPr>
        <w:t xml:space="preserve"> supports this effort.  Please see our answers below to each of the questions included in the survey:-</w:t>
      </w:r>
    </w:p>
    <w:p>
      <w:pPr>
        <w:rPr>
          <w:sz w:val="20"/>
          <w:szCs w:val="20"/>
        </w:rPr>
      </w:pPr>
      <w:r>
        <w:rPr>
          <w:rFonts w:ascii="Arial" w:hAnsi="Arial" w:cs="Arial"/>
          <w:sz w:val="20"/>
          <w:szCs w:val="20"/>
        </w:rPr>
        <w:t>   </w:t>
      </w:r>
    </w:p>
    <w:tbl>
      <w:tblPr>
        <w:tblW w:w="0" w:type="auto"/>
        <w:tblCellMar>
          <w:left w:w="0" w:type="dxa"/>
          <w:right w:w="0" w:type="dxa"/>
        </w:tblCellMar>
        <w:tblLook w:val="04A0" w:firstRow="1" w:lastRow="0" w:firstColumn="1" w:lastColumn="0" w:noHBand="0" w:noVBand="1"/>
      </w:tblPr>
      <w:tblGrid>
        <w:gridCol w:w="447"/>
        <w:gridCol w:w="369"/>
        <w:gridCol w:w="8760"/>
      </w:tblGrid>
      <w:tr>
        <w:tc>
          <w:tcPr>
            <w:tcW w:w="468" w:type="dxa"/>
            <w:tcMar>
              <w:top w:w="0" w:type="dxa"/>
              <w:left w:w="108" w:type="dxa"/>
              <w:bottom w:w="0" w:type="dxa"/>
              <w:right w:w="108" w:type="dxa"/>
            </w:tcMar>
            <w:hideMark/>
          </w:tcPr>
          <w:p>
            <w:pPr>
              <w:rPr>
                <w:rFonts w:ascii="Arial" w:hAnsi="Arial" w:cs="Arial"/>
                <w:sz w:val="20"/>
                <w:szCs w:val="20"/>
              </w:rPr>
            </w:pPr>
            <w:r>
              <w:rPr>
                <w:rFonts w:ascii="Arial" w:hAnsi="Arial" w:cs="Arial"/>
                <w:sz w:val="20"/>
                <w:szCs w:val="20"/>
              </w:rPr>
              <w:t>1)</w:t>
            </w:r>
          </w:p>
        </w:tc>
        <w:tc>
          <w:tcPr>
            <w:tcW w:w="12105" w:type="dxa"/>
            <w:gridSpan w:val="2"/>
            <w:tcMar>
              <w:top w:w="0" w:type="dxa"/>
              <w:left w:w="108" w:type="dxa"/>
              <w:bottom w:w="0" w:type="dxa"/>
              <w:right w:w="108" w:type="dxa"/>
            </w:tcMar>
          </w:tcPr>
          <w:p>
            <w:pPr>
              <w:rPr>
                <w:rStyle w:val="Strong"/>
                <w:rFonts w:ascii="Arial" w:hAnsi="Arial" w:cs="Arial"/>
                <w:u w:val="single"/>
              </w:rPr>
            </w:pPr>
            <w:r>
              <w:rPr>
                <w:rStyle w:val="Strong"/>
                <w:rFonts w:ascii="Arial" w:hAnsi="Arial" w:cs="Arial"/>
                <w:sz w:val="20"/>
                <w:szCs w:val="20"/>
                <w:u w:val="single"/>
              </w:rPr>
              <w:t>What approach should NAESB take in development of the new Natural Gas Liquids Master Agreement?</w:t>
            </w:r>
          </w:p>
          <w:p/>
        </w:tc>
      </w:tr>
      <w:tr>
        <w:tc>
          <w:tcPr>
            <w:tcW w:w="468" w:type="dxa"/>
            <w:tcMar>
              <w:top w:w="0" w:type="dxa"/>
              <w:left w:w="108" w:type="dxa"/>
              <w:bottom w:w="0" w:type="dxa"/>
              <w:right w:w="108" w:type="dxa"/>
            </w:tcMar>
          </w:tcPr>
          <w:p>
            <w:pPr>
              <w:rPr>
                <w:rFonts w:ascii="Arial" w:hAnsi="Arial" w:cs="Arial"/>
                <w:sz w:val="20"/>
                <w:szCs w:val="20"/>
              </w:rPr>
            </w:pPr>
          </w:p>
        </w:tc>
        <w:tc>
          <w:tcPr>
            <w:tcW w:w="405" w:type="dxa"/>
            <w:tcMar>
              <w:top w:w="0" w:type="dxa"/>
              <w:left w:w="108" w:type="dxa"/>
              <w:bottom w:w="0" w:type="dxa"/>
              <w:right w:w="108" w:type="dxa"/>
            </w:tcMar>
            <w:hideMark/>
          </w:tcPr>
          <w:p>
            <w:r>
              <w:rPr>
                <w:rFonts w:ascii="Arial" w:hAnsi="Arial" w:cs="Arial"/>
                <w:sz w:val="20"/>
                <w:szCs w:val="20"/>
              </w:rPr>
              <w:t>-</w:t>
            </w:r>
          </w:p>
        </w:tc>
        <w:tc>
          <w:tcPr>
            <w:tcW w:w="11700" w:type="dxa"/>
            <w:tcMar>
              <w:top w:w="0" w:type="dxa"/>
              <w:left w:w="108" w:type="dxa"/>
              <w:bottom w:w="0" w:type="dxa"/>
              <w:right w:w="108" w:type="dxa"/>
            </w:tcMar>
            <w:hideMark/>
          </w:tcPr>
          <w:p>
            <w:pPr>
              <w:rPr>
                <w:rFonts w:ascii="Arial" w:hAnsi="Arial" w:cs="Arial"/>
                <w:sz w:val="20"/>
                <w:szCs w:val="20"/>
              </w:rPr>
            </w:pPr>
            <w:r>
              <w:rPr>
                <w:rFonts w:ascii="Arial" w:hAnsi="Arial" w:cs="Arial"/>
                <w:sz w:val="20"/>
                <w:szCs w:val="20"/>
              </w:rPr>
              <w:t>Develop a new Natural Gas Liquids Master Agreement based on the NAESB Base Contract for Sale and Purchase of Natural Gas. </w:t>
            </w:r>
          </w:p>
        </w:tc>
      </w:tr>
      <w:tr>
        <w:tc>
          <w:tcPr>
            <w:tcW w:w="468" w:type="dxa"/>
            <w:tcMar>
              <w:top w:w="0" w:type="dxa"/>
              <w:left w:w="108" w:type="dxa"/>
              <w:bottom w:w="0" w:type="dxa"/>
              <w:right w:w="108" w:type="dxa"/>
            </w:tcMar>
          </w:tcPr>
          <w:p>
            <w:pPr>
              <w:rPr>
                <w:rFonts w:ascii="Arial" w:hAnsi="Arial" w:cs="Arial"/>
                <w:sz w:val="20"/>
                <w:szCs w:val="20"/>
              </w:rPr>
            </w:pPr>
          </w:p>
        </w:tc>
        <w:tc>
          <w:tcPr>
            <w:tcW w:w="405" w:type="dxa"/>
            <w:tcMar>
              <w:top w:w="0" w:type="dxa"/>
              <w:left w:w="108" w:type="dxa"/>
              <w:bottom w:w="0" w:type="dxa"/>
              <w:right w:w="108" w:type="dxa"/>
            </w:tcMar>
          </w:tcPr>
          <w:p>
            <w:pPr>
              <w:rPr>
                <w:rFonts w:ascii="Arial" w:hAnsi="Arial" w:cs="Arial"/>
                <w:sz w:val="20"/>
                <w:szCs w:val="20"/>
              </w:rPr>
            </w:pPr>
          </w:p>
        </w:tc>
        <w:tc>
          <w:tcPr>
            <w:tcW w:w="11700" w:type="dxa"/>
            <w:tcMar>
              <w:top w:w="0" w:type="dxa"/>
              <w:left w:w="108" w:type="dxa"/>
              <w:bottom w:w="0" w:type="dxa"/>
              <w:right w:w="108" w:type="dxa"/>
            </w:tcMar>
          </w:tcPr>
          <w:p>
            <w:pPr>
              <w:rPr>
                <w:rFonts w:ascii="Arial" w:hAnsi="Arial" w:cs="Arial"/>
                <w:sz w:val="20"/>
                <w:szCs w:val="20"/>
              </w:rPr>
            </w:pPr>
          </w:p>
          <w:p>
            <w:pPr>
              <w:rPr>
                <w:rFonts w:ascii="Arial" w:hAnsi="Arial" w:cs="Arial"/>
                <w:sz w:val="20"/>
                <w:szCs w:val="20"/>
              </w:rPr>
            </w:pPr>
            <w:r>
              <w:rPr>
                <w:rFonts w:ascii="Arial" w:hAnsi="Arial" w:cs="Arial"/>
                <w:sz w:val="20"/>
                <w:szCs w:val="20"/>
              </w:rPr>
              <w:t>We would like the new NGL Master Agreement to take the same "form" as the NAESB Base Contract for Sale and Purchase of Natural Gas, with a Cover Page and General Terms and Conditions that would be modified through the use of Special Provisions.  Is the intention to have separate Master Agreements based on the product (i.e. one for NGL’s and a separate one for crude oil)?</w:t>
            </w:r>
          </w:p>
          <w:p>
            <w:pPr>
              <w:rPr>
                <w:rFonts w:ascii="Arial" w:hAnsi="Arial" w:cs="Arial"/>
                <w:sz w:val="20"/>
                <w:szCs w:val="20"/>
              </w:rPr>
            </w:pPr>
          </w:p>
          <w:p>
            <w:pPr>
              <w:rPr>
                <w:rFonts w:ascii="Arial" w:hAnsi="Arial" w:cs="Arial"/>
                <w:sz w:val="20"/>
                <w:szCs w:val="20"/>
              </w:rPr>
            </w:pPr>
          </w:p>
        </w:tc>
      </w:tr>
      <w:tr>
        <w:tc>
          <w:tcPr>
            <w:tcW w:w="468" w:type="dxa"/>
            <w:tcMar>
              <w:top w:w="0" w:type="dxa"/>
              <w:left w:w="108" w:type="dxa"/>
              <w:bottom w:w="0" w:type="dxa"/>
              <w:right w:w="108" w:type="dxa"/>
            </w:tcMar>
            <w:hideMark/>
          </w:tcPr>
          <w:p>
            <w:pPr>
              <w:rPr>
                <w:rFonts w:ascii="Arial" w:hAnsi="Arial" w:cs="Arial"/>
                <w:sz w:val="20"/>
                <w:szCs w:val="20"/>
              </w:rPr>
            </w:pPr>
            <w:r>
              <w:rPr>
                <w:rFonts w:ascii="Arial" w:hAnsi="Arial" w:cs="Arial"/>
                <w:sz w:val="20"/>
                <w:szCs w:val="20"/>
              </w:rPr>
              <w:t>2)</w:t>
            </w:r>
          </w:p>
        </w:tc>
        <w:tc>
          <w:tcPr>
            <w:tcW w:w="12105" w:type="dxa"/>
            <w:gridSpan w:val="2"/>
            <w:tcMar>
              <w:top w:w="0" w:type="dxa"/>
              <w:left w:w="108" w:type="dxa"/>
              <w:bottom w:w="0" w:type="dxa"/>
              <w:right w:w="108" w:type="dxa"/>
            </w:tcMar>
            <w:hideMark/>
          </w:tcPr>
          <w:p>
            <w:pPr>
              <w:rPr>
                <w:rFonts w:ascii="Arial" w:hAnsi="Arial" w:cs="Arial"/>
                <w:sz w:val="20"/>
                <w:szCs w:val="20"/>
              </w:rPr>
            </w:pPr>
            <w:r>
              <w:rPr>
                <w:rStyle w:val="Strong"/>
                <w:rFonts w:ascii="Arial" w:hAnsi="Arial" w:cs="Arial"/>
                <w:sz w:val="20"/>
                <w:szCs w:val="20"/>
                <w:u w:val="single"/>
              </w:rPr>
              <w:t>Please provide any other comments with regard to NAESB’s effort, if any.</w:t>
            </w:r>
          </w:p>
        </w:tc>
      </w:tr>
      <w:tr>
        <w:tc>
          <w:tcPr>
            <w:tcW w:w="468" w:type="dxa"/>
            <w:tcMar>
              <w:top w:w="0" w:type="dxa"/>
              <w:left w:w="108" w:type="dxa"/>
              <w:bottom w:w="0" w:type="dxa"/>
              <w:right w:w="108" w:type="dxa"/>
            </w:tcMar>
          </w:tcPr>
          <w:p>
            <w:pPr>
              <w:rPr>
                <w:rFonts w:ascii="Arial" w:hAnsi="Arial" w:cs="Arial"/>
                <w:sz w:val="20"/>
                <w:szCs w:val="20"/>
              </w:rPr>
            </w:pPr>
          </w:p>
        </w:tc>
        <w:tc>
          <w:tcPr>
            <w:tcW w:w="405" w:type="dxa"/>
            <w:tcMar>
              <w:top w:w="0" w:type="dxa"/>
              <w:left w:w="108" w:type="dxa"/>
              <w:bottom w:w="0" w:type="dxa"/>
              <w:right w:w="108" w:type="dxa"/>
            </w:tcMar>
            <w:hideMark/>
          </w:tcPr>
          <w:p>
            <w:pPr>
              <w:rPr>
                <w:rFonts w:eastAsia="Times New Roman"/>
                <w:sz w:val="20"/>
                <w:szCs w:val="20"/>
              </w:rPr>
            </w:pPr>
          </w:p>
        </w:tc>
        <w:tc>
          <w:tcPr>
            <w:tcW w:w="11700" w:type="dxa"/>
            <w:tcMar>
              <w:top w:w="0" w:type="dxa"/>
              <w:left w:w="108" w:type="dxa"/>
              <w:bottom w:w="0" w:type="dxa"/>
              <w:right w:w="108" w:type="dxa"/>
            </w:tcMar>
            <w:hideMark/>
          </w:tcPr>
          <w:p>
            <w:pPr>
              <w:rPr>
                <w:rFonts w:eastAsia="Times New Roman"/>
                <w:sz w:val="20"/>
                <w:szCs w:val="20"/>
              </w:rPr>
            </w:pPr>
          </w:p>
        </w:tc>
      </w:tr>
      <w:tr>
        <w:tc>
          <w:tcPr>
            <w:tcW w:w="468" w:type="dxa"/>
            <w:tcMar>
              <w:top w:w="0" w:type="dxa"/>
              <w:left w:w="108" w:type="dxa"/>
              <w:bottom w:w="0" w:type="dxa"/>
              <w:right w:w="108" w:type="dxa"/>
            </w:tcMar>
          </w:tcPr>
          <w:p>
            <w:pPr>
              <w:rPr>
                <w:rFonts w:ascii="Arial" w:hAnsi="Arial" w:cs="Arial"/>
                <w:sz w:val="20"/>
                <w:szCs w:val="20"/>
              </w:rPr>
            </w:pPr>
          </w:p>
        </w:tc>
        <w:tc>
          <w:tcPr>
            <w:tcW w:w="405" w:type="dxa"/>
            <w:tcMar>
              <w:top w:w="0" w:type="dxa"/>
              <w:left w:w="108" w:type="dxa"/>
              <w:bottom w:w="0" w:type="dxa"/>
              <w:right w:w="108" w:type="dxa"/>
            </w:tcMar>
            <w:hideMark/>
          </w:tcPr>
          <w:p>
            <w:r>
              <w:rPr>
                <w:rFonts w:ascii="Arial" w:hAnsi="Arial" w:cs="Arial"/>
                <w:sz w:val="20"/>
                <w:szCs w:val="20"/>
              </w:rPr>
              <w:t>-</w:t>
            </w:r>
          </w:p>
        </w:tc>
        <w:tc>
          <w:tcPr>
            <w:tcW w:w="1170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It may be helpful to consider and review the agreements that have been using to date, in order to establish what has “worked” and what has received push back from the industry (e.g. LEAP, ConocoPhillips General Provisions for Domestic Crude Oil Agreements dated January 1, 1993).  </w:t>
            </w:r>
            <w:proofErr w:type="spellStart"/>
            <w:r>
              <w:rPr>
                <w:rFonts w:ascii="Arial" w:hAnsi="Arial" w:cs="Arial"/>
                <w:sz w:val="20"/>
                <w:szCs w:val="20"/>
              </w:rPr>
              <w:t>Encana</w:t>
            </w:r>
            <w:proofErr w:type="spellEnd"/>
            <w:r>
              <w:rPr>
                <w:rFonts w:ascii="Arial" w:hAnsi="Arial" w:cs="Arial"/>
                <w:sz w:val="20"/>
                <w:szCs w:val="20"/>
              </w:rPr>
              <w:t xml:space="preserve"> developed its own Master Crude Oil Sale &amp; Purchase Agreement, but received some push back from counterparties who were “comfortable” using the ConocoPhillips General Provisions.  Our experience has shown that many Counterparties are still using this form, but with their own set of “Amendments / Special Provisions.”</w:t>
            </w:r>
          </w:p>
          <w:p>
            <w:pPr>
              <w:rPr>
                <w:rFonts w:ascii="Arial" w:hAnsi="Arial" w:cs="Arial"/>
                <w:sz w:val="20"/>
                <w:szCs w:val="20"/>
              </w:rPr>
            </w:pPr>
          </w:p>
        </w:tc>
      </w:tr>
    </w:tbl>
    <w:p>
      <w:pPr>
        <w:rPr>
          <w:sz w:val="20"/>
          <w:szCs w:val="20"/>
        </w:rPr>
      </w:pPr>
      <w:r>
        <w:rPr>
          <w:rFonts w:ascii="Arial" w:hAnsi="Arial" w:cs="Arial"/>
          <w:sz w:val="20"/>
          <w:szCs w:val="20"/>
        </w:rPr>
        <w:t>Please do not hesitate to contact me should you have any questions.</w:t>
      </w:r>
    </w:p>
    <w:p>
      <w:pPr>
        <w:rPr>
          <w:sz w:val="20"/>
          <w:szCs w:val="20"/>
        </w:rPr>
      </w:pPr>
      <w:r>
        <w:rPr>
          <w:sz w:val="20"/>
          <w:szCs w:val="20"/>
        </w:rPr>
        <w:t> </w:t>
      </w:r>
    </w:p>
    <w:p>
      <w:pPr>
        <w:rPr>
          <w:sz w:val="20"/>
          <w:szCs w:val="20"/>
        </w:rPr>
      </w:pPr>
      <w:r>
        <w:rPr>
          <w:rFonts w:ascii="Arial" w:hAnsi="Arial" w:cs="Arial"/>
          <w:sz w:val="20"/>
          <w:szCs w:val="20"/>
        </w:rPr>
        <w:t>Kind regards</w:t>
      </w:r>
    </w:p>
    <w:p>
      <w:pPr>
        <w:pStyle w:val="NormalWeb"/>
        <w:rPr>
          <w:rFonts w:ascii="Arial" w:hAnsi="Arial" w:cs="Arial"/>
          <w:sz w:val="20"/>
          <w:szCs w:val="20"/>
        </w:rPr>
      </w:pPr>
      <w:r>
        <w:rPr>
          <w:rFonts w:ascii="Goudy Old Style" w:hAnsi="Goudy Old Style"/>
          <w:b/>
          <w:bCs/>
          <w:color w:val="006494"/>
          <w:sz w:val="20"/>
          <w:szCs w:val="20"/>
        </w:rPr>
        <w:t>Kim McFarlane</w:t>
      </w:r>
      <w:r>
        <w:rPr>
          <w:rFonts w:ascii="Arial" w:hAnsi="Arial" w:cs="Arial"/>
          <w:sz w:val="20"/>
          <w:szCs w:val="20"/>
        </w:rPr>
        <w:t xml:space="preserve"> </w:t>
      </w:r>
      <w:r>
        <w:rPr>
          <w:rFonts w:ascii="Arial" w:hAnsi="Arial" w:cs="Arial"/>
          <w:sz w:val="20"/>
          <w:szCs w:val="20"/>
        </w:rPr>
        <w:br/>
      </w:r>
      <w:r>
        <w:rPr>
          <w:rFonts w:ascii="Goudy Old Style" w:hAnsi="Goudy Old Style"/>
          <w:b/>
          <w:bCs/>
          <w:color w:val="78A12E"/>
          <w:sz w:val="20"/>
          <w:szCs w:val="20"/>
        </w:rPr>
        <w:t>Lead, Contract Analyst</w:t>
      </w:r>
      <w:r>
        <w:rPr>
          <w:rFonts w:ascii="Arial" w:hAnsi="Arial" w:cs="Arial"/>
          <w:sz w:val="20"/>
          <w:szCs w:val="20"/>
        </w:rPr>
        <w:t xml:space="preserve"> </w:t>
      </w:r>
    </w:p>
    <w:p>
      <w:pPr>
        <w:pStyle w:val="NormalWeb"/>
        <w:rPr>
          <w:rFonts w:ascii="Arial" w:hAnsi="Arial" w:cs="Arial"/>
          <w:sz w:val="20"/>
          <w:szCs w:val="20"/>
        </w:rPr>
      </w:pPr>
      <w:proofErr w:type="spellStart"/>
      <w:r>
        <w:rPr>
          <w:rFonts w:ascii="Goudy Old Style" w:hAnsi="Goudy Old Style"/>
          <w:color w:val="006494"/>
          <w:sz w:val="20"/>
          <w:szCs w:val="20"/>
        </w:rPr>
        <w:t>Encana</w:t>
      </w:r>
      <w:proofErr w:type="spellEnd"/>
      <w:r>
        <w:rPr>
          <w:rFonts w:ascii="Goudy Old Style" w:hAnsi="Goudy Old Style"/>
          <w:color w:val="006494"/>
          <w:sz w:val="20"/>
          <w:szCs w:val="20"/>
        </w:rPr>
        <w:t xml:space="preserve"> Marketing (USA) Inc.</w:t>
      </w:r>
      <w:r>
        <w:rPr>
          <w:rFonts w:ascii="Arial" w:hAnsi="Arial" w:cs="Arial"/>
          <w:sz w:val="20"/>
          <w:szCs w:val="20"/>
        </w:rPr>
        <w:t xml:space="preserve"> </w:t>
      </w:r>
      <w:r>
        <w:rPr>
          <w:rFonts w:ascii="Arial" w:hAnsi="Arial" w:cs="Arial"/>
          <w:sz w:val="20"/>
          <w:szCs w:val="20"/>
        </w:rPr>
        <w:br/>
      </w:r>
      <w:r>
        <w:rPr>
          <w:rFonts w:ascii="Goudy Old Style" w:hAnsi="Goudy Old Style"/>
          <w:color w:val="006494"/>
          <w:sz w:val="20"/>
          <w:szCs w:val="20"/>
        </w:rPr>
        <w:t>Republic Plaza</w:t>
      </w:r>
      <w:r>
        <w:rPr>
          <w:rFonts w:ascii="Arial" w:hAnsi="Arial" w:cs="Arial"/>
          <w:sz w:val="20"/>
          <w:szCs w:val="20"/>
        </w:rPr>
        <w:t xml:space="preserve"> </w:t>
      </w:r>
      <w:r>
        <w:rPr>
          <w:rFonts w:ascii="Arial" w:hAnsi="Arial" w:cs="Arial"/>
          <w:sz w:val="20"/>
          <w:szCs w:val="20"/>
        </w:rPr>
        <w:br/>
      </w:r>
      <w:r>
        <w:rPr>
          <w:rFonts w:ascii="Goudy Old Style" w:hAnsi="Goudy Old Style"/>
          <w:color w:val="006494"/>
          <w:sz w:val="20"/>
          <w:szCs w:val="20"/>
        </w:rPr>
        <w:t>370 17th Street, Suite 1700</w:t>
      </w:r>
      <w:r>
        <w:rPr>
          <w:rFonts w:ascii="Arial" w:hAnsi="Arial" w:cs="Arial"/>
          <w:sz w:val="20"/>
          <w:szCs w:val="20"/>
        </w:rPr>
        <w:t xml:space="preserve"> </w:t>
      </w:r>
      <w:r>
        <w:rPr>
          <w:rFonts w:ascii="Arial" w:hAnsi="Arial" w:cs="Arial"/>
          <w:sz w:val="20"/>
          <w:szCs w:val="20"/>
        </w:rPr>
        <w:br/>
      </w:r>
      <w:r>
        <w:rPr>
          <w:rFonts w:ascii="Goudy Old Style" w:hAnsi="Goudy Old Style"/>
          <w:color w:val="006494"/>
          <w:sz w:val="20"/>
          <w:szCs w:val="20"/>
        </w:rPr>
        <w:t>Denver, CO 80202</w:t>
      </w:r>
      <w:r>
        <w:rPr>
          <w:rFonts w:ascii="Arial" w:hAnsi="Arial" w:cs="Arial"/>
          <w:sz w:val="20"/>
          <w:szCs w:val="20"/>
        </w:rPr>
        <w:t xml:space="preserve"> </w:t>
      </w:r>
    </w:p>
    <w:p>
      <w:pPr>
        <w:pStyle w:val="NormalWeb"/>
        <w:rPr>
          <w:rFonts w:ascii="Arial" w:hAnsi="Arial" w:cs="Arial"/>
          <w:sz w:val="20"/>
          <w:szCs w:val="20"/>
        </w:rPr>
      </w:pPr>
      <w:bookmarkStart w:id="0" w:name="_GoBack"/>
      <w:bookmarkEnd w:id="0"/>
      <w:r>
        <w:rPr>
          <w:rFonts w:ascii="Goudy Old Style" w:hAnsi="Goudy Old Style"/>
          <w:color w:val="006494"/>
          <w:sz w:val="20"/>
          <w:szCs w:val="20"/>
        </w:rPr>
        <w:t xml:space="preserve">Please note:  </w:t>
      </w:r>
      <w:proofErr w:type="spellStart"/>
      <w:r>
        <w:rPr>
          <w:rFonts w:ascii="Goudy Old Style" w:hAnsi="Goudy Old Style"/>
          <w:color w:val="006494"/>
          <w:sz w:val="20"/>
          <w:szCs w:val="20"/>
        </w:rPr>
        <w:t>Encana's</w:t>
      </w:r>
      <w:proofErr w:type="spellEnd"/>
      <w:r>
        <w:rPr>
          <w:rFonts w:ascii="Goudy Old Style" w:hAnsi="Goudy Old Style"/>
          <w:color w:val="006494"/>
          <w:sz w:val="20"/>
          <w:szCs w:val="20"/>
        </w:rPr>
        <w:t xml:space="preserve"> offices are closed the first and third Friday of every month.</w:t>
      </w:r>
      <w:r>
        <w:rPr>
          <w:rFonts w:ascii="Arial" w:hAnsi="Arial" w:cs="Arial"/>
          <w:sz w:val="20"/>
          <w:szCs w:val="20"/>
        </w:rPr>
        <w:t xml:space="preserve"> </w:t>
      </w:r>
    </w:p>
    <w:p>
      <w:r>
        <w:rPr>
          <w:rFonts w:ascii="Arial" w:hAnsi="Arial" w:cs="Arial"/>
          <w:sz w:val="20"/>
          <w:szCs w:val="20"/>
        </w:rPr>
        <w:br/>
        <w:t>   </w:t>
      </w:r>
    </w:p>
    <w:p>
      <w:r>
        <w:lastRenderedPageBreak/>
        <w:t> </w:t>
      </w:r>
    </w:p>
    <w:p>
      <w:r>
        <w:t> </w:t>
      </w:r>
    </w:p>
    <w:p>
      <w:r>
        <w:t> </w:t>
      </w:r>
    </w:p>
    <w:p>
      <w:pPr>
        <w:pStyle w:val="HTMLPreformatted"/>
      </w:pPr>
    </w:p>
    <w:p>
      <w:pPr>
        <w:pStyle w:val="HTMLPreformatted"/>
      </w:pPr>
    </w:p>
    <w:p>
      <w:pPr>
        <w:pStyle w:val="HTMLPreformatted"/>
      </w:pPr>
      <w:r>
        <w:t>This email communication and any files transmitted with it may contain</w:t>
      </w:r>
    </w:p>
    <w:p>
      <w:pPr>
        <w:pStyle w:val="HTMLPreformatted"/>
      </w:pPr>
      <w:proofErr w:type="gramStart"/>
      <w:r>
        <w:t>confidential</w:t>
      </w:r>
      <w:proofErr w:type="gramEnd"/>
      <w:r>
        <w:t xml:space="preserve"> and or proprietary information and is provided for the use of the</w:t>
      </w:r>
    </w:p>
    <w:p>
      <w:pPr>
        <w:pStyle w:val="HTMLPreformatted"/>
      </w:pPr>
      <w:proofErr w:type="gramStart"/>
      <w:r>
        <w:t>intended</w:t>
      </w:r>
      <w:proofErr w:type="gramEnd"/>
      <w:r>
        <w:t xml:space="preserve"> recipient only. Any review, retransmission or dissemination of this</w:t>
      </w:r>
    </w:p>
    <w:p>
      <w:pPr>
        <w:pStyle w:val="HTMLPreformatted"/>
      </w:pPr>
      <w:proofErr w:type="gramStart"/>
      <w:r>
        <w:t>information</w:t>
      </w:r>
      <w:proofErr w:type="gramEnd"/>
      <w:r>
        <w:t xml:space="preserve"> by anyone other than the intended recipient is prohibited. If you</w:t>
      </w:r>
    </w:p>
    <w:p>
      <w:pPr>
        <w:pStyle w:val="HTMLPreformatted"/>
      </w:pPr>
      <w:proofErr w:type="gramStart"/>
      <w:r>
        <w:t>receive</w:t>
      </w:r>
      <w:proofErr w:type="gramEnd"/>
      <w:r>
        <w:t xml:space="preserve"> this email in error, please contact the sender and delete this</w:t>
      </w:r>
    </w:p>
    <w:p>
      <w:pPr>
        <w:pStyle w:val="HTMLPreformatted"/>
      </w:pPr>
      <w:proofErr w:type="gramStart"/>
      <w:r>
        <w:t>communication</w:t>
      </w:r>
      <w:proofErr w:type="gramEnd"/>
      <w:r>
        <w:t xml:space="preserve"> and any copies immediately. Thank you.</w:t>
      </w:r>
    </w:p>
    <w:p>
      <w:pPr>
        <w:pStyle w:val="HTMLPreformatted"/>
      </w:pPr>
    </w:p>
    <w:p>
      <w:pPr>
        <w:pStyle w:val="HTMLPreformatted"/>
      </w:pPr>
      <w:hyperlink r:id="rId5" w:history="1">
        <w:r>
          <w:rPr>
            <w:rStyle w:val="Hyperlink"/>
          </w:rPr>
          <w:t>http://www.encana.com</w:t>
        </w:r>
      </w:hyperlink>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7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c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1</cp:revision>
  <dcterms:created xsi:type="dcterms:W3CDTF">2012-01-31T21:33:00Z</dcterms:created>
  <dcterms:modified xsi:type="dcterms:W3CDTF">2012-01-31T21:34:00Z</dcterms:modified>
</cp:coreProperties>
</file>