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897" w:rsidRPr="00527A37" w:rsidRDefault="00C27897" w:rsidP="00C27897">
      <w:pPr>
        <w:jc w:val="center"/>
        <w:rPr>
          <w:b/>
          <w:color w:val="0070C0"/>
          <w:sz w:val="28"/>
          <w:szCs w:val="28"/>
        </w:rPr>
      </w:pPr>
      <w:r w:rsidRPr="00527A37">
        <w:rPr>
          <w:b/>
          <w:color w:val="0070C0"/>
          <w:sz w:val="28"/>
          <w:szCs w:val="28"/>
        </w:rPr>
        <w:t>BULK ELECTRIC SYSTEM DEFINITION REVIEW</w:t>
      </w:r>
    </w:p>
    <w:p w:rsidR="00C27897" w:rsidRPr="00527A37" w:rsidRDefault="00C27897" w:rsidP="00C27897">
      <w:pPr>
        <w:jc w:val="center"/>
        <w:rPr>
          <w:b/>
          <w:sz w:val="28"/>
          <w:szCs w:val="28"/>
        </w:rPr>
      </w:pPr>
      <w:r w:rsidRPr="00527A37">
        <w:rPr>
          <w:b/>
          <w:color w:val="0070C0"/>
          <w:sz w:val="28"/>
          <w:szCs w:val="28"/>
        </w:rPr>
        <w:t>(</w:t>
      </w:r>
      <w:proofErr w:type="spellStart"/>
      <w:r w:rsidRPr="00527A37">
        <w:rPr>
          <w:b/>
          <w:color w:val="0070C0"/>
          <w:sz w:val="28"/>
          <w:szCs w:val="28"/>
        </w:rPr>
        <w:t>Narinder</w:t>
      </w:r>
      <w:proofErr w:type="spellEnd"/>
      <w:r w:rsidRPr="00527A37">
        <w:rPr>
          <w:b/>
          <w:color w:val="0070C0"/>
          <w:sz w:val="28"/>
          <w:szCs w:val="28"/>
        </w:rPr>
        <w:t xml:space="preserve"> K Saini)</w:t>
      </w:r>
    </w:p>
    <w:p w:rsidR="00C27897" w:rsidRDefault="00C27897" w:rsidP="00C27897">
      <w:pPr>
        <w:jc w:val="center"/>
        <w:rPr>
          <w:b/>
        </w:rPr>
      </w:pPr>
    </w:p>
    <w:p w:rsidR="00F4579B" w:rsidRPr="00CB5E1B" w:rsidRDefault="00B0204B">
      <w:pPr>
        <w:rPr>
          <w:b/>
          <w:color w:val="0070C0"/>
        </w:rPr>
      </w:pPr>
      <w:r w:rsidRPr="00CB5E1B">
        <w:rPr>
          <w:b/>
          <w:color w:val="0070C0"/>
        </w:rPr>
        <w:t>Existing NAESB Bulk Electric System Definition:</w:t>
      </w:r>
    </w:p>
    <w:p w:rsidR="00B0204B" w:rsidRDefault="00B0204B">
      <w:pPr>
        <w:rPr>
          <w:rFonts w:ascii="Arial" w:hAnsi="Arial" w:cs="Arial"/>
        </w:rPr>
      </w:pPr>
      <w:proofErr w:type="gramStart"/>
      <w:r w:rsidRPr="00961668">
        <w:rPr>
          <w:rFonts w:ascii="Arial" w:hAnsi="Arial" w:cs="Arial"/>
        </w:rPr>
        <w:t>The electrical generation resources, transmission lines, interconnections with neighboring systems, and associated equipment, generally operated at voltages of 100 kV or higher.</w:t>
      </w:r>
      <w:proofErr w:type="gramEnd"/>
      <w:r w:rsidRPr="00961668">
        <w:rPr>
          <w:rFonts w:ascii="Arial" w:hAnsi="Arial" w:cs="Arial"/>
        </w:rPr>
        <w:t xml:space="preserve"> Radial transmission facilities serving only load with one transmission source are generally not included in this definition.</w:t>
      </w:r>
    </w:p>
    <w:p w:rsidR="00514417" w:rsidRPr="00CB5E1B" w:rsidRDefault="00514417" w:rsidP="00514417">
      <w:pPr>
        <w:rPr>
          <w:b/>
          <w:color w:val="0070C0"/>
        </w:rPr>
      </w:pPr>
      <w:r w:rsidRPr="00CB5E1B">
        <w:rPr>
          <w:b/>
          <w:color w:val="0070C0"/>
        </w:rPr>
        <w:t>Existing NERC Bulk Electric System Definition:</w:t>
      </w:r>
    </w:p>
    <w:p w:rsidR="00514417" w:rsidRPr="00514417" w:rsidRDefault="00514417" w:rsidP="00514417">
      <w:pPr>
        <w:pStyle w:val="Default"/>
        <w:rPr>
          <w:rFonts w:ascii="Arial" w:hAnsi="Arial" w:cs="Arial"/>
          <w:sz w:val="22"/>
          <w:szCs w:val="22"/>
        </w:rPr>
      </w:pPr>
      <w:r w:rsidRPr="00514417">
        <w:rPr>
          <w:rFonts w:ascii="Arial" w:hAnsi="Arial" w:cs="Arial"/>
          <w:iCs/>
          <w:sz w:val="22"/>
          <w:szCs w:val="22"/>
          <w:highlight w:val="yellow"/>
        </w:rPr>
        <w:t>As defined by the Regional Reliability Organization,</w:t>
      </w:r>
      <w:r w:rsidRPr="00514417">
        <w:rPr>
          <w:rFonts w:ascii="Arial" w:hAnsi="Arial" w:cs="Arial"/>
          <w:iCs/>
          <w:sz w:val="22"/>
          <w:szCs w:val="22"/>
        </w:rPr>
        <w:t xml:space="preserve"> the electrical generation resources, transmission lines, interconnections with neighboring systems, and associated equipment, generally operated at voltages of 100 kV or higher. Radial transmission facilities serving only load with one transmission source are generally not included in this definition. </w:t>
      </w:r>
    </w:p>
    <w:p w:rsidR="00514417" w:rsidRDefault="00514417">
      <w:pPr>
        <w:rPr>
          <w:rFonts w:ascii="Arial" w:hAnsi="Arial" w:cs="Arial"/>
        </w:rPr>
      </w:pPr>
    </w:p>
    <w:p w:rsidR="00B0204B" w:rsidRDefault="00B0204B" w:rsidP="00B0204B">
      <w:r>
        <w:t>Proposed NERC Bulk Electric System Definition:</w:t>
      </w:r>
    </w:p>
    <w:p w:rsidR="00514417" w:rsidRPr="00514417" w:rsidRDefault="00514417" w:rsidP="00514417">
      <w:pPr>
        <w:autoSpaceDE w:val="0"/>
        <w:autoSpaceDN w:val="0"/>
        <w:adjustRightInd w:val="0"/>
        <w:spacing w:after="0" w:line="240" w:lineRule="auto"/>
        <w:rPr>
          <w:rFonts w:ascii="Arial" w:hAnsi="Arial" w:cs="Arial"/>
          <w:color w:val="000000"/>
        </w:rPr>
      </w:pPr>
      <w:r w:rsidRPr="00514417">
        <w:rPr>
          <w:rFonts w:ascii="Arial" w:hAnsi="Arial" w:cs="Arial"/>
          <w:color w:val="000000"/>
        </w:rPr>
        <w:t xml:space="preserve">All Transmission Elements operated at 100 kV or higher, Real Power resources as described below, and Reactive Power resources connected at 100 kV or higher unless such designation is modified by the list shown below. </w:t>
      </w:r>
    </w:p>
    <w:p w:rsidR="00514417" w:rsidRPr="00514417" w:rsidRDefault="00514417" w:rsidP="00514417">
      <w:pPr>
        <w:autoSpaceDE w:val="0"/>
        <w:autoSpaceDN w:val="0"/>
        <w:adjustRightInd w:val="0"/>
        <w:spacing w:after="0" w:line="240" w:lineRule="auto"/>
        <w:rPr>
          <w:rFonts w:ascii="Arial" w:hAnsi="Arial" w:cs="Arial"/>
          <w:color w:val="000000"/>
        </w:rPr>
      </w:pPr>
      <w:r w:rsidRPr="00514417">
        <w:rPr>
          <w:rFonts w:ascii="Arial" w:hAnsi="Arial" w:cs="Arial"/>
          <w:b/>
          <w:bCs/>
          <w:color w:val="000000"/>
        </w:rPr>
        <w:t xml:space="preserve">Inclusions: </w:t>
      </w:r>
    </w:p>
    <w:p w:rsidR="00514417" w:rsidRPr="00514417" w:rsidRDefault="00514417" w:rsidP="00514417">
      <w:pPr>
        <w:autoSpaceDE w:val="0"/>
        <w:autoSpaceDN w:val="0"/>
        <w:adjustRightInd w:val="0"/>
        <w:spacing w:after="7" w:line="240" w:lineRule="auto"/>
        <w:rPr>
          <w:rFonts w:ascii="Arial" w:hAnsi="Arial" w:cs="Arial"/>
          <w:color w:val="000000"/>
        </w:rPr>
      </w:pPr>
      <w:r w:rsidRPr="00514417">
        <w:rPr>
          <w:rFonts w:ascii="Arial" w:hAnsi="Arial" w:cs="Arial"/>
          <w:color w:val="000000"/>
        </w:rPr>
        <w:t xml:space="preserve">• I1 - Transformers, other than generator step-up (GSU) transformers, including phase angle regulators, with two windings of 100 kV or higher unless excluded under Exclusions E1 and E3. </w:t>
      </w:r>
    </w:p>
    <w:p w:rsidR="00514417" w:rsidRPr="00514417" w:rsidRDefault="00514417" w:rsidP="00514417">
      <w:pPr>
        <w:autoSpaceDE w:val="0"/>
        <w:autoSpaceDN w:val="0"/>
        <w:adjustRightInd w:val="0"/>
        <w:spacing w:after="7" w:line="240" w:lineRule="auto"/>
        <w:rPr>
          <w:rFonts w:ascii="Arial" w:hAnsi="Arial" w:cs="Arial"/>
          <w:color w:val="000000"/>
        </w:rPr>
      </w:pPr>
      <w:r w:rsidRPr="00514417">
        <w:rPr>
          <w:rFonts w:ascii="Arial" w:hAnsi="Arial" w:cs="Arial"/>
          <w:color w:val="000000"/>
        </w:rPr>
        <w:t xml:space="preserve">• I2 - Individual generating units greater than 20 MVA (gross nameplate rating) including the generator terminals through the GSU which has a high side voltage of 100 kV or above. </w:t>
      </w:r>
    </w:p>
    <w:p w:rsidR="00514417" w:rsidRPr="00514417" w:rsidRDefault="00514417" w:rsidP="00514417">
      <w:pPr>
        <w:autoSpaceDE w:val="0"/>
        <w:autoSpaceDN w:val="0"/>
        <w:adjustRightInd w:val="0"/>
        <w:spacing w:after="7" w:line="240" w:lineRule="auto"/>
        <w:rPr>
          <w:rFonts w:ascii="Arial" w:hAnsi="Arial" w:cs="Arial"/>
          <w:color w:val="000000"/>
        </w:rPr>
      </w:pPr>
      <w:r w:rsidRPr="00514417">
        <w:rPr>
          <w:rFonts w:ascii="Arial" w:hAnsi="Arial" w:cs="Arial"/>
          <w:color w:val="000000"/>
        </w:rPr>
        <w:t xml:space="preserve">• I3 - Multiple generating units located at a single site with aggregate capacity greater than 75 MVA (gross aggregate nameplate rating) including the generator terminals through the GSUs, connected through a common bus operated at a voltage of 100 kV or above. </w:t>
      </w:r>
    </w:p>
    <w:p w:rsidR="00514417" w:rsidRPr="00514417" w:rsidRDefault="00514417" w:rsidP="00514417">
      <w:pPr>
        <w:autoSpaceDE w:val="0"/>
        <w:autoSpaceDN w:val="0"/>
        <w:adjustRightInd w:val="0"/>
        <w:spacing w:after="7" w:line="240" w:lineRule="auto"/>
        <w:rPr>
          <w:rFonts w:ascii="Arial" w:hAnsi="Arial" w:cs="Arial"/>
          <w:color w:val="000000"/>
        </w:rPr>
      </w:pPr>
      <w:r w:rsidRPr="00514417">
        <w:rPr>
          <w:rFonts w:ascii="Arial" w:hAnsi="Arial" w:cs="Arial"/>
          <w:color w:val="000000"/>
        </w:rPr>
        <w:t xml:space="preserve">• I4 - </w:t>
      </w:r>
      <w:proofErr w:type="spellStart"/>
      <w:r w:rsidRPr="00514417">
        <w:rPr>
          <w:rFonts w:ascii="Arial" w:hAnsi="Arial" w:cs="Arial"/>
          <w:color w:val="000000"/>
        </w:rPr>
        <w:t>Blackstart</w:t>
      </w:r>
      <w:proofErr w:type="spellEnd"/>
      <w:r w:rsidRPr="00514417">
        <w:rPr>
          <w:rFonts w:ascii="Arial" w:hAnsi="Arial" w:cs="Arial"/>
          <w:color w:val="000000"/>
        </w:rPr>
        <w:t xml:space="preserve"> Resources and the designated </w:t>
      </w:r>
      <w:proofErr w:type="spellStart"/>
      <w:r w:rsidRPr="00514417">
        <w:rPr>
          <w:rFonts w:ascii="Arial" w:hAnsi="Arial" w:cs="Arial"/>
          <w:color w:val="000000"/>
        </w:rPr>
        <w:t>blackstart</w:t>
      </w:r>
      <w:proofErr w:type="spellEnd"/>
      <w:r w:rsidRPr="00514417">
        <w:rPr>
          <w:rFonts w:ascii="Arial" w:hAnsi="Arial" w:cs="Arial"/>
          <w:color w:val="000000"/>
        </w:rPr>
        <w:t xml:space="preserve"> Cranking Paths identified in the Transmission Operator’s restoration plan regardless of voltage. </w:t>
      </w:r>
    </w:p>
    <w:p w:rsidR="00514417" w:rsidRPr="00514417" w:rsidRDefault="00514417" w:rsidP="00514417">
      <w:pPr>
        <w:autoSpaceDE w:val="0"/>
        <w:autoSpaceDN w:val="0"/>
        <w:adjustRightInd w:val="0"/>
        <w:spacing w:after="0" w:line="240" w:lineRule="auto"/>
        <w:rPr>
          <w:rFonts w:ascii="Arial" w:hAnsi="Arial" w:cs="Arial"/>
          <w:color w:val="000000"/>
        </w:rPr>
      </w:pPr>
      <w:r w:rsidRPr="00514417">
        <w:rPr>
          <w:rFonts w:ascii="Arial" w:hAnsi="Arial" w:cs="Arial"/>
          <w:color w:val="000000"/>
        </w:rPr>
        <w:t xml:space="preserve">• I5 - Dispersed power producing resources with aggregate capacity greater than 75 MVA (gross aggregate nameplate rating) utilizing a collector system through a common point of interconnection to a system Element at a voltage of 100 kV or above. </w:t>
      </w:r>
    </w:p>
    <w:p w:rsidR="00514417" w:rsidRPr="00514417" w:rsidRDefault="00514417" w:rsidP="00514417">
      <w:pPr>
        <w:autoSpaceDE w:val="0"/>
        <w:autoSpaceDN w:val="0"/>
        <w:adjustRightInd w:val="0"/>
        <w:spacing w:after="0" w:line="240" w:lineRule="auto"/>
        <w:rPr>
          <w:rFonts w:ascii="Arial" w:hAnsi="Arial" w:cs="Arial"/>
          <w:color w:val="000000"/>
        </w:rPr>
      </w:pPr>
    </w:p>
    <w:p w:rsidR="00514417" w:rsidRPr="00514417" w:rsidRDefault="00514417" w:rsidP="00514417">
      <w:pPr>
        <w:autoSpaceDE w:val="0"/>
        <w:autoSpaceDN w:val="0"/>
        <w:adjustRightInd w:val="0"/>
        <w:spacing w:after="0" w:line="240" w:lineRule="auto"/>
        <w:rPr>
          <w:rFonts w:ascii="Arial" w:hAnsi="Arial" w:cs="Arial"/>
          <w:color w:val="000000"/>
        </w:rPr>
      </w:pPr>
      <w:r w:rsidRPr="00514417">
        <w:rPr>
          <w:rFonts w:ascii="Arial" w:hAnsi="Arial" w:cs="Arial"/>
          <w:b/>
          <w:bCs/>
          <w:color w:val="000000"/>
        </w:rPr>
        <w:t xml:space="preserve">Exclusions: </w:t>
      </w:r>
    </w:p>
    <w:p w:rsidR="00514417" w:rsidRPr="00514417" w:rsidRDefault="00514417" w:rsidP="00514417">
      <w:pPr>
        <w:autoSpaceDE w:val="0"/>
        <w:autoSpaceDN w:val="0"/>
        <w:adjustRightInd w:val="0"/>
        <w:spacing w:after="10" w:line="240" w:lineRule="auto"/>
        <w:rPr>
          <w:rFonts w:ascii="Arial" w:hAnsi="Arial" w:cs="Arial"/>
          <w:color w:val="000000"/>
        </w:rPr>
      </w:pPr>
      <w:r w:rsidRPr="00514417">
        <w:rPr>
          <w:rFonts w:ascii="Arial" w:hAnsi="Arial" w:cs="Arial"/>
          <w:color w:val="000000"/>
        </w:rPr>
        <w:t xml:space="preserve">• E1 - Any radial system which is described as connected from a single Transmission source originating with an automatic interruption device and: </w:t>
      </w:r>
    </w:p>
    <w:p w:rsidR="00514417" w:rsidRPr="00514417" w:rsidRDefault="00514417" w:rsidP="006769BA">
      <w:pPr>
        <w:autoSpaceDE w:val="0"/>
        <w:autoSpaceDN w:val="0"/>
        <w:adjustRightInd w:val="0"/>
        <w:spacing w:after="10" w:line="240" w:lineRule="auto"/>
        <w:ind w:left="720"/>
        <w:rPr>
          <w:rFonts w:ascii="Arial" w:hAnsi="Arial" w:cs="Arial"/>
          <w:color w:val="000000"/>
        </w:rPr>
      </w:pPr>
      <w:r w:rsidRPr="00514417">
        <w:rPr>
          <w:rFonts w:ascii="Arial" w:hAnsi="Arial" w:cs="Arial"/>
          <w:color w:val="000000"/>
        </w:rPr>
        <w:t xml:space="preserve">a) Only serving Load. A normally open switching device between radial systems may operate in a ‘make-before-break’ fashion to allow for reliable system reconfiguration to maintain continuity of electrical service. Or, </w:t>
      </w:r>
    </w:p>
    <w:p w:rsidR="00514417" w:rsidRPr="00514417" w:rsidRDefault="00514417" w:rsidP="006769BA">
      <w:pPr>
        <w:autoSpaceDE w:val="0"/>
        <w:autoSpaceDN w:val="0"/>
        <w:adjustRightInd w:val="0"/>
        <w:spacing w:after="10" w:line="240" w:lineRule="auto"/>
        <w:ind w:left="720"/>
        <w:rPr>
          <w:rFonts w:ascii="Arial" w:hAnsi="Arial" w:cs="Arial"/>
          <w:color w:val="000000"/>
        </w:rPr>
      </w:pPr>
      <w:r w:rsidRPr="00514417">
        <w:rPr>
          <w:rFonts w:ascii="Arial" w:hAnsi="Arial" w:cs="Arial"/>
          <w:color w:val="000000"/>
        </w:rPr>
        <w:t xml:space="preserve">b) Only including generation resources not identified in Inclusions I2, I3, I4 and I5. Or, </w:t>
      </w:r>
    </w:p>
    <w:p w:rsidR="00514417" w:rsidRPr="00514417" w:rsidRDefault="00514417" w:rsidP="006769BA">
      <w:pPr>
        <w:autoSpaceDE w:val="0"/>
        <w:autoSpaceDN w:val="0"/>
        <w:adjustRightInd w:val="0"/>
        <w:spacing w:after="10" w:line="240" w:lineRule="auto"/>
        <w:ind w:left="720"/>
        <w:rPr>
          <w:rFonts w:ascii="Arial" w:hAnsi="Arial" w:cs="Arial"/>
          <w:color w:val="000000"/>
        </w:rPr>
      </w:pPr>
      <w:r w:rsidRPr="00514417">
        <w:rPr>
          <w:rFonts w:ascii="Arial" w:hAnsi="Arial" w:cs="Arial"/>
          <w:color w:val="000000"/>
        </w:rPr>
        <w:t xml:space="preserve">c) Is a combination of items (a.) and (b.) where the radial system serves Load and includes generation resources not identified in Inclusions I2, I3, I4 and </w:t>
      </w:r>
      <w:proofErr w:type="gramStart"/>
      <w:r w:rsidRPr="00514417">
        <w:rPr>
          <w:rFonts w:ascii="Arial" w:hAnsi="Arial" w:cs="Arial"/>
          <w:color w:val="000000"/>
        </w:rPr>
        <w:t>I5.</w:t>
      </w:r>
      <w:proofErr w:type="gramEnd"/>
      <w:r w:rsidRPr="00514417">
        <w:rPr>
          <w:rFonts w:ascii="Arial" w:hAnsi="Arial" w:cs="Arial"/>
          <w:color w:val="000000"/>
        </w:rPr>
        <w:t xml:space="preserve"> </w:t>
      </w:r>
    </w:p>
    <w:p w:rsidR="00514417" w:rsidRPr="00514417" w:rsidRDefault="00514417" w:rsidP="00514417">
      <w:pPr>
        <w:autoSpaceDE w:val="0"/>
        <w:autoSpaceDN w:val="0"/>
        <w:adjustRightInd w:val="0"/>
        <w:spacing w:after="10" w:line="240" w:lineRule="auto"/>
        <w:rPr>
          <w:rFonts w:ascii="Arial" w:hAnsi="Arial" w:cs="Arial"/>
          <w:color w:val="000000"/>
        </w:rPr>
      </w:pPr>
      <w:r w:rsidRPr="00514417">
        <w:rPr>
          <w:rFonts w:ascii="Arial" w:hAnsi="Arial" w:cs="Arial"/>
          <w:color w:val="000000"/>
        </w:rPr>
        <w:lastRenderedPageBreak/>
        <w:t>• E2 - A generating unit or multiple generating units that serve all or part of retail Load with electric energy on the customer’s side of the retail meter if: (</w:t>
      </w:r>
      <w:proofErr w:type="spellStart"/>
      <w:r w:rsidRPr="00514417">
        <w:rPr>
          <w:rFonts w:ascii="Arial" w:hAnsi="Arial" w:cs="Arial"/>
          <w:color w:val="000000"/>
        </w:rPr>
        <w:t>i</w:t>
      </w:r>
      <w:proofErr w:type="spellEnd"/>
      <w:r w:rsidRPr="00514417">
        <w:rPr>
          <w:rFonts w:ascii="Arial" w:hAnsi="Arial" w:cs="Arial"/>
          <w:color w:val="000000"/>
        </w:rPr>
        <w:t>) the net capacity provided to the BES does not exceed the criteria identified in Inclusions I2 or I3, and (ii) standby, back-up, and maintenance power services are provided to the generating unit or multiple generating units or to the retail Load pursuant to a binding obligation with a Balancing</w:t>
      </w:r>
      <w:r w:rsidRPr="00514417">
        <w:rPr>
          <w:rFonts w:ascii="Verdana" w:hAnsi="Verdana" w:cs="Verdana"/>
          <w:color w:val="000000"/>
          <w:sz w:val="20"/>
          <w:szCs w:val="20"/>
        </w:rPr>
        <w:t xml:space="preserve"> </w:t>
      </w:r>
      <w:r w:rsidRPr="00514417">
        <w:rPr>
          <w:rFonts w:ascii="Arial" w:hAnsi="Arial" w:cs="Arial"/>
          <w:color w:val="000000"/>
        </w:rPr>
        <w:t xml:space="preserve">Authority or another Generator Owner/Generator Operator, or under terms approved by the applicable regulatory authority. </w:t>
      </w:r>
    </w:p>
    <w:p w:rsidR="00514417" w:rsidRPr="00514417" w:rsidRDefault="00514417" w:rsidP="00514417">
      <w:pPr>
        <w:autoSpaceDE w:val="0"/>
        <w:autoSpaceDN w:val="0"/>
        <w:adjustRightInd w:val="0"/>
        <w:spacing w:after="0" w:line="240" w:lineRule="auto"/>
        <w:rPr>
          <w:rFonts w:ascii="Arial" w:hAnsi="Arial" w:cs="Arial"/>
          <w:color w:val="000000"/>
        </w:rPr>
      </w:pPr>
      <w:r w:rsidRPr="00514417">
        <w:rPr>
          <w:rFonts w:ascii="Arial" w:hAnsi="Arial" w:cs="Arial"/>
          <w:color w:val="000000"/>
        </w:rPr>
        <w:t>• E3 - Local distribution networks (LDNs): Groups of Elements operated above 100 kV that distribute power to Load rather than transfer bulk power across the interconnected System. LDN’s are connected to the Bulk Electric System (BES) at</w:t>
      </w:r>
      <w:r w:rsidR="00CB5E1B">
        <w:rPr>
          <w:rFonts w:ascii="Arial" w:hAnsi="Arial" w:cs="Arial"/>
          <w:color w:val="000000"/>
        </w:rPr>
        <w:t xml:space="preserve"> more than one location solely to improve the level of service to retail customer Load.  The LDN is characterized by all of the following:</w:t>
      </w:r>
      <w:r w:rsidRPr="00514417">
        <w:rPr>
          <w:rFonts w:ascii="Arial" w:hAnsi="Arial" w:cs="Arial"/>
          <w:color w:val="000000"/>
        </w:rPr>
        <w:t xml:space="preserve"> </w:t>
      </w:r>
    </w:p>
    <w:p w:rsidR="00CB5E1B" w:rsidRPr="00CB5E1B" w:rsidRDefault="00CB5E1B" w:rsidP="00CB5E1B">
      <w:pPr>
        <w:autoSpaceDE w:val="0"/>
        <w:autoSpaceDN w:val="0"/>
        <w:adjustRightInd w:val="0"/>
        <w:spacing w:after="0" w:line="240" w:lineRule="auto"/>
        <w:ind w:left="720"/>
        <w:rPr>
          <w:rFonts w:ascii="Arial" w:hAnsi="Arial" w:cs="Arial"/>
          <w:color w:val="000000"/>
        </w:rPr>
      </w:pPr>
      <w:proofErr w:type="gramStart"/>
      <w:r w:rsidRPr="00CB5E1B">
        <w:rPr>
          <w:rFonts w:ascii="Arial" w:hAnsi="Arial" w:cs="Arial"/>
          <w:color w:val="000000"/>
        </w:rPr>
        <w:t>a</w:t>
      </w:r>
      <w:proofErr w:type="gramEnd"/>
      <w:r w:rsidRPr="00CB5E1B">
        <w:rPr>
          <w:rFonts w:ascii="Arial" w:hAnsi="Arial" w:cs="Arial"/>
          <w:color w:val="000000"/>
        </w:rPr>
        <w:t xml:space="preserve">) Separable by automatic fault interrupting devices: Wherever connected to the BES, the LDN must be connected through automatic fault-interrupting devices; </w:t>
      </w:r>
    </w:p>
    <w:p w:rsidR="00CB5E1B" w:rsidRPr="00CB5E1B" w:rsidRDefault="00CB5E1B" w:rsidP="00CB5E1B">
      <w:pPr>
        <w:autoSpaceDE w:val="0"/>
        <w:autoSpaceDN w:val="0"/>
        <w:adjustRightInd w:val="0"/>
        <w:spacing w:after="10" w:line="240" w:lineRule="auto"/>
        <w:ind w:left="720"/>
        <w:rPr>
          <w:rFonts w:ascii="Arial" w:hAnsi="Arial" w:cs="Arial"/>
          <w:color w:val="000000"/>
        </w:rPr>
      </w:pPr>
      <w:proofErr w:type="gramStart"/>
      <w:r w:rsidRPr="00CB5E1B">
        <w:rPr>
          <w:rFonts w:ascii="Arial" w:hAnsi="Arial" w:cs="Arial"/>
          <w:color w:val="000000"/>
        </w:rPr>
        <w:t>more</w:t>
      </w:r>
      <w:proofErr w:type="gramEnd"/>
      <w:r w:rsidRPr="00CB5E1B">
        <w:rPr>
          <w:rFonts w:ascii="Arial" w:hAnsi="Arial" w:cs="Arial"/>
          <w:color w:val="000000"/>
        </w:rPr>
        <w:t xml:space="preserve"> than one location solely to improve the level of service to retail customer Load. The LDN is characterized by all of the following: b) Limits on connected generation: Neither the LDN, nor </w:t>
      </w:r>
      <w:proofErr w:type="gramStart"/>
      <w:r w:rsidRPr="00CB5E1B">
        <w:rPr>
          <w:rFonts w:ascii="Arial" w:hAnsi="Arial" w:cs="Arial"/>
          <w:color w:val="000000"/>
        </w:rPr>
        <w:t>its</w:t>
      </w:r>
      <w:proofErr w:type="gramEnd"/>
      <w:r w:rsidRPr="00CB5E1B">
        <w:rPr>
          <w:rFonts w:ascii="Arial" w:hAnsi="Arial" w:cs="Arial"/>
          <w:color w:val="000000"/>
        </w:rPr>
        <w:t xml:space="preserve"> underlying Elements (in aggregate), includes more than 75 MVA generation; </w:t>
      </w:r>
    </w:p>
    <w:p w:rsidR="00CB5E1B" w:rsidRPr="00CB5E1B" w:rsidRDefault="00CB5E1B" w:rsidP="00CB5E1B">
      <w:pPr>
        <w:autoSpaceDE w:val="0"/>
        <w:autoSpaceDN w:val="0"/>
        <w:adjustRightInd w:val="0"/>
        <w:spacing w:after="10" w:line="240" w:lineRule="auto"/>
        <w:ind w:left="720"/>
        <w:rPr>
          <w:rFonts w:ascii="Arial" w:hAnsi="Arial" w:cs="Arial"/>
          <w:color w:val="000000"/>
        </w:rPr>
      </w:pPr>
      <w:r w:rsidRPr="00CB5E1B">
        <w:rPr>
          <w:rFonts w:ascii="Arial" w:hAnsi="Arial" w:cs="Arial"/>
          <w:color w:val="000000"/>
        </w:rPr>
        <w:t xml:space="preserve">c) Power flows only into the LDN: The generation within the LDN shall not exceed the electric Demand within the LDN; </w:t>
      </w:r>
    </w:p>
    <w:p w:rsidR="00CB5E1B" w:rsidRPr="00CB5E1B" w:rsidRDefault="00CB5E1B" w:rsidP="00CB5E1B">
      <w:pPr>
        <w:autoSpaceDE w:val="0"/>
        <w:autoSpaceDN w:val="0"/>
        <w:adjustRightInd w:val="0"/>
        <w:spacing w:after="10" w:line="240" w:lineRule="auto"/>
        <w:ind w:left="720"/>
        <w:rPr>
          <w:rFonts w:ascii="Arial" w:hAnsi="Arial" w:cs="Arial"/>
          <w:color w:val="000000"/>
        </w:rPr>
      </w:pPr>
      <w:r w:rsidRPr="00CB5E1B">
        <w:rPr>
          <w:rFonts w:ascii="Arial" w:hAnsi="Arial" w:cs="Arial"/>
          <w:color w:val="000000"/>
        </w:rPr>
        <w:t xml:space="preserve">d) Not used to transfer bulk power: The LDN is not used to transfer energy originating outside the LDN for delivery through the LDN; and </w:t>
      </w:r>
    </w:p>
    <w:p w:rsidR="00CB5E1B" w:rsidRPr="00CB5E1B" w:rsidRDefault="00CB5E1B" w:rsidP="00CB5E1B">
      <w:pPr>
        <w:autoSpaceDE w:val="0"/>
        <w:autoSpaceDN w:val="0"/>
        <w:adjustRightInd w:val="0"/>
        <w:spacing w:after="0" w:line="240" w:lineRule="auto"/>
        <w:ind w:left="720"/>
        <w:rPr>
          <w:rFonts w:ascii="Verdana" w:hAnsi="Verdana" w:cs="Verdana"/>
          <w:color w:val="000000"/>
          <w:sz w:val="20"/>
          <w:szCs w:val="20"/>
        </w:rPr>
      </w:pPr>
      <w:r w:rsidRPr="00CB5E1B">
        <w:rPr>
          <w:rFonts w:ascii="Arial" w:hAnsi="Arial" w:cs="Arial"/>
          <w:color w:val="000000"/>
        </w:rPr>
        <w:t xml:space="preserve">e) Not part of a </w:t>
      </w:r>
      <w:proofErr w:type="spellStart"/>
      <w:r w:rsidRPr="00CB5E1B">
        <w:rPr>
          <w:rFonts w:ascii="Arial" w:hAnsi="Arial" w:cs="Arial"/>
          <w:color w:val="000000"/>
        </w:rPr>
        <w:t>Flowgate</w:t>
      </w:r>
      <w:proofErr w:type="spellEnd"/>
      <w:r w:rsidRPr="00CB5E1B">
        <w:rPr>
          <w:rFonts w:ascii="Arial" w:hAnsi="Arial" w:cs="Arial"/>
          <w:color w:val="000000"/>
        </w:rPr>
        <w:t xml:space="preserve"> or transfer path: The LDN does not contain a monitored Facility of a permanent </w:t>
      </w:r>
      <w:proofErr w:type="spellStart"/>
      <w:r w:rsidRPr="00CB5E1B">
        <w:rPr>
          <w:rFonts w:ascii="Arial" w:hAnsi="Arial" w:cs="Arial"/>
          <w:color w:val="000000"/>
        </w:rPr>
        <w:t>flowgate</w:t>
      </w:r>
      <w:proofErr w:type="spellEnd"/>
      <w:r w:rsidRPr="00CB5E1B">
        <w:rPr>
          <w:rFonts w:ascii="Arial" w:hAnsi="Arial" w:cs="Arial"/>
          <w:color w:val="000000"/>
        </w:rPr>
        <w:t xml:space="preserve"> in the Eastern Interconnection, a major transfer path within the Western Interconnection as defined by the Regional Entity, or a comparable monitored Facility in the Quebec Interconnection, and is not a monitored Facility included in an Interconnection Reliability Operating Limit (IROL).</w:t>
      </w:r>
    </w:p>
    <w:p w:rsidR="00CB5E1B" w:rsidRPr="00CB5E1B" w:rsidRDefault="00CB5E1B" w:rsidP="00CB5E1B">
      <w:pPr>
        <w:autoSpaceDE w:val="0"/>
        <w:autoSpaceDN w:val="0"/>
        <w:adjustRightInd w:val="0"/>
        <w:spacing w:after="0" w:line="240" w:lineRule="auto"/>
        <w:rPr>
          <w:rFonts w:ascii="Verdana" w:hAnsi="Verdana" w:cs="Verdana"/>
          <w:color w:val="000000"/>
          <w:sz w:val="20"/>
          <w:szCs w:val="20"/>
        </w:rPr>
      </w:pPr>
    </w:p>
    <w:p w:rsidR="00B0204B" w:rsidRDefault="00B0204B" w:rsidP="00514417">
      <w:pPr>
        <w:pStyle w:val="Default"/>
        <w:rPr>
          <w:rFonts w:ascii="Arial" w:hAnsi="Arial" w:cs="Arial"/>
          <w:sz w:val="22"/>
          <w:szCs w:val="22"/>
        </w:rPr>
      </w:pPr>
    </w:p>
    <w:p w:rsidR="006769BA" w:rsidRDefault="006769BA" w:rsidP="00514417">
      <w:pPr>
        <w:pStyle w:val="Default"/>
        <w:rPr>
          <w:rFonts w:ascii="Arial" w:hAnsi="Arial" w:cs="Arial"/>
          <w:sz w:val="22"/>
          <w:szCs w:val="22"/>
        </w:rPr>
      </w:pPr>
    </w:p>
    <w:p w:rsidR="006769BA" w:rsidRPr="00CB5E1B" w:rsidRDefault="006769BA" w:rsidP="00514417">
      <w:pPr>
        <w:pStyle w:val="Default"/>
        <w:rPr>
          <w:rFonts w:ascii="Arial" w:hAnsi="Arial" w:cs="Arial"/>
          <w:b/>
          <w:color w:val="0070C0"/>
          <w:sz w:val="22"/>
          <w:szCs w:val="22"/>
        </w:rPr>
      </w:pPr>
      <w:r w:rsidRPr="00CB5E1B">
        <w:rPr>
          <w:rFonts w:ascii="Arial" w:hAnsi="Arial" w:cs="Arial"/>
          <w:b/>
          <w:color w:val="0070C0"/>
          <w:sz w:val="22"/>
          <w:szCs w:val="22"/>
        </w:rPr>
        <w:t>Appearance of Bulk Electric System in NAESB Business Practice Standards:</w:t>
      </w:r>
    </w:p>
    <w:p w:rsidR="006769BA" w:rsidRDefault="006769BA" w:rsidP="00514417">
      <w:pPr>
        <w:pStyle w:val="Default"/>
        <w:rPr>
          <w:rFonts w:ascii="Arial" w:hAnsi="Arial" w:cs="Arial"/>
          <w:sz w:val="22"/>
          <w:szCs w:val="22"/>
        </w:rPr>
      </w:pPr>
    </w:p>
    <w:p w:rsidR="006769BA" w:rsidRPr="006769BA" w:rsidRDefault="006769BA" w:rsidP="006769BA">
      <w:pPr>
        <w:autoSpaceDE w:val="0"/>
        <w:autoSpaceDN w:val="0"/>
        <w:adjustRightInd w:val="0"/>
        <w:spacing w:after="0" w:line="240" w:lineRule="auto"/>
        <w:rPr>
          <w:rFonts w:ascii="Arial" w:hAnsi="Arial" w:cs="Arial"/>
        </w:rPr>
      </w:pPr>
      <w:r w:rsidRPr="006769BA">
        <w:rPr>
          <w:rFonts w:ascii="Arial" w:hAnsi="Arial" w:cs="Arial"/>
          <w:b/>
          <w:bCs/>
        </w:rPr>
        <w:t xml:space="preserve">004-0.12 Interconnected Operations Service </w:t>
      </w:r>
      <w:r w:rsidRPr="006769BA">
        <w:rPr>
          <w:rFonts w:ascii="Arial" w:hAnsi="Arial" w:cs="Arial"/>
        </w:rPr>
        <w:t>– A service (exclusive of basic energy</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and</w:t>
      </w:r>
      <w:proofErr w:type="gramEnd"/>
      <w:r w:rsidRPr="006769BA">
        <w:rPr>
          <w:rFonts w:ascii="Arial" w:hAnsi="Arial" w:cs="Arial"/>
        </w:rPr>
        <w:t xml:space="preserve"> transmission services) that is required to support the reliable operation of</w:t>
      </w:r>
    </w:p>
    <w:p w:rsidR="006769BA" w:rsidRDefault="006769BA" w:rsidP="006769BA">
      <w:pPr>
        <w:pStyle w:val="Default"/>
        <w:rPr>
          <w:rFonts w:ascii="Arial" w:hAnsi="Arial" w:cs="Arial"/>
          <w:sz w:val="22"/>
          <w:szCs w:val="22"/>
        </w:rPr>
      </w:pPr>
      <w:proofErr w:type="gramStart"/>
      <w:r w:rsidRPr="006769BA">
        <w:rPr>
          <w:rFonts w:ascii="Arial" w:hAnsi="Arial" w:cs="Arial"/>
          <w:sz w:val="22"/>
          <w:szCs w:val="22"/>
        </w:rPr>
        <w:t>the</w:t>
      </w:r>
      <w:proofErr w:type="gramEnd"/>
      <w:r w:rsidRPr="006769BA">
        <w:rPr>
          <w:rFonts w:ascii="Arial" w:hAnsi="Arial" w:cs="Arial"/>
          <w:sz w:val="22"/>
          <w:szCs w:val="22"/>
        </w:rPr>
        <w:t xml:space="preserve"> interconnected </w:t>
      </w:r>
      <w:r w:rsidRPr="006769BA">
        <w:rPr>
          <w:rFonts w:ascii="Arial" w:hAnsi="Arial" w:cs="Arial"/>
          <w:sz w:val="22"/>
          <w:szCs w:val="22"/>
          <w:highlight w:val="yellow"/>
        </w:rPr>
        <w:t>bulk electric systems</w:t>
      </w:r>
      <w:r w:rsidRPr="006769BA">
        <w:rPr>
          <w:rFonts w:ascii="Arial" w:hAnsi="Arial" w:cs="Arial"/>
          <w:sz w:val="22"/>
          <w:szCs w:val="22"/>
        </w:rPr>
        <w:t>.</w:t>
      </w:r>
    </w:p>
    <w:p w:rsidR="006769BA" w:rsidRDefault="006769BA" w:rsidP="006769BA">
      <w:pPr>
        <w:pStyle w:val="Default"/>
        <w:rPr>
          <w:rFonts w:ascii="Arial" w:hAnsi="Arial" w:cs="Arial"/>
          <w:sz w:val="22"/>
          <w:szCs w:val="22"/>
        </w:rPr>
      </w:pPr>
    </w:p>
    <w:p w:rsidR="006769BA" w:rsidRPr="006769BA" w:rsidRDefault="006769BA" w:rsidP="006769BA">
      <w:pPr>
        <w:autoSpaceDE w:val="0"/>
        <w:autoSpaceDN w:val="0"/>
        <w:adjustRightInd w:val="0"/>
        <w:spacing w:after="0" w:line="240" w:lineRule="auto"/>
        <w:rPr>
          <w:rFonts w:ascii="Arial" w:hAnsi="Arial" w:cs="Arial"/>
        </w:rPr>
      </w:pPr>
      <w:r w:rsidRPr="006769BA">
        <w:rPr>
          <w:rFonts w:ascii="Arial" w:hAnsi="Arial" w:cs="Arial"/>
          <w:b/>
          <w:bCs/>
        </w:rPr>
        <w:t xml:space="preserve">004-0.17 Reliability Coordinator (RC) </w:t>
      </w:r>
      <w:r w:rsidRPr="006769BA">
        <w:rPr>
          <w:rFonts w:ascii="Arial" w:hAnsi="Arial" w:cs="Arial"/>
        </w:rPr>
        <w:t>- The entity with the highest level of authority that</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has</w:t>
      </w:r>
      <w:proofErr w:type="gramEnd"/>
      <w:r w:rsidRPr="006769BA">
        <w:rPr>
          <w:rFonts w:ascii="Arial" w:hAnsi="Arial" w:cs="Arial"/>
        </w:rPr>
        <w:t xml:space="preserve"> responsibility for the reliable operation of the </w:t>
      </w:r>
      <w:r w:rsidRPr="006769BA">
        <w:rPr>
          <w:rFonts w:ascii="Arial" w:hAnsi="Arial" w:cs="Arial"/>
          <w:highlight w:val="yellow"/>
        </w:rPr>
        <w:t>bulk electric system</w:t>
      </w:r>
      <w:r w:rsidRPr="006769BA">
        <w:rPr>
          <w:rFonts w:ascii="Arial" w:hAnsi="Arial" w:cs="Arial"/>
        </w:rPr>
        <w:t>, has the</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wide</w:t>
      </w:r>
      <w:proofErr w:type="gramEnd"/>
      <w:r w:rsidRPr="006769BA">
        <w:rPr>
          <w:rFonts w:ascii="Arial" w:hAnsi="Arial" w:cs="Arial"/>
        </w:rPr>
        <w:t xml:space="preserve"> area view of the </w:t>
      </w:r>
      <w:r w:rsidRPr="006769BA">
        <w:rPr>
          <w:rFonts w:ascii="Arial" w:hAnsi="Arial" w:cs="Arial"/>
          <w:highlight w:val="yellow"/>
        </w:rPr>
        <w:t>bulk electric system</w:t>
      </w:r>
      <w:r w:rsidRPr="006769BA">
        <w:rPr>
          <w:rFonts w:ascii="Arial" w:hAnsi="Arial" w:cs="Arial"/>
        </w:rPr>
        <w:t>, and has the operating tools,</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processes</w:t>
      </w:r>
      <w:proofErr w:type="gramEnd"/>
      <w:r w:rsidRPr="006769BA">
        <w:rPr>
          <w:rFonts w:ascii="Arial" w:hAnsi="Arial" w:cs="Arial"/>
        </w:rPr>
        <w:t xml:space="preserve"> and procedures, including the authority to prevent or mitigate</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emergency</w:t>
      </w:r>
      <w:proofErr w:type="gramEnd"/>
      <w:r w:rsidRPr="006769BA">
        <w:rPr>
          <w:rFonts w:ascii="Arial" w:hAnsi="Arial" w:cs="Arial"/>
        </w:rPr>
        <w:t xml:space="preserve"> operating situations in both next-day analysis and real-time</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operations</w:t>
      </w:r>
      <w:proofErr w:type="gramEnd"/>
      <w:r w:rsidRPr="006769BA">
        <w:rPr>
          <w:rFonts w:ascii="Arial" w:hAnsi="Arial" w:cs="Arial"/>
        </w:rPr>
        <w:t>. The Reliability Coordinator has the purview that is broad enough to</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enable</w:t>
      </w:r>
      <w:proofErr w:type="gramEnd"/>
      <w:r w:rsidRPr="006769BA">
        <w:rPr>
          <w:rFonts w:ascii="Arial" w:hAnsi="Arial" w:cs="Arial"/>
        </w:rPr>
        <w:t xml:space="preserve"> the calculation of interconnection reliability operating limits, which may</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be</w:t>
      </w:r>
      <w:proofErr w:type="gramEnd"/>
      <w:r w:rsidRPr="006769BA">
        <w:rPr>
          <w:rFonts w:ascii="Arial" w:hAnsi="Arial" w:cs="Arial"/>
        </w:rPr>
        <w:t xml:space="preserve"> based on the operating parameters of transmission systems beyond any</w:t>
      </w:r>
    </w:p>
    <w:p w:rsidR="006769BA" w:rsidRDefault="006769BA" w:rsidP="006769BA">
      <w:pPr>
        <w:pStyle w:val="Default"/>
        <w:rPr>
          <w:rFonts w:ascii="Arial" w:hAnsi="Arial" w:cs="Arial"/>
          <w:sz w:val="22"/>
          <w:szCs w:val="22"/>
        </w:rPr>
      </w:pPr>
      <w:proofErr w:type="gramStart"/>
      <w:r w:rsidRPr="006769BA">
        <w:rPr>
          <w:rFonts w:ascii="Arial" w:hAnsi="Arial" w:cs="Arial"/>
          <w:sz w:val="22"/>
          <w:szCs w:val="22"/>
        </w:rPr>
        <w:t>transmission</w:t>
      </w:r>
      <w:proofErr w:type="gramEnd"/>
      <w:r w:rsidRPr="006769BA">
        <w:rPr>
          <w:rFonts w:ascii="Arial" w:hAnsi="Arial" w:cs="Arial"/>
          <w:sz w:val="22"/>
          <w:szCs w:val="22"/>
        </w:rPr>
        <w:t xml:space="preserve"> operator’s vision.</w:t>
      </w:r>
    </w:p>
    <w:p w:rsidR="006769BA" w:rsidRDefault="006769BA" w:rsidP="006769BA">
      <w:pPr>
        <w:pStyle w:val="Default"/>
        <w:rPr>
          <w:rFonts w:ascii="Arial" w:hAnsi="Arial" w:cs="Arial"/>
          <w:sz w:val="22"/>
          <w:szCs w:val="22"/>
        </w:rPr>
      </w:pPr>
    </w:p>
    <w:p w:rsidR="006769BA" w:rsidRPr="006769BA" w:rsidRDefault="006769BA" w:rsidP="006769BA">
      <w:pPr>
        <w:autoSpaceDE w:val="0"/>
        <w:autoSpaceDN w:val="0"/>
        <w:adjustRightInd w:val="0"/>
        <w:spacing w:after="0" w:line="240" w:lineRule="auto"/>
        <w:rPr>
          <w:rFonts w:ascii="Arial" w:hAnsi="Arial" w:cs="Arial"/>
        </w:rPr>
      </w:pPr>
      <w:r w:rsidRPr="006769BA">
        <w:rPr>
          <w:rFonts w:ascii="Arial" w:hAnsi="Arial" w:cs="Arial"/>
          <w:b/>
          <w:bCs/>
        </w:rPr>
        <w:t xml:space="preserve">008-0.6 Bulk Electric System </w:t>
      </w:r>
      <w:r w:rsidRPr="006769BA">
        <w:rPr>
          <w:rFonts w:ascii="Arial" w:hAnsi="Arial" w:cs="Arial"/>
        </w:rPr>
        <w:t>– The electrical generation resources,</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transmission</w:t>
      </w:r>
      <w:proofErr w:type="gramEnd"/>
      <w:r w:rsidRPr="006769BA">
        <w:rPr>
          <w:rFonts w:ascii="Arial" w:hAnsi="Arial" w:cs="Arial"/>
        </w:rPr>
        <w:t xml:space="preserve"> lines, interconnections with neighboring systems, and</w:t>
      </w:r>
    </w:p>
    <w:p w:rsidR="006769BA" w:rsidRPr="006769BA" w:rsidRDefault="006769BA" w:rsidP="006769BA">
      <w:pPr>
        <w:autoSpaceDE w:val="0"/>
        <w:autoSpaceDN w:val="0"/>
        <w:adjustRightInd w:val="0"/>
        <w:spacing w:after="0" w:line="240" w:lineRule="auto"/>
        <w:rPr>
          <w:rFonts w:ascii="Arial" w:hAnsi="Arial" w:cs="Arial"/>
        </w:rPr>
      </w:pPr>
      <w:proofErr w:type="gramStart"/>
      <w:r w:rsidRPr="006769BA">
        <w:rPr>
          <w:rFonts w:ascii="Arial" w:hAnsi="Arial" w:cs="Arial"/>
        </w:rPr>
        <w:t>associated</w:t>
      </w:r>
      <w:proofErr w:type="gramEnd"/>
      <w:r w:rsidRPr="006769BA">
        <w:rPr>
          <w:rFonts w:ascii="Arial" w:hAnsi="Arial" w:cs="Arial"/>
        </w:rPr>
        <w:t xml:space="preserve"> equipment, generally operated at voltages of 100 kV or higher.</w:t>
      </w:r>
    </w:p>
    <w:p w:rsidR="006769BA" w:rsidRPr="006769BA" w:rsidRDefault="006769BA" w:rsidP="006769BA">
      <w:pPr>
        <w:autoSpaceDE w:val="0"/>
        <w:autoSpaceDN w:val="0"/>
        <w:adjustRightInd w:val="0"/>
        <w:spacing w:after="0" w:line="240" w:lineRule="auto"/>
        <w:rPr>
          <w:rFonts w:ascii="Arial" w:hAnsi="Arial" w:cs="Arial"/>
        </w:rPr>
      </w:pPr>
      <w:r w:rsidRPr="006769BA">
        <w:rPr>
          <w:rFonts w:ascii="Arial" w:hAnsi="Arial" w:cs="Arial"/>
        </w:rPr>
        <w:t>Radial transmission facilities serving only load with one transmission</w:t>
      </w:r>
    </w:p>
    <w:p w:rsidR="006769BA" w:rsidRDefault="006769BA" w:rsidP="006769BA">
      <w:pPr>
        <w:pStyle w:val="Default"/>
        <w:rPr>
          <w:rFonts w:ascii="Arial" w:hAnsi="Arial" w:cs="Arial"/>
        </w:rPr>
      </w:pPr>
      <w:proofErr w:type="gramStart"/>
      <w:r w:rsidRPr="006769BA">
        <w:rPr>
          <w:rFonts w:ascii="Arial" w:hAnsi="Arial" w:cs="Arial"/>
          <w:sz w:val="22"/>
          <w:szCs w:val="22"/>
        </w:rPr>
        <w:t>source</w:t>
      </w:r>
      <w:proofErr w:type="gramEnd"/>
      <w:r w:rsidRPr="006769BA">
        <w:rPr>
          <w:rFonts w:ascii="Arial" w:hAnsi="Arial" w:cs="Arial"/>
          <w:sz w:val="22"/>
          <w:szCs w:val="22"/>
        </w:rPr>
        <w:t xml:space="preserve"> are generally not included in this definition</w:t>
      </w:r>
      <w:r>
        <w:rPr>
          <w:rFonts w:ascii="Arial" w:hAnsi="Arial" w:cs="Arial"/>
        </w:rPr>
        <w:t>.</w:t>
      </w:r>
    </w:p>
    <w:p w:rsidR="006769BA" w:rsidRDefault="006769BA" w:rsidP="006769BA">
      <w:pPr>
        <w:pStyle w:val="Default"/>
        <w:rPr>
          <w:rFonts w:ascii="Arial" w:hAnsi="Arial" w:cs="Arial"/>
        </w:rPr>
      </w:pPr>
    </w:p>
    <w:p w:rsidR="006769BA" w:rsidRDefault="006769BA" w:rsidP="006769BA">
      <w:pPr>
        <w:autoSpaceDE w:val="0"/>
        <w:autoSpaceDN w:val="0"/>
        <w:adjustRightInd w:val="0"/>
        <w:spacing w:after="0" w:line="240" w:lineRule="auto"/>
        <w:rPr>
          <w:rFonts w:ascii="Arial" w:hAnsi="Arial" w:cs="Arial"/>
        </w:rPr>
      </w:pPr>
      <w:r>
        <w:rPr>
          <w:rFonts w:ascii="Arial" w:hAnsi="Arial" w:cs="Arial"/>
          <w:b/>
          <w:bCs/>
        </w:rPr>
        <w:t xml:space="preserve">008-0.22 Interconnection Reliability Operating Limit (IROL) </w:t>
      </w:r>
      <w:r>
        <w:rPr>
          <w:rFonts w:ascii="Arial" w:hAnsi="Arial" w:cs="Arial"/>
        </w:rPr>
        <w:t>– The value (such</w:t>
      </w:r>
    </w:p>
    <w:p w:rsidR="006769BA" w:rsidRDefault="006769BA" w:rsidP="006769BA">
      <w:pPr>
        <w:autoSpaceDE w:val="0"/>
        <w:autoSpaceDN w:val="0"/>
        <w:adjustRightInd w:val="0"/>
        <w:spacing w:after="0" w:line="240" w:lineRule="auto"/>
        <w:rPr>
          <w:rFonts w:ascii="Arial" w:hAnsi="Arial" w:cs="Arial"/>
        </w:rPr>
      </w:pPr>
      <w:proofErr w:type="gramStart"/>
      <w:r>
        <w:rPr>
          <w:rFonts w:ascii="Arial" w:hAnsi="Arial" w:cs="Arial"/>
        </w:rPr>
        <w:t>as</w:t>
      </w:r>
      <w:proofErr w:type="gramEnd"/>
      <w:r>
        <w:rPr>
          <w:rFonts w:ascii="Arial" w:hAnsi="Arial" w:cs="Arial"/>
        </w:rPr>
        <w:t xml:space="preserve"> MW, </w:t>
      </w:r>
      <w:proofErr w:type="spellStart"/>
      <w:r>
        <w:rPr>
          <w:rFonts w:ascii="Arial" w:hAnsi="Arial" w:cs="Arial"/>
        </w:rPr>
        <w:t>MVar</w:t>
      </w:r>
      <w:proofErr w:type="spellEnd"/>
      <w:r>
        <w:rPr>
          <w:rFonts w:ascii="Arial" w:hAnsi="Arial" w:cs="Arial"/>
        </w:rPr>
        <w:t>, Amperes, Frequency or Volts) derived from, or a subset of,</w:t>
      </w:r>
    </w:p>
    <w:p w:rsidR="006769BA" w:rsidRDefault="006769BA" w:rsidP="006769BA">
      <w:pPr>
        <w:autoSpaceDE w:val="0"/>
        <w:autoSpaceDN w:val="0"/>
        <w:adjustRightInd w:val="0"/>
        <w:spacing w:after="0" w:line="240" w:lineRule="auto"/>
        <w:rPr>
          <w:rFonts w:ascii="Arial" w:hAnsi="Arial" w:cs="Arial"/>
        </w:rPr>
      </w:pPr>
      <w:proofErr w:type="gramStart"/>
      <w:r>
        <w:rPr>
          <w:rFonts w:ascii="Arial" w:hAnsi="Arial" w:cs="Arial"/>
        </w:rPr>
        <w:t>the</w:t>
      </w:r>
      <w:proofErr w:type="gramEnd"/>
      <w:r>
        <w:rPr>
          <w:rFonts w:ascii="Arial" w:hAnsi="Arial" w:cs="Arial"/>
        </w:rPr>
        <w:t xml:space="preserve"> System Operating Limit, which if exceeded, could expose a</w:t>
      </w:r>
    </w:p>
    <w:p w:rsidR="006769BA" w:rsidRDefault="006769BA" w:rsidP="006769BA">
      <w:pPr>
        <w:autoSpaceDE w:val="0"/>
        <w:autoSpaceDN w:val="0"/>
        <w:adjustRightInd w:val="0"/>
        <w:spacing w:after="0" w:line="240" w:lineRule="auto"/>
        <w:rPr>
          <w:rFonts w:ascii="Arial" w:hAnsi="Arial" w:cs="Arial"/>
        </w:rPr>
      </w:pPr>
      <w:proofErr w:type="gramStart"/>
      <w:r>
        <w:rPr>
          <w:rFonts w:ascii="Arial" w:hAnsi="Arial" w:cs="Arial"/>
        </w:rPr>
        <w:t>widespread</w:t>
      </w:r>
      <w:proofErr w:type="gramEnd"/>
      <w:r>
        <w:rPr>
          <w:rFonts w:ascii="Arial" w:hAnsi="Arial" w:cs="Arial"/>
        </w:rPr>
        <w:t xml:space="preserve"> area of the </w:t>
      </w:r>
      <w:r w:rsidRPr="006769BA">
        <w:rPr>
          <w:rFonts w:ascii="Arial" w:hAnsi="Arial" w:cs="Arial"/>
          <w:highlight w:val="yellow"/>
        </w:rPr>
        <w:t>Bulk Electric System</w:t>
      </w:r>
      <w:r>
        <w:rPr>
          <w:rFonts w:ascii="Arial" w:hAnsi="Arial" w:cs="Arial"/>
        </w:rPr>
        <w:t xml:space="preserve"> to instability, uncontrolled</w:t>
      </w:r>
    </w:p>
    <w:p w:rsidR="006769BA" w:rsidRDefault="006769BA" w:rsidP="006769BA">
      <w:pPr>
        <w:pStyle w:val="Default"/>
        <w:rPr>
          <w:rFonts w:ascii="Arial" w:hAnsi="Arial" w:cs="Arial"/>
        </w:rPr>
      </w:pPr>
      <w:proofErr w:type="gramStart"/>
      <w:r>
        <w:rPr>
          <w:rFonts w:ascii="Arial" w:hAnsi="Arial" w:cs="Arial"/>
        </w:rPr>
        <w:t>separation(s)</w:t>
      </w:r>
      <w:proofErr w:type="gramEnd"/>
      <w:r>
        <w:rPr>
          <w:rFonts w:ascii="Arial" w:hAnsi="Arial" w:cs="Arial"/>
        </w:rPr>
        <w:t xml:space="preserve"> or cascading outages.</w:t>
      </w:r>
    </w:p>
    <w:p w:rsidR="006769BA" w:rsidRDefault="006769BA" w:rsidP="006769BA">
      <w:pPr>
        <w:pStyle w:val="Default"/>
        <w:rPr>
          <w:rFonts w:ascii="Arial" w:hAnsi="Arial" w:cs="Arial"/>
        </w:rPr>
      </w:pPr>
    </w:p>
    <w:p w:rsidR="006769BA" w:rsidRDefault="006769BA" w:rsidP="006769BA">
      <w:pPr>
        <w:pStyle w:val="Default"/>
        <w:rPr>
          <w:rFonts w:ascii="Arial" w:hAnsi="Arial" w:cs="Arial"/>
        </w:rPr>
      </w:pPr>
    </w:p>
    <w:p w:rsidR="00C27897" w:rsidRPr="00CB5E1B" w:rsidRDefault="00CB5E1B" w:rsidP="006769BA">
      <w:pPr>
        <w:pStyle w:val="Default"/>
        <w:rPr>
          <w:rFonts w:ascii="Arial" w:hAnsi="Arial" w:cs="Arial"/>
          <w:color w:val="0070C0"/>
        </w:rPr>
      </w:pPr>
      <w:r w:rsidRPr="00CB5E1B">
        <w:rPr>
          <w:rFonts w:ascii="Arial" w:hAnsi="Arial" w:cs="Arial"/>
          <w:color w:val="0070C0"/>
        </w:rPr>
        <w:t>Recommendation:</w:t>
      </w:r>
    </w:p>
    <w:p w:rsidR="00CB5E1B" w:rsidRDefault="00CB5E1B" w:rsidP="006769BA">
      <w:pPr>
        <w:pStyle w:val="Default"/>
        <w:rPr>
          <w:rFonts w:ascii="Arial" w:hAnsi="Arial" w:cs="Arial"/>
        </w:rPr>
      </w:pPr>
    </w:p>
    <w:p w:rsidR="00C27897" w:rsidRDefault="00C27897" w:rsidP="006769BA">
      <w:pPr>
        <w:pStyle w:val="Default"/>
        <w:rPr>
          <w:rFonts w:ascii="Arial" w:hAnsi="Arial" w:cs="Arial"/>
        </w:rPr>
      </w:pPr>
      <w:r>
        <w:rPr>
          <w:rFonts w:ascii="Arial" w:hAnsi="Arial" w:cs="Arial"/>
        </w:rPr>
        <w:t xml:space="preserve">Based on above review, it appears that most places Bulk Electric System is referred to in NAESB Business Practice Standards </w:t>
      </w:r>
      <w:proofErr w:type="gramStart"/>
      <w:r>
        <w:rPr>
          <w:rFonts w:ascii="Arial" w:hAnsi="Arial" w:cs="Arial"/>
        </w:rPr>
        <w:t>is</w:t>
      </w:r>
      <w:proofErr w:type="gramEnd"/>
      <w:r>
        <w:rPr>
          <w:rFonts w:ascii="Arial" w:hAnsi="Arial" w:cs="Arial"/>
        </w:rPr>
        <w:t xml:space="preserve"> related to Reliable Operation of the system.  For coordinating the definition with NERC standards, it will be appropriate to adopt NERC definition when it is finalized.</w:t>
      </w:r>
    </w:p>
    <w:p w:rsidR="00C27897" w:rsidRDefault="00C27897" w:rsidP="006769BA">
      <w:pPr>
        <w:pStyle w:val="Default"/>
        <w:rPr>
          <w:rFonts w:ascii="Arial" w:hAnsi="Arial" w:cs="Arial"/>
        </w:rPr>
      </w:pPr>
    </w:p>
    <w:p w:rsidR="00C27897" w:rsidRPr="00527A37" w:rsidRDefault="00C27897" w:rsidP="006769BA">
      <w:pPr>
        <w:pStyle w:val="Default"/>
        <w:rPr>
          <w:rFonts w:ascii="Arial" w:hAnsi="Arial" w:cs="Arial"/>
          <w:color w:val="FF0000"/>
          <w:sz w:val="22"/>
          <w:szCs w:val="22"/>
        </w:rPr>
      </w:pPr>
      <w:r w:rsidRPr="00527A37">
        <w:rPr>
          <w:rFonts w:ascii="Arial" w:hAnsi="Arial" w:cs="Arial"/>
          <w:color w:val="FF0000"/>
        </w:rPr>
        <w:t>May 10, 2011</w:t>
      </w:r>
    </w:p>
    <w:sectPr w:rsidR="00C27897" w:rsidRPr="00527A37" w:rsidSect="00F457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0204B"/>
    <w:rsid w:val="00333275"/>
    <w:rsid w:val="00514417"/>
    <w:rsid w:val="00527A37"/>
    <w:rsid w:val="006769BA"/>
    <w:rsid w:val="00B0204B"/>
    <w:rsid w:val="00C27897"/>
    <w:rsid w:val="00CB5E1B"/>
    <w:rsid w:val="00F45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4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nsaini</dc:creator>
  <cp:keywords/>
  <dc:description/>
  <cp:lastModifiedBy>nsaini</cp:lastModifiedBy>
  <cp:revision>3</cp:revision>
  <dcterms:created xsi:type="dcterms:W3CDTF">2011-05-10T19:48:00Z</dcterms:created>
  <dcterms:modified xsi:type="dcterms:W3CDTF">2011-05-10T21:21:00Z</dcterms:modified>
</cp:coreProperties>
</file>