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360" w:rsidRPr="00596A92" w:rsidRDefault="00AE1481" w:rsidP="004376D2">
      <w:pPr>
        <w:pStyle w:val="NoSpacing"/>
        <w:rPr>
          <w:b/>
          <w:sz w:val="24"/>
        </w:rPr>
      </w:pPr>
      <w:r w:rsidRPr="00596A92">
        <w:rPr>
          <w:b/>
          <w:sz w:val="24"/>
        </w:rPr>
        <w:t xml:space="preserve">First </w:t>
      </w:r>
      <w:r w:rsidR="004376D2" w:rsidRPr="00596A92">
        <w:rPr>
          <w:b/>
          <w:sz w:val="24"/>
        </w:rPr>
        <w:t>-</w:t>
      </w:r>
      <w:r w:rsidRPr="00596A92">
        <w:rPr>
          <w:b/>
          <w:sz w:val="24"/>
        </w:rPr>
        <w:t>to-Curtail</w:t>
      </w:r>
      <w:r w:rsidR="004376D2" w:rsidRPr="00596A92">
        <w:rPr>
          <w:b/>
          <w:sz w:val="24"/>
        </w:rPr>
        <w:t xml:space="preserve"> (FTC)/Last-to-Curtail (LTC) -- </w:t>
      </w:r>
      <w:r w:rsidRPr="00596A92">
        <w:rPr>
          <w:b/>
          <w:sz w:val="24"/>
        </w:rPr>
        <w:t>Other issues</w:t>
      </w:r>
      <w:r w:rsidR="004376D2" w:rsidRPr="00596A92">
        <w:rPr>
          <w:b/>
          <w:sz w:val="24"/>
        </w:rPr>
        <w:t>/questions</w:t>
      </w:r>
    </w:p>
    <w:p w:rsidR="004376D2" w:rsidRPr="008C2D28" w:rsidRDefault="004376D2" w:rsidP="004376D2">
      <w:pPr>
        <w:pStyle w:val="NoSpacing"/>
        <w:rPr>
          <w:b/>
        </w:rPr>
      </w:pPr>
      <w:r w:rsidRPr="008C2D28">
        <w:rPr>
          <w:b/>
        </w:rPr>
        <w:t>10/7/11, Stev</w:t>
      </w:r>
      <w:r w:rsidR="00FB2BC7">
        <w:rPr>
          <w:b/>
        </w:rPr>
        <w:t>e Sanders (WAPA)</w:t>
      </w:r>
    </w:p>
    <w:p w:rsidR="00AE1481" w:rsidRDefault="00AE1481" w:rsidP="004376D2">
      <w:pPr>
        <w:pStyle w:val="NoSpacing"/>
      </w:pPr>
    </w:p>
    <w:p w:rsidR="008C2D28" w:rsidRDefault="008C2D28" w:rsidP="004376D2">
      <w:pPr>
        <w:pStyle w:val="NoSpacing"/>
      </w:pPr>
    </w:p>
    <w:p w:rsidR="004376D2" w:rsidRDefault="00AE1481" w:rsidP="008C2D28">
      <w:pPr>
        <w:pStyle w:val="ListParagraph"/>
        <w:numPr>
          <w:ilvl w:val="0"/>
          <w:numId w:val="1"/>
        </w:numPr>
      </w:pPr>
      <w:r>
        <w:t>TSP’s own constraint that captures other 3</w:t>
      </w:r>
      <w:r w:rsidRPr="008C2D28">
        <w:rPr>
          <w:vertAlign w:val="superscript"/>
        </w:rPr>
        <w:t>rd</w:t>
      </w:r>
      <w:r>
        <w:t xml:space="preserve"> party flows: </w:t>
      </w:r>
      <w:r w:rsidR="00164768">
        <w:t xml:space="preserve"> </w:t>
      </w:r>
      <w:r w:rsidR="00164768" w:rsidRPr="00164768">
        <w:rPr>
          <w:u w:val="single"/>
        </w:rPr>
        <w:t>(From 9/30/11 call)</w:t>
      </w:r>
      <w:r>
        <w:br/>
      </w:r>
      <w:r w:rsidR="000E61A6">
        <w:br/>
      </w:r>
      <w:r>
        <w:t>Example</w:t>
      </w:r>
      <w:r w:rsidR="004376D2">
        <w:t xml:space="preserve"> 1</w:t>
      </w:r>
      <w:r>
        <w:t>: TSP “A” owns a Flowgate “X” on its system that captures TSP “B” transactions (&gt;cutoff threshold).</w:t>
      </w:r>
    </w:p>
    <w:p w:rsidR="00AE1481" w:rsidRDefault="00AE1481" w:rsidP="008C2D28">
      <w:pPr>
        <w:pStyle w:val="ListParagraph"/>
        <w:numPr>
          <w:ilvl w:val="0"/>
          <w:numId w:val="6"/>
        </w:numPr>
      </w:pPr>
      <w:r>
        <w:t xml:space="preserve">Under the proposed FTC/LTC rules, if TSP “B” doesn’t properly observe the constraint on TSP “A” system, its </w:t>
      </w:r>
      <w:r w:rsidR="004376D2">
        <w:t xml:space="preserve">firm </w:t>
      </w:r>
      <w:r>
        <w:t>transactions are FTC.  What</w:t>
      </w:r>
      <w:r w:rsidR="004376D2">
        <w:t xml:space="preserve"> is included in the proposed business practice that</w:t>
      </w:r>
      <w:r>
        <w:t xml:space="preserve"> requires TSP “A” to observe the same constraint in a comparable manner</w:t>
      </w:r>
      <w:r w:rsidR="008C2D28">
        <w:t xml:space="preserve"> when granting its own service</w:t>
      </w:r>
      <w:r>
        <w:t xml:space="preserve"> if the default proposal is that firm transactions are always LTC on your own system (on the path)?</w:t>
      </w:r>
      <w:r w:rsidR="000E61A6">
        <w:br/>
      </w:r>
    </w:p>
    <w:p w:rsidR="000E61A6" w:rsidRDefault="004376D2" w:rsidP="008C2D28">
      <w:pPr>
        <w:pStyle w:val="ListParagraph"/>
        <w:ind w:left="360"/>
      </w:pPr>
      <w:r>
        <w:t>Example 2: TSP “A” owns a Flowgate “X” on its system that captures TSP “B” and TSP “C” transactions (&gt; cutoff threshold).  TSP “A” and “B” are markets and agree to special market-to-market redispatch procedures in the event that constraint becomes congested and therefore grant firm service</w:t>
      </w:r>
      <w:r w:rsidR="00312F17">
        <w:t>, even if there is insufficient firm AFC otherwise</w:t>
      </w:r>
      <w:r>
        <w:t xml:space="preserve">. </w:t>
      </w:r>
      <w:r w:rsidR="00312F17">
        <w:t xml:space="preserve">  TSP “C” is not eligible to utilize the similar procedures in its Coordination Agreement with either TSP “A” or “B”, and is only able to grant firm service provided that sufficient firm AFC exists on the flowgate.  Congestion occurs, and TLR is implemented.</w:t>
      </w:r>
      <w:r w:rsidR="004E222D">
        <w:br/>
      </w:r>
    </w:p>
    <w:p w:rsidR="004376D2" w:rsidRDefault="000E61A6" w:rsidP="008C2D28">
      <w:pPr>
        <w:pStyle w:val="ListParagraph"/>
        <w:numPr>
          <w:ilvl w:val="0"/>
          <w:numId w:val="6"/>
        </w:numPr>
      </w:pPr>
      <w:r>
        <w:t>What is included in the proposed business practice to require that in the event that the parties do not all utilize the same conditions to grant service that TLR should not curtail all the service on a prorate basis without these other procedures being implemented first?</w:t>
      </w:r>
      <w:r w:rsidR="00312F17">
        <w:t xml:space="preserve"> </w:t>
      </w:r>
      <w:r>
        <w:t xml:space="preserve">  Or that one set of TSPs would be able to agree to LTC status, while requiring another TSP to meet different criteria to achieve LTC priority?</w:t>
      </w:r>
      <w:r w:rsidR="00596A92">
        <w:br/>
      </w:r>
    </w:p>
    <w:p w:rsidR="00AE1481" w:rsidRDefault="004376D2" w:rsidP="008C2D28">
      <w:pPr>
        <w:pStyle w:val="ListParagraph"/>
        <w:numPr>
          <w:ilvl w:val="0"/>
          <w:numId w:val="1"/>
        </w:numPr>
      </w:pPr>
      <w:r>
        <w:t>TSP’s firm service dependent up Planning Redispatch under OATT</w:t>
      </w:r>
      <w:r w:rsidR="00164768">
        <w:t xml:space="preserve"> </w:t>
      </w:r>
      <w:r w:rsidR="00164768" w:rsidRPr="00164768">
        <w:rPr>
          <w:u w:val="single"/>
        </w:rPr>
        <w:t>(From 9/30/11 call)</w:t>
      </w:r>
      <w:r w:rsidR="000E61A6">
        <w:br/>
      </w:r>
      <w:r>
        <w:br/>
        <w:t>Example</w:t>
      </w:r>
      <w:r w:rsidR="008C2D28">
        <w:t xml:space="preserve"> 1</w:t>
      </w:r>
      <w:r>
        <w:t>: TSP “A” provides firm service that requires Redispatch, but the Redispatch doesn’t get implemented prior to firm curtailments under TLR.</w:t>
      </w:r>
      <w:r w:rsidR="004E222D">
        <w:br/>
      </w:r>
    </w:p>
    <w:p w:rsidR="004376D2" w:rsidRDefault="004376D2" w:rsidP="008C2D28">
      <w:pPr>
        <w:pStyle w:val="ListParagraph"/>
        <w:numPr>
          <w:ilvl w:val="0"/>
          <w:numId w:val="6"/>
        </w:numPr>
      </w:pPr>
      <w:r>
        <w:t>How does the firm transaction (which doesn’t meet the requirements to maintain firm status) get treated under FTC/LTC?  Does the existing IDC have the ability to recognize these conditions, or is it incumbent on the TOP for TSP “A” to address this?</w:t>
      </w:r>
      <w:r w:rsidR="0052310B">
        <w:br/>
      </w:r>
    </w:p>
    <w:p w:rsidR="008C2D28" w:rsidRDefault="0052310B" w:rsidP="008C2D28">
      <w:pPr>
        <w:pStyle w:val="ListParagraph"/>
        <w:numPr>
          <w:ilvl w:val="0"/>
          <w:numId w:val="1"/>
        </w:numPr>
      </w:pPr>
      <w:r>
        <w:t>TSP does not evaluate the impacts of its GTL on 3</w:t>
      </w:r>
      <w:r w:rsidRPr="0052310B">
        <w:rPr>
          <w:vertAlign w:val="superscript"/>
        </w:rPr>
        <w:t>rd</w:t>
      </w:r>
      <w:r>
        <w:t xml:space="preserve"> party systems</w:t>
      </w:r>
      <w:r>
        <w:br/>
      </w:r>
      <w:r>
        <w:br/>
        <w:t>Example 1: TSP “A” grants firm GTL service without evaluating the impacts of the GTL on the affected 3</w:t>
      </w:r>
      <w:r w:rsidRPr="0052310B">
        <w:rPr>
          <w:vertAlign w:val="superscript"/>
        </w:rPr>
        <w:t>rd</w:t>
      </w:r>
      <w:r>
        <w:t xml:space="preserve"> party systems.  Under the FTC/LTC proposal, TSP “A” GTL would be classified as FTC on </w:t>
      </w:r>
      <w:r>
        <w:lastRenderedPageBreak/>
        <w:t>the 3</w:t>
      </w:r>
      <w:r w:rsidRPr="0052310B">
        <w:rPr>
          <w:vertAlign w:val="superscript"/>
        </w:rPr>
        <w:t>rd</w:t>
      </w:r>
      <w:r>
        <w:t xml:space="preserve"> party systems’ flowgates in the event they become congested.</w:t>
      </w:r>
      <w:r w:rsidR="008C2D28">
        <w:br/>
      </w:r>
    </w:p>
    <w:p w:rsidR="008C2D28" w:rsidRDefault="00164768" w:rsidP="008C2D28">
      <w:pPr>
        <w:pStyle w:val="ListParagraph"/>
        <w:numPr>
          <w:ilvl w:val="0"/>
          <w:numId w:val="6"/>
        </w:numPr>
      </w:pPr>
      <w:r>
        <w:t>How will existing GTL be treated</w:t>
      </w:r>
      <w:r w:rsidR="00214872">
        <w:t>, if a Coordination Agreement is (or is not) in place, does the long-standing service that was treated at same firm priority become FTC, or does it retain LTC status</w:t>
      </w:r>
      <w:r w:rsidR="008C2D28">
        <w:t>?</w:t>
      </w:r>
    </w:p>
    <w:p w:rsidR="0052310B" w:rsidRDefault="00FB155C" w:rsidP="004E222D">
      <w:pPr>
        <w:ind w:left="360"/>
      </w:pPr>
      <w:r>
        <w:br/>
        <w:t xml:space="preserve">Example 2: TSP “A”, who is a market under Congestion Management Protocol (CMP), converts its </w:t>
      </w:r>
      <w:r w:rsidR="00164768">
        <w:t>market footprint-wide GTL to firm</w:t>
      </w:r>
      <w:r w:rsidR="00214872">
        <w:t xml:space="preserve"> based upon DNRs</w:t>
      </w:r>
      <w:r>
        <w:t xml:space="preserve"> as proposed in the Permanent Solution option (from its CMP priorities determined by historical LBA).</w:t>
      </w:r>
      <w:r w:rsidR="008C2D28">
        <w:br/>
      </w:r>
    </w:p>
    <w:p w:rsidR="008C2D28" w:rsidRDefault="00FB155C" w:rsidP="004E222D">
      <w:pPr>
        <w:pStyle w:val="ListParagraph"/>
        <w:numPr>
          <w:ilvl w:val="0"/>
          <w:numId w:val="6"/>
        </w:numPr>
      </w:pPr>
      <w:r>
        <w:t xml:space="preserve">What analysis </w:t>
      </w:r>
      <w:r w:rsidR="00214872">
        <w:t>do the</w:t>
      </w:r>
      <w:r>
        <w:t xml:space="preserve"> CMP market</w:t>
      </w:r>
      <w:r w:rsidR="00214872">
        <w:t>s need to provide to demonstrate</w:t>
      </w:r>
      <w:r>
        <w:t xml:space="preserve"> whether there is sufficient AFC on the 3</w:t>
      </w:r>
      <w:r w:rsidRPr="00FB155C">
        <w:rPr>
          <w:vertAlign w:val="superscript"/>
        </w:rPr>
        <w:t>rd</w:t>
      </w:r>
      <w:r>
        <w:t xml:space="preserve"> party system flowgates</w:t>
      </w:r>
      <w:r w:rsidR="00164768">
        <w:t xml:space="preserve"> (or their own)</w:t>
      </w:r>
      <w:r>
        <w:t xml:space="preserve"> to accommodate conversion of the priority of its market flow to firm, and secondly to LTC on the neighbors systems?  </w:t>
      </w:r>
      <w:r w:rsidR="00164768">
        <w:t>If the Permanent Solution assumes a termination of CMP, s</w:t>
      </w:r>
      <w:r>
        <w:t>hould the CMP markets impacts above the historical firm limits be treated as FTC on 3</w:t>
      </w:r>
      <w:r w:rsidRPr="00FB155C">
        <w:rPr>
          <w:vertAlign w:val="superscript"/>
        </w:rPr>
        <w:t>rd</w:t>
      </w:r>
      <w:r>
        <w:t xml:space="preserve"> party flowgates until such time as this is demonstrated</w:t>
      </w:r>
      <w:r w:rsidR="00164768">
        <w:t xml:space="preserve"> and agreed to</w:t>
      </w:r>
      <w:r>
        <w:t>?</w:t>
      </w:r>
    </w:p>
    <w:p w:rsidR="00FB155C" w:rsidRDefault="00164768" w:rsidP="004E222D">
      <w:pPr>
        <w:pStyle w:val="ListParagraph"/>
        <w:numPr>
          <w:ilvl w:val="0"/>
          <w:numId w:val="6"/>
        </w:numPr>
      </w:pPr>
      <w:r>
        <w:t xml:space="preserve">Should existing GTL be </w:t>
      </w:r>
      <w:r w:rsidR="008C2D28">
        <w:t>converted to LTC</w:t>
      </w:r>
      <w:r>
        <w:t xml:space="preserve"> by a TSP on its own system without review, as converting non-firm to firm, or classifying firm as LTC versus FTC, on one’s own system where flowgates are impacted by other 3</w:t>
      </w:r>
      <w:r w:rsidRPr="00164768">
        <w:rPr>
          <w:vertAlign w:val="superscript"/>
        </w:rPr>
        <w:t>rd</w:t>
      </w:r>
      <w:r>
        <w:t xml:space="preserve"> parties also shifts a burden of curtailment to other parties?</w:t>
      </w:r>
      <w:r w:rsidR="008C2D28">
        <w:t xml:space="preserve"> </w:t>
      </w:r>
    </w:p>
    <w:p w:rsidR="004E222D" w:rsidRDefault="004E222D" w:rsidP="004E222D">
      <w:pPr>
        <w:pStyle w:val="ListParagraph"/>
        <w:ind w:left="360"/>
      </w:pPr>
    </w:p>
    <w:p w:rsidR="00596A92" w:rsidRDefault="00FB155C" w:rsidP="004E222D">
      <w:pPr>
        <w:pStyle w:val="ListParagraph"/>
        <w:ind w:left="360"/>
      </w:pPr>
      <w:r>
        <w:t>Example 3: TSP “A” grants firm GTL and evaluates the impacts of one or more merit order dispatches</w:t>
      </w:r>
      <w:r w:rsidR="008C2D28">
        <w:t xml:space="preserve"> (what it considers reasonable worst case dispatches)</w:t>
      </w:r>
      <w:r>
        <w:t xml:space="preserve"> in its evaluation of impacts on 3</w:t>
      </w:r>
      <w:r w:rsidRPr="00FB155C">
        <w:rPr>
          <w:vertAlign w:val="superscript"/>
        </w:rPr>
        <w:t>rd</w:t>
      </w:r>
      <w:r>
        <w:t xml:space="preserve"> party systems and therefore obtains LTC status on the 3</w:t>
      </w:r>
      <w:r w:rsidRPr="00FB155C">
        <w:rPr>
          <w:vertAlign w:val="superscript"/>
        </w:rPr>
        <w:t>rd</w:t>
      </w:r>
      <w:r>
        <w:t xml:space="preserve"> party flowgates.</w:t>
      </w:r>
      <w:r w:rsidR="00596A92">
        <w:br/>
      </w:r>
    </w:p>
    <w:p w:rsidR="00FB155C" w:rsidRDefault="00596A92" w:rsidP="00596A92">
      <w:pPr>
        <w:pStyle w:val="ListParagraph"/>
        <w:numPr>
          <w:ilvl w:val="0"/>
          <w:numId w:val="6"/>
        </w:numPr>
      </w:pPr>
      <w:r>
        <w:t xml:space="preserve"> </w:t>
      </w:r>
      <w:r w:rsidR="00FB155C">
        <w:t xml:space="preserve">In the event that TSP “A” operates its fleet in a different dispatch that </w:t>
      </w:r>
      <w:r w:rsidR="008C2D28">
        <w:t xml:space="preserve">results in greater impacts </w:t>
      </w:r>
      <w:r w:rsidR="00FB155C">
        <w:t>to a 3</w:t>
      </w:r>
      <w:r w:rsidR="00FB155C" w:rsidRPr="004E222D">
        <w:rPr>
          <w:vertAlign w:val="superscript"/>
        </w:rPr>
        <w:t>rd</w:t>
      </w:r>
      <w:r w:rsidR="00FB155C">
        <w:t xml:space="preserve"> party flowgate than evaluated when it granted the firm GTL, should the entire GTL still be considered LTC on the 3</w:t>
      </w:r>
      <w:r w:rsidR="00FB155C" w:rsidRPr="004E222D">
        <w:rPr>
          <w:vertAlign w:val="superscript"/>
        </w:rPr>
        <w:t>rd</w:t>
      </w:r>
      <w:r w:rsidR="00FB155C">
        <w:t xml:space="preserve"> party flowgate</w:t>
      </w:r>
      <w:r w:rsidR="00164768">
        <w:t>, or is it sufficient to set rules for the evaluation of the necessary reasonably worst case dispatch(es) accounting for flowgates that will be impacted</w:t>
      </w:r>
      <w:r w:rsidR="00FB155C">
        <w:t>?</w:t>
      </w:r>
    </w:p>
    <w:sectPr w:rsidR="00FB155C" w:rsidSect="00B4223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AEB" w:rsidRDefault="00A91AEB" w:rsidP="00596A92">
      <w:pPr>
        <w:spacing w:after="0" w:line="240" w:lineRule="auto"/>
      </w:pPr>
      <w:r>
        <w:separator/>
      </w:r>
    </w:p>
  </w:endnote>
  <w:endnote w:type="continuationSeparator" w:id="0">
    <w:p w:rsidR="00A91AEB" w:rsidRDefault="00A91AEB" w:rsidP="00596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972251"/>
      <w:docPartObj>
        <w:docPartGallery w:val="Page Numbers (Bottom of Page)"/>
        <w:docPartUnique/>
      </w:docPartObj>
    </w:sdtPr>
    <w:sdtContent>
      <w:p w:rsidR="00596A92" w:rsidRDefault="00E10F0A">
        <w:pPr>
          <w:pStyle w:val="Footer"/>
          <w:jc w:val="center"/>
        </w:pPr>
        <w:fldSimple w:instr=" PAGE   \* MERGEFORMAT ">
          <w:r w:rsidR="00B9346D">
            <w:rPr>
              <w:noProof/>
            </w:rPr>
            <w:t>2</w:t>
          </w:r>
        </w:fldSimple>
      </w:p>
    </w:sdtContent>
  </w:sdt>
  <w:p w:rsidR="00596A92" w:rsidRDefault="00596A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AEB" w:rsidRDefault="00A91AEB" w:rsidP="00596A92">
      <w:pPr>
        <w:spacing w:after="0" w:line="240" w:lineRule="auto"/>
      </w:pPr>
      <w:r>
        <w:separator/>
      </w:r>
    </w:p>
  </w:footnote>
  <w:footnote w:type="continuationSeparator" w:id="0">
    <w:p w:rsidR="00A91AEB" w:rsidRDefault="00A91AEB" w:rsidP="00596A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F99"/>
    <w:multiLevelType w:val="hybridMultilevel"/>
    <w:tmpl w:val="61B495FA"/>
    <w:lvl w:ilvl="0" w:tplc="B6D820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69DC"/>
    <w:multiLevelType w:val="hybridMultilevel"/>
    <w:tmpl w:val="05389E7C"/>
    <w:lvl w:ilvl="0" w:tplc="7792B03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E7961D7"/>
    <w:multiLevelType w:val="hybridMultilevel"/>
    <w:tmpl w:val="82DA4A7C"/>
    <w:lvl w:ilvl="0" w:tplc="B6D8209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42657"/>
    <w:multiLevelType w:val="hybridMultilevel"/>
    <w:tmpl w:val="307EA91C"/>
    <w:lvl w:ilvl="0" w:tplc="338E2A2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68D2EDB"/>
    <w:multiLevelType w:val="hybridMultilevel"/>
    <w:tmpl w:val="593A581C"/>
    <w:lvl w:ilvl="0" w:tplc="7C3225F2">
      <w:start w:val="1"/>
      <w:numFmt w:val="decimal"/>
      <w:lvlText w:val="%1."/>
      <w:lvlJc w:val="left"/>
      <w:pPr>
        <w:ind w:left="360" w:hanging="360"/>
      </w:pPr>
      <w:rPr>
        <w:rFonts w:asciiTheme="minorHAnsi" w:eastAsiaTheme="minorHAnsi" w:hAnsiTheme="minorHAnsi" w:cstheme="minorBidi"/>
      </w:rPr>
    </w:lvl>
    <w:lvl w:ilvl="1" w:tplc="B6D8209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9F24E9"/>
    <w:multiLevelType w:val="hybridMultilevel"/>
    <w:tmpl w:val="83968F28"/>
    <w:lvl w:ilvl="0" w:tplc="8F02A93E">
      <w:start w:val="1"/>
      <w:numFmt w:val="decimal"/>
      <w:lvlText w:val="%1."/>
      <w:lvlJc w:val="left"/>
      <w:pPr>
        <w:ind w:left="720" w:hanging="360"/>
      </w:pPr>
      <w:rPr>
        <w:rFonts w:asciiTheme="minorHAnsi" w:eastAsiaTheme="minorHAnsi" w:hAnsiTheme="minorHAnsi" w:cstheme="minorBidi"/>
      </w:rPr>
    </w:lvl>
    <w:lvl w:ilvl="1" w:tplc="B6D820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AE1481"/>
    <w:rsid w:val="000E61A6"/>
    <w:rsid w:val="00164768"/>
    <w:rsid w:val="00214872"/>
    <w:rsid w:val="002B2CE4"/>
    <w:rsid w:val="00312F17"/>
    <w:rsid w:val="003518E6"/>
    <w:rsid w:val="004376D2"/>
    <w:rsid w:val="004E222D"/>
    <w:rsid w:val="0052310B"/>
    <w:rsid w:val="00596A92"/>
    <w:rsid w:val="00746325"/>
    <w:rsid w:val="008C2D28"/>
    <w:rsid w:val="00A91AEB"/>
    <w:rsid w:val="00AD3EF2"/>
    <w:rsid w:val="00AE1481"/>
    <w:rsid w:val="00B42238"/>
    <w:rsid w:val="00B9346D"/>
    <w:rsid w:val="00E10F0A"/>
    <w:rsid w:val="00FB155C"/>
    <w:rsid w:val="00FB2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81"/>
    <w:pPr>
      <w:ind w:left="720"/>
      <w:contextualSpacing/>
    </w:pPr>
  </w:style>
  <w:style w:type="paragraph" w:styleId="NoSpacing">
    <w:name w:val="No Spacing"/>
    <w:uiPriority w:val="1"/>
    <w:qFormat/>
    <w:rsid w:val="004376D2"/>
    <w:pPr>
      <w:spacing w:after="0" w:line="240" w:lineRule="auto"/>
    </w:pPr>
  </w:style>
  <w:style w:type="paragraph" w:styleId="Header">
    <w:name w:val="header"/>
    <w:basedOn w:val="Normal"/>
    <w:link w:val="HeaderChar"/>
    <w:uiPriority w:val="99"/>
    <w:semiHidden/>
    <w:unhideWhenUsed/>
    <w:rsid w:val="00596A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6A92"/>
  </w:style>
  <w:style w:type="paragraph" w:styleId="Footer">
    <w:name w:val="footer"/>
    <w:basedOn w:val="Normal"/>
    <w:link w:val="FooterChar"/>
    <w:uiPriority w:val="99"/>
    <w:unhideWhenUsed/>
    <w:rsid w:val="00596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Western Area Power Administration</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dc:creator>
  <cp:keywords/>
  <dc:description/>
  <cp:lastModifiedBy>Shah Hossain</cp:lastModifiedBy>
  <cp:revision>2</cp:revision>
  <cp:lastPrinted>2011-10-07T18:26:00Z</cp:lastPrinted>
  <dcterms:created xsi:type="dcterms:W3CDTF">2011-10-07T21:11:00Z</dcterms:created>
  <dcterms:modified xsi:type="dcterms:W3CDTF">2011-10-07T21:11:00Z</dcterms:modified>
</cp:coreProperties>
</file>