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903" w:rsidRPr="00EA1AD8" w:rsidRDefault="009E2284">
      <w:pPr>
        <w:rPr>
          <w:b/>
        </w:rPr>
      </w:pPr>
      <w:r w:rsidRPr="00EA1AD8">
        <w:rPr>
          <w:b/>
        </w:rPr>
        <w:t>Action Item 63 - Check whether White Paper - Outstanding Issues Not Addressed in Solution Item #1 can be withdrawn from consideration.</w:t>
      </w:r>
    </w:p>
    <w:p w:rsidR="009E2284" w:rsidRDefault="009E2284" w:rsidP="009E2284">
      <w:pPr>
        <w:pStyle w:val="ListParagraph"/>
        <w:numPr>
          <w:ilvl w:val="0"/>
          <w:numId w:val="1"/>
        </w:numPr>
      </w:pPr>
      <w:r>
        <w:t>How to address a second TLR after the firm generation was cut and left the non-firm generation (Would you curtail firm before you cut the non-firm wind?)  (Credit for re-dispatch already taken?)</w:t>
      </w:r>
    </w:p>
    <w:p w:rsidR="009E2284" w:rsidRDefault="009E2284" w:rsidP="009E2284">
      <w:pPr>
        <w:pStyle w:val="ListParagraph"/>
      </w:pPr>
      <w:r w:rsidRPr="00F93B0C">
        <w:rPr>
          <w:b/>
        </w:rPr>
        <w:t>Status:</w:t>
      </w:r>
      <w:r>
        <w:t xml:space="preserve"> To do this would require the Transmission Service Provider to identify the generators that were moved to provide the relief obligation and by how much and then reported to the IDC.  It would have to be limited to just those units that were moved because of the TLR.  Because of the changes in the system you cannot identify which units are moving for which TLR.  This issue is not going to be addressed in this proposal.  This issue exists today.</w:t>
      </w:r>
    </w:p>
    <w:p w:rsidR="009E2284" w:rsidRDefault="008768F9" w:rsidP="009E2284">
      <w:r>
        <w:t>T</w:t>
      </w:r>
      <w:r w:rsidR="009E2284">
        <w:t>he issue and the status for this</w:t>
      </w:r>
      <w:r>
        <w:t xml:space="preserve"> item were</w:t>
      </w:r>
      <w:r w:rsidR="009E2284">
        <w:t xml:space="preserve"> documented by the work group that developed the</w:t>
      </w:r>
      <w:r w:rsidR="005E0CD4">
        <w:t xml:space="preserve"> initial</w:t>
      </w:r>
      <w:r w:rsidR="009E2284">
        <w:t xml:space="preserve"> Generator Prioritization Option document</w:t>
      </w:r>
      <w:r w:rsidR="005E0CD4">
        <w:t>,</w:t>
      </w:r>
      <w:r w:rsidR="009E2284">
        <w:t xml:space="preserve"> which was presented to the full subcommittee at the June 24-25, 2010</w:t>
      </w:r>
      <w:r>
        <w:t>, m</w:t>
      </w:r>
      <w:r w:rsidR="009E2284">
        <w:t xml:space="preserve">eeting (See </w:t>
      </w:r>
      <w:hyperlink r:id="rId5" w:history="1">
        <w:r w:rsidRPr="00622E76">
          <w:rPr>
            <w:rStyle w:val="Hyperlink"/>
          </w:rPr>
          <w:t>http://www.naesb.org/pdf4/weq_bps062410w1.doc</w:t>
        </w:r>
      </w:hyperlink>
      <w:r>
        <w:t>).</w:t>
      </w:r>
      <w:r w:rsidR="009E2284">
        <w:t xml:space="preserve"> </w:t>
      </w:r>
      <w:r>
        <w:t xml:space="preserve">Based on review of the documents created by the </w:t>
      </w:r>
      <w:r w:rsidR="005E0CD4">
        <w:t>work group the issue was</w:t>
      </w:r>
      <w:r>
        <w:t xml:space="preserve"> raised during work group’s April 19, 2010 working session, held at the NERC office in Washington, DC.  The status was added when the work group met on May </w:t>
      </w:r>
      <w:r w:rsidR="005E0CD4">
        <w:t>25, 2010, when they met in Carmel, IN.  Since the work group meetings were not official subcommittee meetings, there are no meeting minutes that provide background as to the discussion that drove the work group in developing the status for this issue.</w:t>
      </w:r>
      <w:r w:rsidR="007E6566">
        <w:t xml:space="preserve">  Thus, the issue and status was presented to the subcommittee, rather than the subcommittee as a whole developing the status of the issue.</w:t>
      </w:r>
      <w:r w:rsidR="001C24E9">
        <w:t xml:space="preserve">  </w:t>
      </w:r>
    </w:p>
    <w:p w:rsidR="001C24E9" w:rsidRDefault="001C24E9" w:rsidP="009E2284">
      <w:r>
        <w:t>In the September 15-16, 2010</w:t>
      </w:r>
      <w:r w:rsidR="00EA1AD8">
        <w:t>,</w:t>
      </w:r>
      <w:r>
        <w:t xml:space="preserve"> and October 14=15, 2010</w:t>
      </w:r>
      <w:r w:rsidR="00ED4D47">
        <w:t>,</w:t>
      </w:r>
      <w:r>
        <w:t xml:space="preserve"> BPS meeting</w:t>
      </w:r>
      <w:r w:rsidR="00EA1AD8">
        <w:t>s</w:t>
      </w:r>
      <w:r>
        <w:t xml:space="preserve"> the</w:t>
      </w:r>
      <w:r w:rsidR="00EA1AD8">
        <w:t xml:space="preserve"> subcommittee jointly developed comprehensive </w:t>
      </w:r>
      <w:r>
        <w:t>issue lists for each of the three options u</w:t>
      </w:r>
      <w:r w:rsidR="00ED4D47">
        <w:t xml:space="preserve">nder </w:t>
      </w:r>
      <w:r w:rsidR="006C3D8E">
        <w:t>consideration at that time; a) Tag All Non-Firm, b) G</w:t>
      </w:r>
      <w:r w:rsidR="00ED4D47">
        <w:t>e</w:t>
      </w:r>
      <w:r w:rsidR="006C3D8E">
        <w:t>nerator Prioritization and c) Flowgate A</w:t>
      </w:r>
      <w:r w:rsidR="00ED4D47">
        <w:t xml:space="preserve">llocation. </w:t>
      </w:r>
      <w:r>
        <w:t xml:space="preserve"> </w:t>
      </w:r>
      <w:r w:rsidR="00ED4D47">
        <w:t xml:space="preserve">In review the issues lists it is clear </w:t>
      </w:r>
      <w:r w:rsidR="00EA1AD8">
        <w:t>the</w:t>
      </w:r>
      <w:r w:rsidR="00ED4D47">
        <w:t xml:space="preserve"> issues were cross checked against the “Outstanding Issues Not Address in the Solution”</w:t>
      </w:r>
      <w:r w:rsidR="00EA1AD8">
        <w:t xml:space="preserve"> for each option</w:t>
      </w:r>
      <w:r w:rsidR="00ED4D47">
        <w:t>,  though the meeting minutes from September 15-16, 2010 are not available and the meeting minutes from October 14-15, 2010, meeting minutes do not state that a cross check occurred.</w:t>
      </w:r>
      <w:r w:rsidR="00EA1AD8">
        <w:t xml:space="preserve">  The compre</w:t>
      </w:r>
      <w:r w:rsidR="006C3D8E">
        <w:t>hensive list of issues for the Generator Prioritization O</w:t>
      </w:r>
      <w:r w:rsidR="00EA1AD8">
        <w:t xml:space="preserve">ption did not include the issue: “How to address a second TLR after the firm generation was cut and left the non-firm generation (Would you curtail firm before you cut the non-firm wind?)  </w:t>
      </w:r>
      <w:proofErr w:type="gramStart"/>
      <w:r w:rsidR="00EA1AD8">
        <w:t>(Credit for re-dispatch already taken?)”</w:t>
      </w:r>
      <w:proofErr w:type="gramEnd"/>
      <w:r w:rsidR="00EA1AD8">
        <w:t xml:space="preserve">  Based on the fact that the issue was not added to the comprehensive list for the generator prioritization option, one may assume that the subcommittee determined the issue did not need to be addressed in the permanent solution.</w:t>
      </w:r>
      <w:r w:rsidR="006C3D8E">
        <w:t xml:space="preserve"> The comprehensive Generator Prioritization Issue list is posted at </w:t>
      </w:r>
      <w:hyperlink r:id="rId6" w:history="1">
        <w:r w:rsidR="00AF5493" w:rsidRPr="006F17BE">
          <w:rPr>
            <w:rStyle w:val="Hyperlink"/>
          </w:rPr>
          <w:t>http://www.naesb.org/pdf4/weq_bps101410a2.doc</w:t>
        </w:r>
      </w:hyperlink>
      <w:r w:rsidR="00AF5493">
        <w:t xml:space="preserve">. </w:t>
      </w:r>
    </w:p>
    <w:sectPr w:rsidR="001C24E9" w:rsidSect="00802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85342"/>
    <w:multiLevelType w:val="hybridMultilevel"/>
    <w:tmpl w:val="EB1AD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9E2284"/>
    <w:rsid w:val="00011C92"/>
    <w:rsid w:val="0002055B"/>
    <w:rsid w:val="001C24E9"/>
    <w:rsid w:val="00285C3E"/>
    <w:rsid w:val="002E6051"/>
    <w:rsid w:val="002F52E9"/>
    <w:rsid w:val="005E0CD4"/>
    <w:rsid w:val="00653226"/>
    <w:rsid w:val="006C3D8E"/>
    <w:rsid w:val="00757BF1"/>
    <w:rsid w:val="007C2FF7"/>
    <w:rsid w:val="007E6566"/>
    <w:rsid w:val="00802903"/>
    <w:rsid w:val="008768F9"/>
    <w:rsid w:val="009356AD"/>
    <w:rsid w:val="009E2284"/>
    <w:rsid w:val="00A83183"/>
    <w:rsid w:val="00AE550F"/>
    <w:rsid w:val="00AF5493"/>
    <w:rsid w:val="00B85818"/>
    <w:rsid w:val="00C27C76"/>
    <w:rsid w:val="00CC3441"/>
    <w:rsid w:val="00CE6BD7"/>
    <w:rsid w:val="00E0362A"/>
    <w:rsid w:val="00EA1AD8"/>
    <w:rsid w:val="00ED4D47"/>
    <w:rsid w:val="00FA5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284"/>
    <w:pPr>
      <w:ind w:left="720"/>
      <w:contextualSpacing/>
    </w:pPr>
    <w:rPr>
      <w:rFonts w:ascii="Calibri" w:eastAsia="Calibri" w:hAnsi="Calibri" w:cs="Times New Roman"/>
    </w:rPr>
  </w:style>
  <w:style w:type="character" w:styleId="Hyperlink">
    <w:name w:val="Hyperlink"/>
    <w:basedOn w:val="DefaultParagraphFont"/>
    <w:uiPriority w:val="99"/>
    <w:unhideWhenUsed/>
    <w:rsid w:val="009E22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esb.org/pdf4/weq_bps101410a2.doc" TargetMode="External"/><Relationship Id="rId5" Type="http://schemas.openxmlformats.org/officeDocument/2006/relationships/hyperlink" Target="http://www.naesb.org/pdf4/weq_bps062410w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Midwest ISO</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eskiba</dc:creator>
  <cp:keywords/>
  <dc:description/>
  <cp:lastModifiedBy>eskiba</cp:lastModifiedBy>
  <cp:revision>2</cp:revision>
  <dcterms:created xsi:type="dcterms:W3CDTF">2011-09-21T23:44:00Z</dcterms:created>
  <dcterms:modified xsi:type="dcterms:W3CDTF">2011-09-22T01:13:00Z</dcterms:modified>
</cp:coreProperties>
</file>