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ListParagraph"/>
        <w:numPr>
          <w:ilvl w:val="0"/>
          <w:numId w:val="1"/>
        </w:numPr>
      </w:pPr>
      <w:r>
        <w:t xml:space="preserve">SPP and Westar prefer that each TSP enter into separate  bilateral agreements with other TSPs. A TSP should have good knowledge about  all other TSP’s flowgates he is impacting. </w:t>
      </w:r>
    </w:p>
    <w:p>
      <w:pPr>
        <w:pStyle w:val="ListParagraph"/>
        <w:numPr>
          <w:ilvl w:val="1"/>
          <w:numId w:val="1"/>
        </w:numPr>
      </w:pPr>
      <w:r>
        <w:t xml:space="preserve">Objective of the bilateral agreement is to honor each others’ flowgates so tags are treated by all parties as “Last to Curtail.”  </w:t>
      </w:r>
    </w:p>
    <w:p>
      <w:pPr>
        <w:pStyle w:val="ListParagraph"/>
        <w:numPr>
          <w:ilvl w:val="1"/>
          <w:numId w:val="1"/>
        </w:numPr>
      </w:pPr>
      <w:r>
        <w:t>TSPs can reference to existing agreements with other TSP’s and include exclusion or inclusion items in their bilateral agreements to fit their unique needs  in the bilateral agreement</w:t>
      </w:r>
    </w:p>
    <w:p>
      <w:pPr>
        <w:pStyle w:val="ListParagraph"/>
        <w:numPr>
          <w:ilvl w:val="1"/>
          <w:numId w:val="1"/>
        </w:numPr>
      </w:pPr>
      <w:r>
        <w:t>The bilateral agreement can only include the minimum requirements and not refer to the standardized coordination agreement</w:t>
      </w:r>
    </w:p>
    <w:p>
      <w:pPr>
        <w:pStyle w:val="ListParagraph"/>
        <w:numPr>
          <w:ilvl w:val="0"/>
          <w:numId w:val="1"/>
        </w:numPr>
      </w:pPr>
      <w:r>
        <w:t>We have serious (reliability) concerns with the “First to Curtail” and “Last to Curtail” applied to  Gen-to-Load  impacts.  Our concern is best illustrated in the example 3a (left half) .</w:t>
      </w:r>
      <w:r>
        <w:br/>
        <w:t xml:space="preserve"> TSP B may have to reduce its &gt;5%  Forward Gen-to-Load impact on TSP A’s flowgate to zero before TSP A would have to redispatch (or take other actions).   It might be impossible for TSP B to reduce its &gt;5%  Forward Gen-to-Load impact on TSP A’s flowgate to zero, while still serving its customers.   Relief from TSP A could be required to resolve the loading issues  before TSP B provides all of its “First to Curtail” Gen-to_Load relief. This example illustrates our concern that reliability may be compromised – This should lead to a discussion whether we need to apply the  “First to Curtail” and “Last to Curtail” logic to Gen-to-Load  impacts or limit the “First to Curtail” and “Last to Curtail”  to PTP transactions? </w:t>
      </w:r>
      <w:r>
        <w:br/>
        <w:t>We believe that  Gen-to-Load  AFC calculations are not really transparent to other TSP’s, PTP transactions are relatively more transparent. So with or without bilateral agreements it will be difficult to determine that TSP A and B are respecting each others’ flowgates prior to “granting” Firm  Gen-to-Load rights?</w:t>
      </w:r>
    </w:p>
    <w:p>
      <w:pPr>
        <w:pStyle w:val="ListParagraph"/>
        <w:numPr>
          <w:ilvl w:val="0"/>
          <w:numId w:val="1"/>
        </w:numPr>
      </w:pPr>
      <w:r>
        <w:t>With respect to identifying flowgates that need to be included in transmission service request approval process:</w:t>
      </w:r>
    </w:p>
    <w:p>
      <w:pPr>
        <w:pStyle w:val="ListParagraph"/>
        <w:numPr>
          <w:ilvl w:val="1"/>
          <w:numId w:val="1"/>
        </w:numPr>
      </w:pPr>
      <w:r>
        <w:t>We need to review / discuss the criteria that will be applied to  large market’s  and large non-Market areas to identify flow gates impacted by those large areas.  The criteria should be consistent for both markets and non-markets. Currently market impacts are calculated by adding up gen-to-load impacts of individual control areas and the impact of transfer flow between those control areas.  For non-Markets, the impacts are gen-to-load impacts only. Are we considering  only Gen-to-Load type of calculations to identify coordinated flowgates or also transfer flows within the large market’s  and large non-Market areas.</w:t>
      </w:r>
    </w:p>
    <w:p>
      <w:pPr>
        <w:pStyle w:val="ListParagraph"/>
        <w:numPr>
          <w:ilvl w:val="1"/>
          <w:numId w:val="1"/>
        </w:numPr>
      </w:pPr>
      <w:r>
        <w:t xml:space="preserve">We need to discuss the timing requirements for adding temporary flowgates  to idc for reliability purposes and if the  First to Curtail” and “Last to Curtail” rules need to be applied to those temporary flowgates , knowing they might not be added to all AFC calculations yet. </w:t>
      </w:r>
    </w:p>
    <w:p>
      <w:pPr>
        <w:pStyle w:val="ListParagraph"/>
        <w:numPr>
          <w:ilvl w:val="0"/>
          <w:numId w:val="1"/>
        </w:numPr>
      </w:pPr>
      <w:r>
        <w:t xml:space="preserve">With respect to  “Lengthy Tag issue”  we propose applying  a 3% or 5% impact rule to determine if a TSP that granted a TSR  listed on the Tag,  need to have a bilateral agreement with the  TSP that experiences congestion in order to give the Tag “Last to curtail” status. </w:t>
      </w:r>
    </w:p>
    <w:p>
      <w:pPr>
        <w:pStyle w:val="ListParagraph"/>
        <w:numPr>
          <w:ilvl w:val="0"/>
          <w:numId w:val="1"/>
        </w:numPr>
      </w:pPr>
      <w:r>
        <w:t>With respect to Further discussion items- MOD Standards – we agree that should not be limited to just adjacent and neighbors</w:t>
      </w:r>
    </w:p>
    <w:p>
      <w:pPr>
        <w:pStyle w:val="ListParagraph"/>
        <w:numPr>
          <w:ilvl w:val="0"/>
          <w:numId w:val="1"/>
        </w:numPr>
      </w:pPr>
      <w:r>
        <w:lastRenderedPageBreak/>
        <w:t>Levels of Reciprocity is moot given our preference in bullet (1)</w:t>
      </w:r>
    </w:p>
    <w:p>
      <w:pPr>
        <w:pStyle w:val="ListParagraph"/>
        <w:numPr>
          <w:ilvl w:val="0"/>
          <w:numId w:val="1"/>
        </w:numPr>
      </w:pPr>
      <w:r>
        <w:t>John Harmon bullet points 1(a) and 2 – we share his thoughts</w:t>
      </w:r>
    </w:p>
    <w:p/>
    <w:p>
      <w:r>
        <w:t>Over reaching issue –</w:t>
      </w:r>
    </w:p>
    <w:p>
      <w:r>
        <w:t>What about those TSRs granted prior to the day TSPs enter into the coordination agreement?  We need to discuss or solicit both the policy implications and technical issues surrounding accommodation of these existing TSRs?</w:t>
      </w:r>
    </w:p>
    <w:p/>
    <w:sect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C1B95"/>
    <w:multiLevelType w:val="hybridMultilevel"/>
    <w:tmpl w:val="EFFEAB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3024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wolfea</cp:lastModifiedBy>
  <cp:revision>3</cp:revision>
  <dcterms:created xsi:type="dcterms:W3CDTF">2011-07-26T20:33:00Z</dcterms:created>
  <dcterms:modified xsi:type="dcterms:W3CDTF">2011-08-05T12:49:00Z</dcterms:modified>
</cp:coreProperties>
</file>