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7A2" w:rsidRDefault="005757A2"/>
    <w:p w:rsidR="0081386E" w:rsidRDefault="0081386E">
      <w:pPr>
        <w:rPr>
          <w:rFonts w:ascii="Arial" w:hAnsi="Arial" w:cs="Arial"/>
          <w:b/>
          <w:sz w:val="24"/>
          <w:szCs w:val="24"/>
        </w:rPr>
      </w:pPr>
    </w:p>
    <w:p w:rsidR="0081386E" w:rsidRDefault="0081386E">
      <w:pPr>
        <w:rPr>
          <w:rFonts w:ascii="Arial" w:hAnsi="Arial" w:cs="Arial"/>
          <w:b/>
          <w:sz w:val="24"/>
          <w:szCs w:val="24"/>
        </w:rPr>
      </w:pPr>
      <w:r>
        <w:rPr>
          <w:rFonts w:ascii="Arial" w:hAnsi="Arial" w:cs="Arial"/>
          <w:b/>
          <w:sz w:val="24"/>
          <w:szCs w:val="24"/>
        </w:rPr>
        <w:t>New Policy Being Developed by the NAESB WEQ BPS</w:t>
      </w:r>
    </w:p>
    <w:p w:rsidR="00C15C11" w:rsidRPr="00B2516D" w:rsidRDefault="00C15C11">
      <w:pPr>
        <w:rPr>
          <w:rFonts w:ascii="Arial" w:hAnsi="Arial" w:cs="Arial"/>
          <w:b/>
          <w:sz w:val="24"/>
          <w:szCs w:val="24"/>
        </w:rPr>
      </w:pPr>
      <w:r w:rsidRPr="00B2516D">
        <w:rPr>
          <w:rFonts w:ascii="Arial" w:hAnsi="Arial" w:cs="Arial"/>
          <w:b/>
          <w:sz w:val="24"/>
          <w:szCs w:val="24"/>
        </w:rPr>
        <w:t>Overview:</w:t>
      </w:r>
    </w:p>
    <w:p w:rsidR="003351F6" w:rsidRDefault="00C15C11">
      <w:pPr>
        <w:rPr>
          <w:rFonts w:ascii="Arial" w:hAnsi="Arial" w:cs="Arial"/>
          <w:sz w:val="24"/>
          <w:szCs w:val="24"/>
        </w:rPr>
      </w:pPr>
      <w:r>
        <w:rPr>
          <w:rFonts w:ascii="Arial" w:hAnsi="Arial" w:cs="Arial"/>
          <w:sz w:val="24"/>
          <w:szCs w:val="24"/>
        </w:rPr>
        <w:t xml:space="preserve">The Wholesale Electric Quadrant’s Business Practices Subcommittee, in working on Business Practices Standards for WEQ Annual Plan Item </w:t>
      </w:r>
      <w:r w:rsidR="002A1C65">
        <w:rPr>
          <w:rFonts w:ascii="Arial" w:hAnsi="Arial" w:cs="Arial"/>
          <w:sz w:val="24"/>
          <w:szCs w:val="24"/>
        </w:rPr>
        <w:t>1.a),</w:t>
      </w:r>
      <w:r>
        <w:rPr>
          <w:rFonts w:ascii="Arial" w:hAnsi="Arial" w:cs="Arial"/>
          <w:sz w:val="24"/>
          <w:szCs w:val="24"/>
        </w:rPr>
        <w:t xml:space="preserve"> has adopted plans to incorporate several items which appear to be policy in nature.  The subcommittee has not been directed to incorporate these policy items by the NAESB Board of Directors, in </w:t>
      </w:r>
      <w:r w:rsidR="00D4526F">
        <w:rPr>
          <w:rFonts w:ascii="Arial" w:hAnsi="Arial" w:cs="Arial"/>
          <w:sz w:val="24"/>
          <w:szCs w:val="24"/>
        </w:rPr>
        <w:t>conflict with</w:t>
      </w:r>
      <w:r>
        <w:rPr>
          <w:rFonts w:ascii="Arial" w:hAnsi="Arial" w:cs="Arial"/>
          <w:sz w:val="24"/>
          <w:szCs w:val="24"/>
        </w:rPr>
        <w:t xml:space="preserve"> NAESB By-laws</w:t>
      </w:r>
      <w:r w:rsidR="003351F6">
        <w:rPr>
          <w:rStyle w:val="EndnoteReference"/>
          <w:rFonts w:ascii="Arial" w:hAnsi="Arial" w:cs="Arial"/>
          <w:sz w:val="24"/>
          <w:szCs w:val="24"/>
        </w:rPr>
        <w:endnoteReference w:id="1"/>
      </w:r>
      <w:r w:rsidR="003351F6">
        <w:rPr>
          <w:rFonts w:ascii="Arial" w:hAnsi="Arial" w:cs="Arial"/>
          <w:sz w:val="24"/>
          <w:szCs w:val="24"/>
        </w:rPr>
        <w:t>. The following items should be reviewed by the Board of Directors to ascertain whether the subcommittee should be directed to continue their development:</w:t>
      </w:r>
    </w:p>
    <w:p w:rsidR="003351F6" w:rsidRDefault="003351F6" w:rsidP="00B2516D">
      <w:pPr>
        <w:pStyle w:val="ListParagraph"/>
        <w:numPr>
          <w:ilvl w:val="0"/>
          <w:numId w:val="1"/>
        </w:numPr>
        <w:rPr>
          <w:rFonts w:ascii="Arial" w:hAnsi="Arial" w:cs="Arial"/>
          <w:sz w:val="24"/>
          <w:szCs w:val="24"/>
        </w:rPr>
      </w:pPr>
      <w:r>
        <w:rPr>
          <w:rFonts w:ascii="Arial" w:hAnsi="Arial" w:cs="Arial"/>
          <w:sz w:val="24"/>
          <w:szCs w:val="24"/>
        </w:rPr>
        <w:t>New policy on treatment of loop flow impacts</w:t>
      </w:r>
    </w:p>
    <w:p w:rsidR="003351F6" w:rsidRDefault="003351F6" w:rsidP="00D4526F">
      <w:pPr>
        <w:pStyle w:val="ListParagraph"/>
        <w:numPr>
          <w:ilvl w:val="0"/>
          <w:numId w:val="1"/>
        </w:numPr>
        <w:rPr>
          <w:rFonts w:ascii="Arial" w:hAnsi="Arial" w:cs="Arial"/>
          <w:sz w:val="24"/>
          <w:szCs w:val="24"/>
        </w:rPr>
      </w:pPr>
      <w:r>
        <w:rPr>
          <w:rFonts w:ascii="Arial" w:hAnsi="Arial" w:cs="Arial"/>
          <w:sz w:val="24"/>
          <w:szCs w:val="24"/>
        </w:rPr>
        <w:t>New policy that creates two levels of pro-rata curtailment of Firm service</w:t>
      </w:r>
    </w:p>
    <w:p w:rsidR="003351F6" w:rsidRDefault="003351F6" w:rsidP="00B2516D">
      <w:pPr>
        <w:pStyle w:val="ListParagraph"/>
        <w:numPr>
          <w:ilvl w:val="0"/>
          <w:numId w:val="1"/>
        </w:numPr>
        <w:rPr>
          <w:rFonts w:ascii="Arial" w:hAnsi="Arial" w:cs="Arial"/>
          <w:sz w:val="24"/>
          <w:szCs w:val="24"/>
        </w:rPr>
      </w:pPr>
      <w:r>
        <w:rPr>
          <w:rFonts w:ascii="Arial" w:hAnsi="Arial" w:cs="Arial"/>
          <w:sz w:val="24"/>
          <w:szCs w:val="24"/>
        </w:rPr>
        <w:t>New policy that</w:t>
      </w:r>
      <w:r w:rsidR="002A1C65">
        <w:rPr>
          <w:rFonts w:ascii="Arial" w:hAnsi="Arial" w:cs="Arial"/>
          <w:sz w:val="24"/>
          <w:szCs w:val="24"/>
        </w:rPr>
        <w:t xml:space="preserve"> requires TSP-to-TSP coordination</w:t>
      </w:r>
      <w:r>
        <w:rPr>
          <w:rFonts w:ascii="Arial" w:hAnsi="Arial" w:cs="Arial"/>
          <w:sz w:val="24"/>
          <w:szCs w:val="24"/>
        </w:rPr>
        <w:t xml:space="preserve"> agreements</w:t>
      </w:r>
    </w:p>
    <w:p w:rsidR="002A1C65" w:rsidRPr="002A1C65" w:rsidRDefault="002A1C65" w:rsidP="002A1C65">
      <w:pPr>
        <w:rPr>
          <w:rFonts w:ascii="Arial" w:hAnsi="Arial" w:cs="Arial"/>
          <w:sz w:val="24"/>
          <w:szCs w:val="24"/>
        </w:rPr>
      </w:pPr>
      <w:r>
        <w:rPr>
          <w:rFonts w:ascii="Arial" w:hAnsi="Arial" w:cs="Arial"/>
          <w:sz w:val="24"/>
          <w:szCs w:val="24"/>
        </w:rPr>
        <w:t>If subcommittees are permitted to change FERC policy, then the subcommittees will have an open season to attack anything.  NAESB then becomes a policy forum, not a forum for developing industry supported practices to implement FERC policies.</w:t>
      </w:r>
    </w:p>
    <w:p w:rsidR="003351F6" w:rsidRDefault="003351F6" w:rsidP="00B2516D">
      <w:pPr>
        <w:rPr>
          <w:rFonts w:ascii="Arial" w:hAnsi="Arial" w:cs="Arial"/>
          <w:b/>
          <w:sz w:val="24"/>
          <w:szCs w:val="24"/>
        </w:rPr>
      </w:pPr>
      <w:r w:rsidRPr="00B2516D">
        <w:rPr>
          <w:rFonts w:ascii="Arial" w:hAnsi="Arial" w:cs="Arial"/>
          <w:b/>
          <w:sz w:val="24"/>
          <w:szCs w:val="24"/>
        </w:rPr>
        <w:t>Issues:</w:t>
      </w:r>
    </w:p>
    <w:p w:rsidR="003351F6" w:rsidRDefault="003351F6" w:rsidP="00B2516D">
      <w:pPr>
        <w:rPr>
          <w:rFonts w:ascii="Arial" w:hAnsi="Arial" w:cs="Arial"/>
          <w:sz w:val="24"/>
          <w:szCs w:val="24"/>
        </w:rPr>
      </w:pPr>
      <w:r>
        <w:rPr>
          <w:rFonts w:ascii="Arial" w:hAnsi="Arial" w:cs="Arial"/>
          <w:sz w:val="24"/>
          <w:szCs w:val="24"/>
        </w:rPr>
        <w:t xml:space="preserve">FERC policy is reflected in the </w:t>
      </w:r>
      <w:r w:rsidR="0047342E">
        <w:rPr>
          <w:rFonts w:ascii="Arial" w:hAnsi="Arial" w:cs="Arial"/>
          <w:sz w:val="24"/>
          <w:szCs w:val="24"/>
        </w:rPr>
        <w:t>pro-</w:t>
      </w:r>
      <w:r>
        <w:rPr>
          <w:rFonts w:ascii="Arial" w:hAnsi="Arial" w:cs="Arial"/>
          <w:sz w:val="24"/>
          <w:szCs w:val="24"/>
        </w:rPr>
        <w:t xml:space="preserve">forma OATT and various orders.  Order </w:t>
      </w:r>
      <w:r w:rsidRPr="00944982">
        <w:rPr>
          <w:rFonts w:ascii="Arial" w:hAnsi="Arial" w:cs="Arial"/>
          <w:sz w:val="24"/>
          <w:szCs w:val="24"/>
        </w:rPr>
        <w:t>890</w:t>
      </w:r>
      <w:r>
        <w:rPr>
          <w:rFonts w:ascii="Arial" w:hAnsi="Arial" w:cs="Arial"/>
          <w:sz w:val="24"/>
          <w:szCs w:val="24"/>
        </w:rPr>
        <w:t>, which</w:t>
      </w:r>
      <w:r w:rsidRPr="00944982">
        <w:rPr>
          <w:rFonts w:ascii="Arial" w:hAnsi="Arial" w:cs="Arial"/>
        </w:rPr>
        <w:t xml:space="preserve"> </w:t>
      </w:r>
      <w:r w:rsidRPr="00944982">
        <w:rPr>
          <w:rFonts w:ascii="Arial" w:hAnsi="Arial" w:cs="Arial"/>
          <w:sz w:val="24"/>
          <w:szCs w:val="24"/>
        </w:rPr>
        <w:t xml:space="preserve">focused on </w:t>
      </w:r>
      <w:r>
        <w:rPr>
          <w:rFonts w:ascii="Arial" w:hAnsi="Arial" w:cs="Arial"/>
          <w:sz w:val="24"/>
          <w:szCs w:val="24"/>
        </w:rPr>
        <w:t>p</w:t>
      </w:r>
      <w:r w:rsidRPr="00944982">
        <w:rPr>
          <w:rFonts w:ascii="Arial" w:hAnsi="Arial" w:cs="Arial"/>
          <w:sz w:val="24"/>
          <w:szCs w:val="24"/>
        </w:rPr>
        <w:t xml:space="preserve">reventing </w:t>
      </w:r>
      <w:r>
        <w:rPr>
          <w:rFonts w:ascii="Arial" w:hAnsi="Arial" w:cs="Arial"/>
          <w:sz w:val="24"/>
          <w:szCs w:val="24"/>
        </w:rPr>
        <w:t>u</w:t>
      </w:r>
      <w:r w:rsidRPr="00944982">
        <w:rPr>
          <w:rFonts w:ascii="Arial" w:hAnsi="Arial" w:cs="Arial"/>
          <w:sz w:val="24"/>
          <w:szCs w:val="24"/>
        </w:rPr>
        <w:t xml:space="preserve">ndue </w:t>
      </w:r>
      <w:r>
        <w:rPr>
          <w:rFonts w:ascii="Arial" w:hAnsi="Arial" w:cs="Arial"/>
          <w:sz w:val="24"/>
          <w:szCs w:val="24"/>
        </w:rPr>
        <w:t>d</w:t>
      </w:r>
      <w:r w:rsidRPr="00944982">
        <w:rPr>
          <w:rFonts w:ascii="Arial" w:hAnsi="Arial" w:cs="Arial"/>
          <w:sz w:val="24"/>
          <w:szCs w:val="24"/>
        </w:rPr>
        <w:t xml:space="preserve">iscrimination and </w:t>
      </w:r>
      <w:r>
        <w:rPr>
          <w:rFonts w:ascii="Arial" w:hAnsi="Arial" w:cs="Arial"/>
          <w:sz w:val="24"/>
          <w:szCs w:val="24"/>
        </w:rPr>
        <w:t>p</w:t>
      </w:r>
      <w:r w:rsidRPr="00944982">
        <w:rPr>
          <w:rFonts w:ascii="Arial" w:hAnsi="Arial" w:cs="Arial"/>
          <w:sz w:val="24"/>
          <w:szCs w:val="24"/>
        </w:rPr>
        <w:t xml:space="preserve">reference in </w:t>
      </w:r>
      <w:r>
        <w:rPr>
          <w:rFonts w:ascii="Arial" w:hAnsi="Arial" w:cs="Arial"/>
          <w:sz w:val="24"/>
          <w:szCs w:val="24"/>
        </w:rPr>
        <w:t>t</w:t>
      </w:r>
      <w:r w:rsidRPr="00944982">
        <w:rPr>
          <w:rFonts w:ascii="Arial" w:hAnsi="Arial" w:cs="Arial"/>
          <w:sz w:val="24"/>
          <w:szCs w:val="24"/>
        </w:rPr>
        <w:t xml:space="preserve">ransmission </w:t>
      </w:r>
      <w:r>
        <w:rPr>
          <w:rFonts w:ascii="Arial" w:hAnsi="Arial" w:cs="Arial"/>
          <w:sz w:val="24"/>
          <w:szCs w:val="24"/>
        </w:rPr>
        <w:t>s</w:t>
      </w:r>
      <w:r w:rsidRPr="00944982">
        <w:rPr>
          <w:rFonts w:ascii="Arial" w:hAnsi="Arial" w:cs="Arial"/>
          <w:sz w:val="24"/>
          <w:szCs w:val="24"/>
        </w:rPr>
        <w:t>ervice</w:t>
      </w:r>
      <w:r>
        <w:rPr>
          <w:rFonts w:ascii="Arial" w:hAnsi="Arial" w:cs="Arial"/>
          <w:sz w:val="24"/>
          <w:szCs w:val="24"/>
        </w:rPr>
        <w:t>, provides substantial guidance on addressing these concerns.</w:t>
      </w:r>
    </w:p>
    <w:p w:rsidR="003351F6" w:rsidRPr="009B5409" w:rsidRDefault="003351F6" w:rsidP="009B5409">
      <w:pPr>
        <w:rPr>
          <w:rFonts w:ascii="Arial" w:hAnsi="Arial" w:cs="Arial"/>
          <w:sz w:val="24"/>
          <w:szCs w:val="24"/>
          <w:u w:val="single"/>
        </w:rPr>
      </w:pPr>
      <w:r w:rsidRPr="009B5409">
        <w:rPr>
          <w:rFonts w:ascii="Arial" w:hAnsi="Arial" w:cs="Arial"/>
          <w:sz w:val="24"/>
          <w:szCs w:val="24"/>
          <w:u w:val="single"/>
        </w:rPr>
        <w:t>New policy on treatment of loop flow impacts</w:t>
      </w:r>
    </w:p>
    <w:p w:rsidR="007C095E" w:rsidRDefault="007C095E" w:rsidP="00172BA7">
      <w:pPr>
        <w:rPr>
          <w:rFonts w:ascii="Arial" w:hAnsi="Arial" w:cs="Arial"/>
          <w:bCs/>
          <w:sz w:val="24"/>
          <w:szCs w:val="24"/>
        </w:rPr>
      </w:pPr>
      <w:r>
        <w:rPr>
          <w:rFonts w:ascii="Arial" w:hAnsi="Arial" w:cs="Arial"/>
          <w:bCs/>
          <w:sz w:val="24"/>
          <w:szCs w:val="24"/>
        </w:rPr>
        <w:t xml:space="preserve">The new policy envisioned by the WEQ BPS, hinges on a perspective that loop flows are not evaluated when transmission service is granted under an approved ATC methodology.  Under this perspective, loop flows are not anticipated and must be addressed at time of curtailment </w:t>
      </w:r>
      <w:r w:rsidR="00C279B3">
        <w:rPr>
          <w:rFonts w:ascii="Arial" w:hAnsi="Arial" w:cs="Arial"/>
          <w:bCs/>
          <w:sz w:val="24"/>
          <w:szCs w:val="24"/>
        </w:rPr>
        <w:t>by</w:t>
      </w:r>
      <w:r>
        <w:rPr>
          <w:rFonts w:ascii="Arial" w:hAnsi="Arial" w:cs="Arial"/>
          <w:bCs/>
          <w:sz w:val="24"/>
          <w:szCs w:val="24"/>
        </w:rPr>
        <w:t xml:space="preserve"> the Interchange Distribution Calculator (IDC).</w:t>
      </w:r>
      <w:r w:rsidR="002A1C65">
        <w:rPr>
          <w:rFonts w:ascii="Arial" w:hAnsi="Arial" w:cs="Arial"/>
          <w:bCs/>
          <w:sz w:val="24"/>
          <w:szCs w:val="24"/>
        </w:rPr>
        <w:t xml:space="preserve">  The attempt to relegate all loop flows from systems without coordination agreements to an inferior class with respect to firm curtailment is a denial of the actual operational characteristics of the Eastern Interconnect system and is inconsistent with FERC’s expectation expressed in Order 890.</w:t>
      </w:r>
    </w:p>
    <w:p w:rsidR="005F26F8" w:rsidRPr="00172BA7" w:rsidRDefault="003351F6" w:rsidP="00172BA7">
      <w:pPr>
        <w:rPr>
          <w:rFonts w:ascii="Arial" w:hAnsi="Arial" w:cs="Arial"/>
          <w:bCs/>
          <w:sz w:val="24"/>
          <w:szCs w:val="24"/>
        </w:rPr>
      </w:pPr>
      <w:r w:rsidRPr="00172BA7">
        <w:rPr>
          <w:rFonts w:ascii="Arial" w:hAnsi="Arial" w:cs="Arial"/>
          <w:bCs/>
          <w:sz w:val="24"/>
          <w:szCs w:val="24"/>
        </w:rPr>
        <w:t>In Order 890</w:t>
      </w:r>
      <w:r>
        <w:rPr>
          <w:rStyle w:val="EndnoteReference"/>
          <w:rFonts w:ascii="Arial" w:hAnsi="Arial" w:cs="Arial"/>
          <w:bCs/>
          <w:sz w:val="24"/>
          <w:szCs w:val="24"/>
        </w:rPr>
        <w:endnoteReference w:id="2"/>
      </w:r>
      <w:r w:rsidRPr="00172BA7">
        <w:rPr>
          <w:rFonts w:ascii="Arial" w:hAnsi="Arial" w:cs="Arial"/>
          <w:bCs/>
          <w:sz w:val="24"/>
          <w:szCs w:val="24"/>
        </w:rPr>
        <w:t>,</w:t>
      </w:r>
      <w:r w:rsidR="007C095E">
        <w:rPr>
          <w:rFonts w:ascii="Arial" w:hAnsi="Arial" w:cs="Arial"/>
          <w:bCs/>
          <w:sz w:val="24"/>
          <w:szCs w:val="24"/>
        </w:rPr>
        <w:t xml:space="preserve"> FERC said</w:t>
      </w:r>
      <w:r w:rsidR="00172BA7" w:rsidRPr="00172BA7">
        <w:rPr>
          <w:rFonts w:ascii="Arial" w:hAnsi="Arial" w:cs="Arial"/>
          <w:bCs/>
          <w:sz w:val="24"/>
          <w:szCs w:val="24"/>
        </w:rPr>
        <w:t xml:space="preserve"> that ATC calculations are to include consideration of loop flows.</w:t>
      </w:r>
      <w:r w:rsidR="004A3D2E">
        <w:rPr>
          <w:rFonts w:ascii="Arial" w:hAnsi="Arial" w:cs="Arial"/>
          <w:bCs/>
          <w:sz w:val="24"/>
          <w:szCs w:val="24"/>
        </w:rPr>
        <w:t xml:space="preserve"> NERC, in developing ATC standards, </w:t>
      </w:r>
      <w:r w:rsidR="005F26F8">
        <w:rPr>
          <w:rFonts w:ascii="Arial" w:hAnsi="Arial" w:cs="Arial"/>
          <w:bCs/>
          <w:sz w:val="24"/>
          <w:szCs w:val="24"/>
        </w:rPr>
        <w:t xml:space="preserve">is responsible for the ATC calculation standards.  </w:t>
      </w:r>
      <w:r w:rsidR="00C237CE">
        <w:rPr>
          <w:rFonts w:ascii="Arial" w:hAnsi="Arial" w:cs="Arial"/>
          <w:bCs/>
          <w:sz w:val="24"/>
          <w:szCs w:val="24"/>
        </w:rPr>
        <w:t>NERC understands</w:t>
      </w:r>
      <w:r w:rsidR="005D3642">
        <w:rPr>
          <w:rFonts w:ascii="Arial" w:hAnsi="Arial" w:cs="Arial"/>
          <w:bCs/>
          <w:sz w:val="24"/>
          <w:szCs w:val="24"/>
        </w:rPr>
        <w:t xml:space="preserve"> the need to incorporate loop flow analysis in the A</w:t>
      </w:r>
      <w:r w:rsidR="000B3418">
        <w:rPr>
          <w:rFonts w:ascii="Arial" w:hAnsi="Arial" w:cs="Arial"/>
          <w:bCs/>
          <w:sz w:val="24"/>
          <w:szCs w:val="24"/>
        </w:rPr>
        <w:t>F</w:t>
      </w:r>
      <w:r w:rsidR="005D3642">
        <w:rPr>
          <w:rFonts w:ascii="Arial" w:hAnsi="Arial" w:cs="Arial"/>
          <w:bCs/>
          <w:sz w:val="24"/>
          <w:szCs w:val="24"/>
        </w:rPr>
        <w:t xml:space="preserve">C methodologies </w:t>
      </w:r>
      <w:r w:rsidR="00C237CE">
        <w:rPr>
          <w:rFonts w:ascii="Arial" w:hAnsi="Arial" w:cs="Arial"/>
          <w:bCs/>
          <w:sz w:val="24"/>
          <w:szCs w:val="24"/>
        </w:rPr>
        <w:t>as</w:t>
      </w:r>
      <w:r w:rsidR="005D3642">
        <w:rPr>
          <w:rFonts w:ascii="Arial" w:hAnsi="Arial" w:cs="Arial"/>
          <w:bCs/>
          <w:sz w:val="24"/>
          <w:szCs w:val="24"/>
        </w:rPr>
        <w:t xml:space="preserve"> seen i</w:t>
      </w:r>
      <w:r w:rsidR="005F26F8">
        <w:rPr>
          <w:rFonts w:ascii="Arial" w:hAnsi="Arial" w:cs="Arial"/>
          <w:bCs/>
          <w:sz w:val="24"/>
          <w:szCs w:val="24"/>
        </w:rPr>
        <w:t xml:space="preserve">n </w:t>
      </w:r>
      <w:hyperlink r:id="rId8" w:history="1">
        <w:r w:rsidR="005F26F8" w:rsidRPr="00C279B3">
          <w:rPr>
            <w:rStyle w:val="Hyperlink"/>
            <w:rFonts w:ascii="Arial" w:hAnsi="Arial" w:cs="Arial"/>
            <w:bCs/>
            <w:sz w:val="24"/>
            <w:szCs w:val="24"/>
          </w:rPr>
          <w:t>MOD-030-02</w:t>
        </w:r>
      </w:hyperlink>
      <w:r w:rsidR="007C095E">
        <w:rPr>
          <w:rFonts w:ascii="Arial" w:hAnsi="Arial" w:cs="Arial"/>
          <w:bCs/>
          <w:sz w:val="24"/>
          <w:szCs w:val="24"/>
        </w:rPr>
        <w:t xml:space="preserve">. </w:t>
      </w:r>
      <w:r w:rsidR="005F26F8">
        <w:rPr>
          <w:rFonts w:ascii="Arial" w:hAnsi="Arial" w:cs="Arial"/>
          <w:bCs/>
          <w:sz w:val="24"/>
          <w:szCs w:val="24"/>
        </w:rPr>
        <w:t xml:space="preserve"> NERC recognized the need for coordination with respect to loop flows</w:t>
      </w:r>
      <w:r w:rsidR="005D3642">
        <w:rPr>
          <w:rFonts w:ascii="Arial" w:hAnsi="Arial" w:cs="Arial"/>
          <w:bCs/>
          <w:sz w:val="24"/>
          <w:szCs w:val="24"/>
        </w:rPr>
        <w:t xml:space="preserve"> </w:t>
      </w:r>
      <w:r w:rsidR="000D353F">
        <w:rPr>
          <w:rFonts w:ascii="Arial" w:hAnsi="Arial" w:cs="Arial"/>
          <w:bCs/>
          <w:sz w:val="24"/>
          <w:szCs w:val="24"/>
        </w:rPr>
        <w:t>by requiring a T</w:t>
      </w:r>
      <w:r w:rsidR="005F26F8">
        <w:rPr>
          <w:rFonts w:ascii="Arial" w:hAnsi="Arial" w:cs="Arial"/>
          <w:bCs/>
          <w:sz w:val="24"/>
          <w:szCs w:val="24"/>
        </w:rPr>
        <w:t xml:space="preserve">ransmission </w:t>
      </w:r>
      <w:r w:rsidR="000D353F">
        <w:rPr>
          <w:rFonts w:ascii="Arial" w:hAnsi="Arial" w:cs="Arial"/>
          <w:bCs/>
          <w:sz w:val="24"/>
          <w:szCs w:val="24"/>
        </w:rPr>
        <w:t>S</w:t>
      </w:r>
      <w:r w:rsidR="00C237CE">
        <w:rPr>
          <w:rFonts w:ascii="Arial" w:hAnsi="Arial" w:cs="Arial"/>
          <w:bCs/>
          <w:sz w:val="24"/>
          <w:szCs w:val="24"/>
        </w:rPr>
        <w:t xml:space="preserve">ervice </w:t>
      </w:r>
      <w:r w:rsidR="000D353F">
        <w:rPr>
          <w:rFonts w:ascii="Arial" w:hAnsi="Arial" w:cs="Arial"/>
          <w:bCs/>
          <w:sz w:val="24"/>
          <w:szCs w:val="24"/>
        </w:rPr>
        <w:t>P</w:t>
      </w:r>
      <w:r w:rsidR="005F26F8">
        <w:rPr>
          <w:rFonts w:ascii="Arial" w:hAnsi="Arial" w:cs="Arial"/>
          <w:bCs/>
          <w:sz w:val="24"/>
          <w:szCs w:val="24"/>
        </w:rPr>
        <w:t>rovider</w:t>
      </w:r>
      <w:r w:rsidR="000D353F">
        <w:rPr>
          <w:rFonts w:ascii="Arial" w:hAnsi="Arial" w:cs="Arial"/>
          <w:bCs/>
          <w:sz w:val="24"/>
          <w:szCs w:val="24"/>
        </w:rPr>
        <w:t xml:space="preserve"> (TSP)</w:t>
      </w:r>
      <w:r w:rsidR="005F26F8">
        <w:rPr>
          <w:rFonts w:ascii="Arial" w:hAnsi="Arial" w:cs="Arial"/>
          <w:bCs/>
          <w:sz w:val="24"/>
          <w:szCs w:val="24"/>
        </w:rPr>
        <w:t xml:space="preserve"> to evaluate</w:t>
      </w:r>
      <w:r w:rsidR="00C237CE">
        <w:rPr>
          <w:rFonts w:ascii="Arial" w:hAnsi="Arial" w:cs="Arial"/>
          <w:bCs/>
          <w:sz w:val="24"/>
          <w:szCs w:val="24"/>
        </w:rPr>
        <w:t xml:space="preserve"> the potential impact</w:t>
      </w:r>
      <w:r w:rsidR="005F26F8">
        <w:rPr>
          <w:rFonts w:ascii="Arial" w:hAnsi="Arial" w:cs="Arial"/>
          <w:bCs/>
          <w:sz w:val="24"/>
          <w:szCs w:val="24"/>
        </w:rPr>
        <w:t xml:space="preserve"> of </w:t>
      </w:r>
      <w:r w:rsidR="00C237CE">
        <w:rPr>
          <w:rFonts w:ascii="Arial" w:hAnsi="Arial" w:cs="Arial"/>
          <w:bCs/>
          <w:sz w:val="24"/>
          <w:szCs w:val="24"/>
        </w:rPr>
        <w:t>a request</w:t>
      </w:r>
      <w:r w:rsidR="005F26F8">
        <w:rPr>
          <w:rFonts w:ascii="Arial" w:hAnsi="Arial" w:cs="Arial"/>
          <w:bCs/>
          <w:sz w:val="24"/>
          <w:szCs w:val="24"/>
        </w:rPr>
        <w:t xml:space="preserve"> for transmission service on a broad range of flowgates which are external to the </w:t>
      </w:r>
      <w:r w:rsidR="000D353F">
        <w:rPr>
          <w:rFonts w:ascii="Arial" w:hAnsi="Arial" w:cs="Arial"/>
          <w:bCs/>
          <w:sz w:val="24"/>
          <w:szCs w:val="24"/>
        </w:rPr>
        <w:t>TSP’s</w:t>
      </w:r>
      <w:r w:rsidR="005F26F8">
        <w:rPr>
          <w:rFonts w:ascii="Arial" w:hAnsi="Arial" w:cs="Arial"/>
          <w:bCs/>
          <w:sz w:val="24"/>
          <w:szCs w:val="24"/>
        </w:rPr>
        <w:t xml:space="preserve"> system (as outlined in the requi</w:t>
      </w:r>
      <w:r w:rsidR="00153FEE">
        <w:rPr>
          <w:rFonts w:ascii="Arial" w:hAnsi="Arial" w:cs="Arial"/>
          <w:bCs/>
          <w:sz w:val="24"/>
          <w:szCs w:val="24"/>
        </w:rPr>
        <w:t xml:space="preserve">rements under section R.2.).  This standard </w:t>
      </w:r>
      <w:r w:rsidR="007C095E">
        <w:rPr>
          <w:rFonts w:ascii="Arial" w:hAnsi="Arial" w:cs="Arial"/>
          <w:bCs/>
          <w:sz w:val="24"/>
          <w:szCs w:val="24"/>
        </w:rPr>
        <w:t xml:space="preserve">also </w:t>
      </w:r>
      <w:r w:rsidR="005D3642">
        <w:rPr>
          <w:rFonts w:ascii="Arial" w:hAnsi="Arial" w:cs="Arial"/>
          <w:bCs/>
          <w:sz w:val="24"/>
          <w:szCs w:val="24"/>
        </w:rPr>
        <w:t xml:space="preserve">requires modeling of the </w:t>
      </w:r>
      <w:r w:rsidR="000B3418">
        <w:rPr>
          <w:rFonts w:ascii="Arial" w:hAnsi="Arial" w:cs="Arial"/>
          <w:bCs/>
          <w:sz w:val="24"/>
          <w:szCs w:val="24"/>
        </w:rPr>
        <w:t xml:space="preserve">TSP’s </w:t>
      </w:r>
      <w:r w:rsidR="005D3642">
        <w:rPr>
          <w:rFonts w:ascii="Arial" w:hAnsi="Arial" w:cs="Arial"/>
          <w:bCs/>
          <w:sz w:val="24"/>
          <w:szCs w:val="24"/>
        </w:rPr>
        <w:t xml:space="preserve">system as well as adjacent </w:t>
      </w:r>
      <w:r w:rsidR="000B3418">
        <w:rPr>
          <w:rFonts w:ascii="Arial" w:hAnsi="Arial" w:cs="Arial"/>
          <w:bCs/>
          <w:sz w:val="24"/>
          <w:szCs w:val="24"/>
        </w:rPr>
        <w:t xml:space="preserve">TSPs’ </w:t>
      </w:r>
      <w:r w:rsidR="005D3642">
        <w:rPr>
          <w:rFonts w:ascii="Arial" w:hAnsi="Arial" w:cs="Arial"/>
          <w:bCs/>
          <w:sz w:val="24"/>
          <w:szCs w:val="24"/>
        </w:rPr>
        <w:t>systems (as outlined in the requirements under section R.3.).Further</w:t>
      </w:r>
      <w:r w:rsidR="007C095E">
        <w:rPr>
          <w:rFonts w:ascii="Arial" w:hAnsi="Arial" w:cs="Arial"/>
          <w:bCs/>
          <w:sz w:val="24"/>
          <w:szCs w:val="24"/>
        </w:rPr>
        <w:t xml:space="preserve">, under requirement R.5.3., a </w:t>
      </w:r>
      <w:r w:rsidR="000B3418">
        <w:rPr>
          <w:rFonts w:ascii="Arial" w:hAnsi="Arial" w:cs="Arial"/>
          <w:bCs/>
          <w:sz w:val="24"/>
          <w:szCs w:val="24"/>
        </w:rPr>
        <w:t>TSP</w:t>
      </w:r>
      <w:r w:rsidR="007C095E">
        <w:rPr>
          <w:rFonts w:ascii="Arial" w:hAnsi="Arial" w:cs="Arial"/>
          <w:bCs/>
          <w:sz w:val="24"/>
          <w:szCs w:val="24"/>
        </w:rPr>
        <w:t xml:space="preserve"> is required to use AFC calculations for external flowgates which are supplied by external </w:t>
      </w:r>
      <w:r w:rsidR="000B3418">
        <w:rPr>
          <w:rFonts w:ascii="Arial" w:hAnsi="Arial" w:cs="Arial"/>
          <w:bCs/>
          <w:sz w:val="24"/>
          <w:szCs w:val="24"/>
        </w:rPr>
        <w:t>TSPs</w:t>
      </w:r>
      <w:r w:rsidR="007C095E">
        <w:rPr>
          <w:rFonts w:ascii="Arial" w:hAnsi="Arial" w:cs="Arial"/>
          <w:bCs/>
          <w:sz w:val="24"/>
          <w:szCs w:val="24"/>
        </w:rPr>
        <w:t xml:space="preserve">. </w:t>
      </w:r>
      <w:r w:rsidR="00C237CE">
        <w:rPr>
          <w:rFonts w:ascii="Arial" w:hAnsi="Arial" w:cs="Arial"/>
          <w:bCs/>
          <w:sz w:val="24"/>
          <w:szCs w:val="24"/>
        </w:rPr>
        <w:t xml:space="preserve">Requirement R.6. requires </w:t>
      </w:r>
      <w:r w:rsidR="00C279B3">
        <w:rPr>
          <w:rFonts w:ascii="Arial" w:hAnsi="Arial" w:cs="Arial"/>
          <w:bCs/>
          <w:sz w:val="24"/>
          <w:szCs w:val="24"/>
        </w:rPr>
        <w:t>the TSP to include</w:t>
      </w:r>
      <w:r w:rsidR="00C237CE">
        <w:rPr>
          <w:rFonts w:ascii="Arial" w:hAnsi="Arial" w:cs="Arial"/>
          <w:bCs/>
          <w:sz w:val="24"/>
          <w:szCs w:val="24"/>
        </w:rPr>
        <w:t xml:space="preserve"> the impact of firm Network </w:t>
      </w:r>
      <w:r w:rsidR="00C279B3">
        <w:rPr>
          <w:rFonts w:ascii="Arial" w:hAnsi="Arial" w:cs="Arial"/>
          <w:bCs/>
          <w:sz w:val="24"/>
          <w:szCs w:val="24"/>
        </w:rPr>
        <w:t>transmission service (including</w:t>
      </w:r>
      <w:r w:rsidR="00C237CE" w:rsidRPr="00C237CE">
        <w:rPr>
          <w:rFonts w:ascii="Arial" w:hAnsi="Arial" w:cs="Arial"/>
          <w:bCs/>
          <w:sz w:val="24"/>
          <w:szCs w:val="24"/>
        </w:rPr>
        <w:t xml:space="preserve"> the impacts of generation to load</w:t>
      </w:r>
      <w:r w:rsidR="00C237CE">
        <w:rPr>
          <w:rFonts w:ascii="Arial" w:hAnsi="Arial" w:cs="Arial"/>
          <w:bCs/>
          <w:sz w:val="24"/>
          <w:szCs w:val="24"/>
        </w:rPr>
        <w:t xml:space="preserve">) </w:t>
      </w:r>
      <w:r w:rsidR="00C237CE" w:rsidRPr="00C237CE">
        <w:rPr>
          <w:rFonts w:ascii="Arial" w:hAnsi="Arial" w:cs="Arial"/>
          <w:bCs/>
          <w:sz w:val="24"/>
          <w:szCs w:val="24"/>
        </w:rPr>
        <w:t xml:space="preserve">for all adjacent </w:t>
      </w:r>
      <w:r w:rsidR="000B3418">
        <w:rPr>
          <w:rFonts w:ascii="Arial" w:hAnsi="Arial" w:cs="Arial"/>
          <w:bCs/>
          <w:sz w:val="24"/>
          <w:szCs w:val="24"/>
        </w:rPr>
        <w:t>TSPs</w:t>
      </w:r>
      <w:r w:rsidR="00C237CE" w:rsidRPr="00C237CE">
        <w:rPr>
          <w:rFonts w:ascii="Arial" w:hAnsi="Arial" w:cs="Arial"/>
          <w:bCs/>
          <w:sz w:val="24"/>
          <w:szCs w:val="24"/>
        </w:rPr>
        <w:t xml:space="preserve"> and any other </w:t>
      </w:r>
      <w:r w:rsidR="000B3418">
        <w:rPr>
          <w:rFonts w:ascii="Arial" w:hAnsi="Arial" w:cs="Arial"/>
          <w:bCs/>
          <w:sz w:val="24"/>
          <w:szCs w:val="24"/>
        </w:rPr>
        <w:t>TSPs</w:t>
      </w:r>
      <w:r w:rsidR="00C237CE" w:rsidRPr="00C237CE">
        <w:rPr>
          <w:rFonts w:ascii="Arial" w:hAnsi="Arial" w:cs="Arial"/>
          <w:bCs/>
          <w:sz w:val="24"/>
          <w:szCs w:val="24"/>
        </w:rPr>
        <w:t xml:space="preserve"> with which coordination agreements have been executed</w:t>
      </w:r>
      <w:r w:rsidR="00C237CE">
        <w:rPr>
          <w:rFonts w:ascii="Arial" w:hAnsi="Arial" w:cs="Arial"/>
          <w:bCs/>
          <w:sz w:val="24"/>
          <w:szCs w:val="24"/>
        </w:rPr>
        <w:t xml:space="preserve">.  </w:t>
      </w:r>
      <w:r w:rsidR="000D353F">
        <w:rPr>
          <w:rFonts w:ascii="Arial" w:hAnsi="Arial" w:cs="Arial"/>
          <w:bCs/>
          <w:sz w:val="24"/>
          <w:szCs w:val="24"/>
        </w:rPr>
        <w:t>Requirements R6.4. and R.6.6.</w:t>
      </w:r>
      <w:r w:rsidR="002A1C65">
        <w:rPr>
          <w:rFonts w:ascii="Arial" w:hAnsi="Arial" w:cs="Arial"/>
          <w:bCs/>
          <w:sz w:val="24"/>
          <w:szCs w:val="24"/>
        </w:rPr>
        <w:t>,</w:t>
      </w:r>
      <w:r w:rsidR="000D353F">
        <w:rPr>
          <w:rFonts w:ascii="Arial" w:hAnsi="Arial" w:cs="Arial"/>
          <w:bCs/>
          <w:sz w:val="24"/>
          <w:szCs w:val="24"/>
        </w:rPr>
        <w:t xml:space="preserve"> respectively</w:t>
      </w:r>
      <w:r w:rsidR="002A1C65">
        <w:rPr>
          <w:rFonts w:ascii="Arial" w:hAnsi="Arial" w:cs="Arial"/>
          <w:bCs/>
          <w:sz w:val="24"/>
          <w:szCs w:val="24"/>
        </w:rPr>
        <w:t xml:space="preserve">, </w:t>
      </w:r>
      <w:r w:rsidR="000D353F">
        <w:rPr>
          <w:rFonts w:ascii="Arial" w:hAnsi="Arial" w:cs="Arial"/>
          <w:bCs/>
          <w:sz w:val="24"/>
          <w:szCs w:val="24"/>
        </w:rPr>
        <w:t xml:space="preserve">require a </w:t>
      </w:r>
      <w:r w:rsidR="000B3418">
        <w:rPr>
          <w:rFonts w:ascii="Arial" w:hAnsi="Arial" w:cs="Arial"/>
          <w:bCs/>
          <w:sz w:val="24"/>
          <w:szCs w:val="24"/>
        </w:rPr>
        <w:t>TSP</w:t>
      </w:r>
      <w:r w:rsidR="000D353F">
        <w:rPr>
          <w:rFonts w:ascii="Arial" w:hAnsi="Arial" w:cs="Arial"/>
          <w:bCs/>
          <w:sz w:val="24"/>
          <w:szCs w:val="24"/>
        </w:rPr>
        <w:t xml:space="preserve"> to i</w:t>
      </w:r>
      <w:r w:rsidR="00C279B3">
        <w:rPr>
          <w:rFonts w:ascii="Arial" w:hAnsi="Arial" w:cs="Arial"/>
          <w:bCs/>
          <w:sz w:val="24"/>
          <w:szCs w:val="24"/>
        </w:rPr>
        <w:t xml:space="preserve">nclude in AFC calculations the </w:t>
      </w:r>
      <w:r w:rsidR="000D353F">
        <w:rPr>
          <w:rFonts w:ascii="Arial" w:hAnsi="Arial" w:cs="Arial"/>
          <w:bCs/>
          <w:sz w:val="24"/>
          <w:szCs w:val="24"/>
        </w:rPr>
        <w:t xml:space="preserve">PTP and grandfathered service commitments granted on external systems. In sum, these requirements require a </w:t>
      </w:r>
      <w:r w:rsidR="000B3418">
        <w:rPr>
          <w:rFonts w:ascii="Arial" w:hAnsi="Arial" w:cs="Arial"/>
          <w:bCs/>
          <w:sz w:val="24"/>
          <w:szCs w:val="24"/>
        </w:rPr>
        <w:t>TSP</w:t>
      </w:r>
      <w:r w:rsidR="000D353F">
        <w:rPr>
          <w:rFonts w:ascii="Arial" w:hAnsi="Arial" w:cs="Arial"/>
          <w:bCs/>
          <w:sz w:val="24"/>
          <w:szCs w:val="24"/>
        </w:rPr>
        <w:t xml:space="preserve"> to perform a broad analysis of the potential </w:t>
      </w:r>
      <w:r w:rsidR="000B3418">
        <w:rPr>
          <w:rFonts w:ascii="Arial" w:hAnsi="Arial" w:cs="Arial"/>
          <w:bCs/>
          <w:sz w:val="24"/>
          <w:szCs w:val="24"/>
        </w:rPr>
        <w:t xml:space="preserve">loop flow </w:t>
      </w:r>
      <w:r w:rsidR="000D353F">
        <w:rPr>
          <w:rFonts w:ascii="Arial" w:hAnsi="Arial" w:cs="Arial"/>
          <w:bCs/>
          <w:sz w:val="24"/>
          <w:szCs w:val="24"/>
        </w:rPr>
        <w:t>impact</w:t>
      </w:r>
      <w:r w:rsidR="000B3418">
        <w:rPr>
          <w:rFonts w:ascii="Arial" w:hAnsi="Arial" w:cs="Arial"/>
          <w:bCs/>
          <w:sz w:val="24"/>
          <w:szCs w:val="24"/>
        </w:rPr>
        <w:t>s</w:t>
      </w:r>
      <w:r w:rsidR="000D353F">
        <w:rPr>
          <w:rFonts w:ascii="Arial" w:hAnsi="Arial" w:cs="Arial"/>
          <w:bCs/>
          <w:sz w:val="24"/>
          <w:szCs w:val="24"/>
        </w:rPr>
        <w:t xml:space="preserve"> of a request for firm service on the TSP’s system as well as the impact on other systems before granting the service.</w:t>
      </w:r>
    </w:p>
    <w:p w:rsidR="000B3418" w:rsidRDefault="000B3418" w:rsidP="000B3418">
      <w:pPr>
        <w:rPr>
          <w:rFonts w:ascii="Arial" w:hAnsi="Arial" w:cs="Arial"/>
          <w:bCs/>
          <w:sz w:val="24"/>
          <w:szCs w:val="24"/>
        </w:rPr>
      </w:pPr>
      <w:r>
        <w:rPr>
          <w:rFonts w:ascii="Arial" w:hAnsi="Arial" w:cs="Arial"/>
          <w:bCs/>
          <w:sz w:val="24"/>
          <w:szCs w:val="24"/>
        </w:rPr>
        <w:t xml:space="preserve">NAESB should refrain from developing standards which </w:t>
      </w:r>
      <w:r w:rsidR="00C279B3">
        <w:rPr>
          <w:rFonts w:ascii="Arial" w:hAnsi="Arial" w:cs="Arial"/>
          <w:bCs/>
          <w:sz w:val="24"/>
          <w:szCs w:val="24"/>
        </w:rPr>
        <w:t xml:space="preserve">establish requirements </w:t>
      </w:r>
      <w:r w:rsidR="0081386E">
        <w:rPr>
          <w:rFonts w:ascii="Arial" w:hAnsi="Arial" w:cs="Arial"/>
          <w:bCs/>
          <w:sz w:val="24"/>
          <w:szCs w:val="24"/>
        </w:rPr>
        <w:t>that</w:t>
      </w:r>
      <w:r w:rsidR="00C279B3">
        <w:rPr>
          <w:rFonts w:ascii="Arial" w:hAnsi="Arial" w:cs="Arial"/>
          <w:bCs/>
          <w:sz w:val="24"/>
          <w:szCs w:val="24"/>
        </w:rPr>
        <w:t xml:space="preserve"> may conflict with NERC standards, </w:t>
      </w:r>
      <w:r w:rsidR="0081386E">
        <w:rPr>
          <w:rFonts w:ascii="Arial" w:hAnsi="Arial" w:cs="Arial"/>
          <w:bCs/>
          <w:sz w:val="24"/>
          <w:szCs w:val="24"/>
        </w:rPr>
        <w:t xml:space="preserve">that </w:t>
      </w:r>
      <w:r w:rsidR="00C279B3">
        <w:rPr>
          <w:rFonts w:ascii="Arial" w:hAnsi="Arial" w:cs="Arial"/>
          <w:bCs/>
          <w:sz w:val="24"/>
          <w:szCs w:val="24"/>
        </w:rPr>
        <w:t>fail to honor loop flows that</w:t>
      </w:r>
      <w:r>
        <w:rPr>
          <w:rFonts w:ascii="Arial" w:hAnsi="Arial" w:cs="Arial"/>
          <w:bCs/>
          <w:sz w:val="24"/>
          <w:szCs w:val="24"/>
        </w:rPr>
        <w:t xml:space="preserve"> were adequately addressed when service was granted, or </w:t>
      </w:r>
      <w:r w:rsidR="0081386E">
        <w:rPr>
          <w:rFonts w:ascii="Arial" w:hAnsi="Arial" w:cs="Arial"/>
          <w:bCs/>
          <w:sz w:val="24"/>
          <w:szCs w:val="24"/>
        </w:rPr>
        <w:t>that</w:t>
      </w:r>
      <w:r>
        <w:rPr>
          <w:rFonts w:ascii="Arial" w:hAnsi="Arial" w:cs="Arial"/>
          <w:bCs/>
          <w:sz w:val="24"/>
          <w:szCs w:val="24"/>
        </w:rPr>
        <w:t xml:space="preserve"> attempt to subvert NERC’s assigned authority in establishing ATC/AFC methodologies. NERC, not NAESB, has responsibility for addressing gaps in these methodologies.</w:t>
      </w:r>
    </w:p>
    <w:p w:rsidR="00944982" w:rsidRPr="00944982" w:rsidRDefault="00944982" w:rsidP="00944982">
      <w:pPr>
        <w:rPr>
          <w:rFonts w:ascii="Arial" w:hAnsi="Arial" w:cs="Arial"/>
          <w:sz w:val="24"/>
          <w:szCs w:val="24"/>
        </w:rPr>
      </w:pPr>
    </w:p>
    <w:p w:rsidR="00944982" w:rsidRPr="00B2516D" w:rsidRDefault="00944982" w:rsidP="00944982">
      <w:pPr>
        <w:rPr>
          <w:rFonts w:ascii="Arial" w:hAnsi="Arial" w:cs="Arial"/>
          <w:sz w:val="24"/>
          <w:szCs w:val="24"/>
          <w:u w:val="single"/>
        </w:rPr>
      </w:pPr>
      <w:r w:rsidRPr="00B2516D">
        <w:rPr>
          <w:rFonts w:ascii="Arial" w:hAnsi="Arial" w:cs="Arial"/>
          <w:sz w:val="24"/>
          <w:szCs w:val="24"/>
          <w:u w:val="single"/>
        </w:rPr>
        <w:t>New policy that creates two levels of pro-rata curtailment of Firm service</w:t>
      </w:r>
    </w:p>
    <w:p w:rsidR="003351F6" w:rsidRDefault="002B105C" w:rsidP="002B105C">
      <w:pPr>
        <w:rPr>
          <w:rFonts w:ascii="Arial" w:hAnsi="Arial" w:cs="Arial"/>
          <w:sz w:val="24"/>
          <w:szCs w:val="24"/>
        </w:rPr>
      </w:pPr>
      <w:r>
        <w:rPr>
          <w:rFonts w:ascii="Arial" w:hAnsi="Arial" w:cs="Arial"/>
          <w:sz w:val="24"/>
          <w:szCs w:val="24"/>
        </w:rPr>
        <w:t xml:space="preserve">The </w:t>
      </w:r>
      <w:r w:rsidR="0047342E">
        <w:rPr>
          <w:rFonts w:ascii="Arial" w:hAnsi="Arial" w:cs="Arial"/>
          <w:sz w:val="24"/>
          <w:szCs w:val="24"/>
        </w:rPr>
        <w:t>pro-</w:t>
      </w:r>
      <w:r>
        <w:rPr>
          <w:rFonts w:ascii="Arial" w:hAnsi="Arial" w:cs="Arial"/>
          <w:sz w:val="24"/>
          <w:szCs w:val="24"/>
        </w:rPr>
        <w:t>forma tariff Section 13.6 FERC identifies a single curtailment priority for firm curtailment</w:t>
      </w:r>
      <w:r w:rsidR="00164350">
        <w:rPr>
          <w:rFonts w:ascii="Arial" w:hAnsi="Arial" w:cs="Arial"/>
          <w:sz w:val="24"/>
          <w:szCs w:val="24"/>
        </w:rPr>
        <w:t>.</w:t>
      </w:r>
      <w:r w:rsidR="003351F6">
        <w:rPr>
          <w:rStyle w:val="EndnoteReference"/>
          <w:rFonts w:ascii="Arial" w:hAnsi="Arial" w:cs="Arial"/>
          <w:sz w:val="24"/>
          <w:szCs w:val="24"/>
        </w:rPr>
        <w:endnoteReference w:id="3"/>
      </w:r>
      <w:r w:rsidR="003351F6">
        <w:rPr>
          <w:rFonts w:ascii="Arial" w:hAnsi="Arial" w:cs="Arial"/>
          <w:sz w:val="24"/>
          <w:szCs w:val="24"/>
        </w:rPr>
        <w:t xml:space="preserve">  This was reinforced in Order 890</w:t>
      </w:r>
      <w:r w:rsidR="003351F6">
        <w:rPr>
          <w:rStyle w:val="EndnoteReference"/>
          <w:rFonts w:ascii="Arial" w:hAnsi="Arial" w:cs="Arial"/>
          <w:sz w:val="24"/>
          <w:szCs w:val="24"/>
        </w:rPr>
        <w:endnoteReference w:id="4"/>
      </w:r>
      <w:r w:rsidR="003351F6" w:rsidRPr="00164350">
        <w:rPr>
          <w:rFonts w:ascii="Arial" w:hAnsi="Arial" w:cs="Arial"/>
          <w:sz w:val="24"/>
          <w:szCs w:val="24"/>
          <w:vertAlign w:val="superscript"/>
        </w:rPr>
        <w:t>,</w:t>
      </w:r>
      <w:r w:rsidR="00714F30">
        <w:rPr>
          <w:rStyle w:val="EndnoteReference"/>
          <w:rFonts w:ascii="Arial" w:hAnsi="Arial" w:cs="Arial"/>
          <w:sz w:val="24"/>
          <w:szCs w:val="24"/>
        </w:rPr>
        <w:endnoteReference w:id="5"/>
      </w:r>
      <w:r w:rsidR="00714F30">
        <w:rPr>
          <w:rFonts w:ascii="Arial" w:hAnsi="Arial" w:cs="Arial"/>
          <w:sz w:val="24"/>
          <w:szCs w:val="24"/>
          <w:vertAlign w:val="superscript"/>
        </w:rPr>
        <w:t>,</w:t>
      </w:r>
      <w:r w:rsidR="003351F6">
        <w:rPr>
          <w:rStyle w:val="EndnoteReference"/>
          <w:rFonts w:ascii="Arial" w:hAnsi="Arial" w:cs="Arial"/>
          <w:sz w:val="24"/>
          <w:szCs w:val="24"/>
        </w:rPr>
        <w:endnoteReference w:id="6"/>
      </w:r>
      <w:r w:rsidR="003351F6">
        <w:rPr>
          <w:rFonts w:ascii="Arial" w:hAnsi="Arial" w:cs="Arial"/>
          <w:sz w:val="24"/>
          <w:szCs w:val="24"/>
          <w:vertAlign w:val="superscript"/>
        </w:rPr>
        <w:t>,</w:t>
      </w:r>
      <w:r w:rsidR="003351F6">
        <w:rPr>
          <w:rStyle w:val="EndnoteReference"/>
          <w:rFonts w:ascii="Arial" w:hAnsi="Arial" w:cs="Arial"/>
          <w:sz w:val="24"/>
          <w:szCs w:val="24"/>
        </w:rPr>
        <w:endnoteReference w:id="7"/>
      </w:r>
      <w:r w:rsidR="003351F6">
        <w:rPr>
          <w:rFonts w:ascii="Arial" w:hAnsi="Arial" w:cs="Arial"/>
          <w:sz w:val="24"/>
          <w:szCs w:val="24"/>
        </w:rPr>
        <w:t xml:space="preserve">, </w:t>
      </w:r>
      <w:r w:rsidR="003351F6" w:rsidRPr="00164350">
        <w:rPr>
          <w:rFonts w:ascii="Arial" w:hAnsi="Arial" w:cs="Arial"/>
          <w:sz w:val="24"/>
          <w:szCs w:val="24"/>
        </w:rPr>
        <w:t>Order 890-A</w:t>
      </w:r>
      <w:r w:rsidR="003351F6">
        <w:rPr>
          <w:rStyle w:val="EndnoteReference"/>
          <w:rFonts w:ascii="Arial" w:hAnsi="Arial" w:cs="Arial"/>
          <w:sz w:val="24"/>
          <w:szCs w:val="24"/>
        </w:rPr>
        <w:endnoteReference w:id="8"/>
      </w:r>
      <w:r w:rsidR="003351F6">
        <w:rPr>
          <w:rFonts w:ascii="Arial" w:hAnsi="Arial" w:cs="Arial"/>
          <w:sz w:val="24"/>
          <w:szCs w:val="24"/>
        </w:rPr>
        <w:t>, and other orders</w:t>
      </w:r>
      <w:r w:rsidR="003351F6">
        <w:rPr>
          <w:rStyle w:val="EndnoteReference"/>
          <w:rFonts w:ascii="Arial" w:hAnsi="Arial" w:cs="Arial"/>
          <w:sz w:val="24"/>
          <w:szCs w:val="24"/>
        </w:rPr>
        <w:endnoteReference w:id="9"/>
      </w:r>
      <w:r w:rsidR="003351F6" w:rsidRPr="00172BA7">
        <w:rPr>
          <w:rFonts w:ascii="Arial" w:hAnsi="Arial" w:cs="Arial"/>
          <w:sz w:val="24"/>
          <w:szCs w:val="24"/>
          <w:vertAlign w:val="superscript"/>
        </w:rPr>
        <w:t>,</w:t>
      </w:r>
      <w:r w:rsidR="003351F6">
        <w:rPr>
          <w:rStyle w:val="EndnoteReference"/>
          <w:rFonts w:ascii="Arial" w:hAnsi="Arial" w:cs="Arial"/>
          <w:sz w:val="24"/>
          <w:szCs w:val="24"/>
        </w:rPr>
        <w:endnoteReference w:id="10"/>
      </w:r>
      <w:r w:rsidR="003351F6">
        <w:rPr>
          <w:rFonts w:ascii="Arial" w:hAnsi="Arial" w:cs="Arial"/>
          <w:sz w:val="24"/>
          <w:szCs w:val="24"/>
        </w:rPr>
        <w:t xml:space="preserve">. The </w:t>
      </w:r>
      <w:commentRangeStart w:id="0"/>
      <w:r w:rsidR="003351F6">
        <w:rPr>
          <w:rFonts w:ascii="Arial" w:hAnsi="Arial" w:cs="Arial"/>
          <w:sz w:val="24"/>
          <w:szCs w:val="24"/>
        </w:rPr>
        <w:t xml:space="preserve">two-level firm curtailment </w:t>
      </w:r>
      <w:commentRangeEnd w:id="0"/>
      <w:r w:rsidR="00A73A01">
        <w:rPr>
          <w:rStyle w:val="CommentReference"/>
        </w:rPr>
        <w:commentReference w:id="0"/>
      </w:r>
      <w:r w:rsidR="003351F6">
        <w:rPr>
          <w:rFonts w:ascii="Arial" w:hAnsi="Arial" w:cs="Arial"/>
          <w:sz w:val="24"/>
          <w:szCs w:val="24"/>
        </w:rPr>
        <w:t>under consideration by the WEQ BPS would establish multiple curtailment priorities</w:t>
      </w:r>
      <w:r w:rsidR="006A2657">
        <w:rPr>
          <w:rFonts w:ascii="Arial" w:hAnsi="Arial" w:cs="Arial"/>
          <w:sz w:val="24"/>
          <w:szCs w:val="24"/>
        </w:rPr>
        <w:t xml:space="preserve"> for firm service</w:t>
      </w:r>
      <w:r w:rsidR="003351F6">
        <w:rPr>
          <w:rFonts w:ascii="Arial" w:hAnsi="Arial" w:cs="Arial"/>
          <w:sz w:val="24"/>
          <w:szCs w:val="24"/>
        </w:rPr>
        <w:t xml:space="preserve"> which</w:t>
      </w:r>
      <w:r w:rsidR="006A2657">
        <w:rPr>
          <w:rFonts w:ascii="Arial" w:hAnsi="Arial" w:cs="Arial"/>
          <w:sz w:val="24"/>
          <w:szCs w:val="24"/>
        </w:rPr>
        <w:t xml:space="preserve"> conflict with FERC policy and would</w:t>
      </w:r>
      <w:r w:rsidR="003351F6">
        <w:rPr>
          <w:rFonts w:ascii="Arial" w:hAnsi="Arial" w:cs="Arial"/>
          <w:sz w:val="24"/>
          <w:szCs w:val="24"/>
        </w:rPr>
        <w:t xml:space="preserve"> require</w:t>
      </w:r>
      <w:r w:rsidR="003351F6" w:rsidRPr="00C5366B">
        <w:rPr>
          <w:rFonts w:ascii="Arial" w:hAnsi="Arial" w:cs="Arial"/>
          <w:sz w:val="24"/>
          <w:szCs w:val="24"/>
        </w:rPr>
        <w:t xml:space="preserve"> a change to the </w:t>
      </w:r>
      <w:r w:rsidR="0047342E">
        <w:rPr>
          <w:rFonts w:ascii="Arial" w:hAnsi="Arial" w:cs="Arial"/>
          <w:sz w:val="24"/>
          <w:szCs w:val="24"/>
        </w:rPr>
        <w:t>pro-</w:t>
      </w:r>
      <w:r w:rsidR="003351F6" w:rsidRPr="00C5366B">
        <w:rPr>
          <w:rFonts w:ascii="Arial" w:hAnsi="Arial" w:cs="Arial"/>
          <w:sz w:val="24"/>
          <w:szCs w:val="24"/>
        </w:rPr>
        <w:t>forma tariff</w:t>
      </w:r>
      <w:r w:rsidR="006A2657">
        <w:rPr>
          <w:rFonts w:ascii="Arial" w:hAnsi="Arial" w:cs="Arial"/>
          <w:sz w:val="24"/>
          <w:szCs w:val="24"/>
        </w:rPr>
        <w:t xml:space="preserve"> to include an additional level of firm curtailment.</w:t>
      </w:r>
    </w:p>
    <w:p w:rsidR="003351F6" w:rsidRPr="00944982" w:rsidRDefault="003351F6" w:rsidP="00944982">
      <w:pPr>
        <w:rPr>
          <w:rFonts w:ascii="Arial" w:hAnsi="Arial" w:cs="Arial"/>
          <w:sz w:val="24"/>
          <w:szCs w:val="24"/>
          <w:u w:val="single"/>
        </w:rPr>
      </w:pPr>
      <w:r w:rsidRPr="00944982">
        <w:rPr>
          <w:rFonts w:ascii="Arial" w:hAnsi="Arial" w:cs="Arial"/>
          <w:sz w:val="24"/>
          <w:szCs w:val="24"/>
          <w:u w:val="single"/>
        </w:rPr>
        <w:t xml:space="preserve">New policy that requires </w:t>
      </w:r>
      <w:r w:rsidR="002A1C65">
        <w:rPr>
          <w:rFonts w:ascii="Arial" w:hAnsi="Arial" w:cs="Arial"/>
          <w:sz w:val="24"/>
          <w:szCs w:val="24"/>
          <w:u w:val="single"/>
        </w:rPr>
        <w:t>TSP-to</w:t>
      </w:r>
      <w:r w:rsidR="0081386E">
        <w:rPr>
          <w:rFonts w:ascii="Arial" w:hAnsi="Arial" w:cs="Arial"/>
          <w:sz w:val="24"/>
          <w:szCs w:val="24"/>
          <w:u w:val="single"/>
        </w:rPr>
        <w:t>-</w:t>
      </w:r>
      <w:r w:rsidR="002A1C65">
        <w:rPr>
          <w:rFonts w:ascii="Arial" w:hAnsi="Arial" w:cs="Arial"/>
          <w:sz w:val="24"/>
          <w:szCs w:val="24"/>
          <w:u w:val="single"/>
        </w:rPr>
        <w:t>TSP</w:t>
      </w:r>
      <w:r w:rsidRPr="00944982">
        <w:rPr>
          <w:rFonts w:ascii="Arial" w:hAnsi="Arial" w:cs="Arial"/>
          <w:sz w:val="24"/>
          <w:szCs w:val="24"/>
          <w:u w:val="single"/>
        </w:rPr>
        <w:t xml:space="preserve"> </w:t>
      </w:r>
      <w:r w:rsidR="002A1C65">
        <w:rPr>
          <w:rFonts w:ascii="Arial" w:hAnsi="Arial" w:cs="Arial"/>
          <w:sz w:val="24"/>
          <w:szCs w:val="24"/>
          <w:u w:val="single"/>
        </w:rPr>
        <w:t xml:space="preserve">coordination </w:t>
      </w:r>
      <w:r w:rsidRPr="00944982">
        <w:rPr>
          <w:rFonts w:ascii="Arial" w:hAnsi="Arial" w:cs="Arial"/>
          <w:sz w:val="24"/>
          <w:szCs w:val="24"/>
          <w:u w:val="single"/>
        </w:rPr>
        <w:t>agreements</w:t>
      </w:r>
    </w:p>
    <w:p w:rsidR="0047342E" w:rsidRDefault="003351F6" w:rsidP="00B2516D">
      <w:pPr>
        <w:rPr>
          <w:rFonts w:ascii="Arial" w:hAnsi="Arial" w:cs="Arial"/>
          <w:sz w:val="24"/>
          <w:szCs w:val="24"/>
        </w:rPr>
      </w:pPr>
      <w:r>
        <w:rPr>
          <w:rFonts w:ascii="Arial" w:hAnsi="Arial" w:cs="Arial"/>
          <w:sz w:val="24"/>
          <w:szCs w:val="24"/>
        </w:rPr>
        <w:t>The Business Practices under consideration would b</w:t>
      </w:r>
      <w:r w:rsidRPr="00EC7150">
        <w:rPr>
          <w:rFonts w:ascii="Arial" w:hAnsi="Arial" w:cs="Arial"/>
          <w:sz w:val="24"/>
          <w:szCs w:val="24"/>
        </w:rPr>
        <w:t xml:space="preserve">e a policy decision to require </w:t>
      </w:r>
      <w:r w:rsidR="0047342E">
        <w:rPr>
          <w:rFonts w:ascii="Arial" w:hAnsi="Arial" w:cs="Arial"/>
          <w:sz w:val="24"/>
          <w:szCs w:val="24"/>
        </w:rPr>
        <w:t>coordination</w:t>
      </w:r>
      <w:r w:rsidRPr="00EC7150">
        <w:rPr>
          <w:rFonts w:ascii="Arial" w:hAnsi="Arial" w:cs="Arial"/>
          <w:sz w:val="24"/>
          <w:szCs w:val="24"/>
        </w:rPr>
        <w:t xml:space="preserve"> agreements</w:t>
      </w:r>
      <w:r w:rsidR="005F26F8">
        <w:rPr>
          <w:rFonts w:ascii="Arial" w:hAnsi="Arial" w:cs="Arial"/>
          <w:sz w:val="24"/>
          <w:szCs w:val="24"/>
        </w:rPr>
        <w:t xml:space="preserve"> in order to obtain the higher level of firm curtailment priority, </w:t>
      </w:r>
      <w:r w:rsidRPr="00EC7150">
        <w:rPr>
          <w:rFonts w:ascii="Arial" w:hAnsi="Arial" w:cs="Arial"/>
          <w:sz w:val="24"/>
          <w:szCs w:val="24"/>
        </w:rPr>
        <w:t xml:space="preserve"> when in the past FERC has said that seams issues are better addr</w:t>
      </w:r>
      <w:r>
        <w:rPr>
          <w:rFonts w:ascii="Arial" w:hAnsi="Arial" w:cs="Arial"/>
          <w:sz w:val="24"/>
          <w:szCs w:val="24"/>
        </w:rPr>
        <w:t>essed on a case-by-case basis</w:t>
      </w:r>
      <w:r>
        <w:rPr>
          <w:rStyle w:val="EndnoteReference"/>
          <w:rFonts w:ascii="Arial" w:hAnsi="Arial" w:cs="Arial"/>
          <w:sz w:val="24"/>
          <w:szCs w:val="24"/>
        </w:rPr>
        <w:endnoteReference w:id="11"/>
      </w:r>
      <w:r>
        <w:rPr>
          <w:rFonts w:ascii="Arial" w:hAnsi="Arial" w:cs="Arial"/>
          <w:sz w:val="24"/>
          <w:szCs w:val="24"/>
        </w:rPr>
        <w:t>,</w:t>
      </w:r>
      <w:r>
        <w:rPr>
          <w:rStyle w:val="EndnoteReference"/>
          <w:rFonts w:ascii="Arial" w:hAnsi="Arial" w:cs="Arial"/>
          <w:sz w:val="24"/>
          <w:szCs w:val="24"/>
        </w:rPr>
        <w:endnoteReference w:id="12"/>
      </w:r>
      <w:r>
        <w:rPr>
          <w:rFonts w:ascii="Arial" w:hAnsi="Arial" w:cs="Arial"/>
          <w:sz w:val="24"/>
          <w:szCs w:val="24"/>
        </w:rPr>
        <w:t>.</w:t>
      </w:r>
      <w:r w:rsidR="002A1C65">
        <w:rPr>
          <w:rFonts w:ascii="Arial" w:hAnsi="Arial" w:cs="Arial"/>
          <w:sz w:val="24"/>
          <w:szCs w:val="24"/>
        </w:rPr>
        <w:t xml:space="preserve">  </w:t>
      </w:r>
    </w:p>
    <w:p w:rsidR="008F3862" w:rsidRDefault="002A1C65" w:rsidP="00B2516D">
      <w:pPr>
        <w:rPr>
          <w:rFonts w:ascii="Arial" w:hAnsi="Arial" w:cs="Arial"/>
          <w:sz w:val="24"/>
          <w:szCs w:val="24"/>
        </w:rPr>
      </w:pPr>
      <w:r>
        <w:rPr>
          <w:rFonts w:ascii="Arial" w:hAnsi="Arial" w:cs="Arial"/>
          <w:sz w:val="24"/>
          <w:szCs w:val="24"/>
        </w:rPr>
        <w:t xml:space="preserve">The minimum requirements of these agreements are </w:t>
      </w:r>
      <w:r w:rsidR="00C279B3">
        <w:rPr>
          <w:rFonts w:ascii="Arial" w:hAnsi="Arial" w:cs="Arial"/>
          <w:sz w:val="24"/>
          <w:szCs w:val="24"/>
        </w:rPr>
        <w:t xml:space="preserve">similar </w:t>
      </w:r>
      <w:r>
        <w:rPr>
          <w:rFonts w:ascii="Arial" w:hAnsi="Arial" w:cs="Arial"/>
          <w:sz w:val="24"/>
          <w:szCs w:val="24"/>
        </w:rPr>
        <w:t xml:space="preserve">to the requirements in </w:t>
      </w:r>
      <w:r w:rsidR="00C279B3">
        <w:rPr>
          <w:rFonts w:ascii="Arial" w:hAnsi="Arial" w:cs="Arial"/>
          <w:sz w:val="24"/>
          <w:szCs w:val="24"/>
        </w:rPr>
        <w:t xml:space="preserve">NERC MOD standards and provide little, if any, additional value.   </w:t>
      </w:r>
      <w:r w:rsidR="00714F30">
        <w:rPr>
          <w:rFonts w:ascii="Arial" w:hAnsi="Arial" w:cs="Arial"/>
          <w:sz w:val="24"/>
          <w:szCs w:val="24"/>
        </w:rPr>
        <w:t xml:space="preserve">As mentioned in the previous section, including </w:t>
      </w:r>
      <w:r w:rsidR="00C279B3">
        <w:rPr>
          <w:rFonts w:ascii="Arial" w:hAnsi="Arial" w:cs="Arial"/>
          <w:sz w:val="24"/>
          <w:szCs w:val="24"/>
        </w:rPr>
        <w:t xml:space="preserve">a requirement for </w:t>
      </w:r>
      <w:r w:rsidR="00714F30">
        <w:rPr>
          <w:rFonts w:ascii="Arial" w:hAnsi="Arial" w:cs="Arial"/>
          <w:sz w:val="24"/>
          <w:szCs w:val="24"/>
        </w:rPr>
        <w:t xml:space="preserve">such agreements </w:t>
      </w:r>
      <w:r w:rsidR="00C279B3">
        <w:rPr>
          <w:rFonts w:ascii="Arial" w:hAnsi="Arial" w:cs="Arial"/>
          <w:sz w:val="24"/>
          <w:szCs w:val="24"/>
        </w:rPr>
        <w:t xml:space="preserve">in order to be granted the level of curtailment priority that is currently available </w:t>
      </w:r>
      <w:r w:rsidR="00714F30">
        <w:rPr>
          <w:rFonts w:ascii="Arial" w:hAnsi="Arial" w:cs="Arial"/>
          <w:sz w:val="24"/>
          <w:szCs w:val="24"/>
        </w:rPr>
        <w:t xml:space="preserve">could prove discriminatory with respect to </w:t>
      </w:r>
      <w:r w:rsidR="00C279B3">
        <w:rPr>
          <w:rFonts w:ascii="Arial" w:hAnsi="Arial" w:cs="Arial"/>
          <w:sz w:val="24"/>
          <w:szCs w:val="24"/>
        </w:rPr>
        <w:t>a</w:t>
      </w:r>
      <w:r w:rsidR="00714F30">
        <w:rPr>
          <w:rFonts w:ascii="Arial" w:hAnsi="Arial" w:cs="Arial"/>
          <w:sz w:val="24"/>
          <w:szCs w:val="24"/>
        </w:rPr>
        <w:t xml:space="preserve"> customer’s ability to obtain </w:t>
      </w:r>
      <w:r w:rsidR="00C279B3">
        <w:rPr>
          <w:rFonts w:ascii="Arial" w:hAnsi="Arial" w:cs="Arial"/>
          <w:sz w:val="24"/>
          <w:szCs w:val="24"/>
        </w:rPr>
        <w:t>this</w:t>
      </w:r>
      <w:r w:rsidR="00714F30">
        <w:rPr>
          <w:rFonts w:ascii="Arial" w:hAnsi="Arial" w:cs="Arial"/>
          <w:sz w:val="24"/>
          <w:szCs w:val="24"/>
        </w:rPr>
        <w:t xml:space="preserve"> level of transmission service.</w:t>
      </w:r>
    </w:p>
    <w:p w:rsidR="0047342E" w:rsidRPr="008F3862" w:rsidRDefault="0047342E" w:rsidP="0047342E">
      <w:pPr>
        <w:rPr>
          <w:rFonts w:ascii="Arial" w:hAnsi="Arial" w:cs="Arial"/>
          <w:sz w:val="24"/>
          <w:szCs w:val="24"/>
        </w:rPr>
      </w:pPr>
      <w:r>
        <w:rPr>
          <w:rFonts w:ascii="Arial" w:hAnsi="Arial" w:cs="Arial"/>
          <w:sz w:val="24"/>
          <w:szCs w:val="24"/>
        </w:rPr>
        <w:t xml:space="preserve">Further, the use of coordination agreements to assign curtailment priority </w:t>
      </w:r>
      <w:r w:rsidR="0081386E">
        <w:rPr>
          <w:rFonts w:ascii="Arial" w:hAnsi="Arial" w:cs="Arial"/>
          <w:sz w:val="24"/>
          <w:szCs w:val="24"/>
        </w:rPr>
        <w:t>c</w:t>
      </w:r>
      <w:r w:rsidRPr="008F3862">
        <w:rPr>
          <w:rFonts w:ascii="Arial" w:hAnsi="Arial" w:cs="Arial"/>
          <w:sz w:val="24"/>
          <w:szCs w:val="24"/>
        </w:rPr>
        <w:t>ould be considered discriminatory</w:t>
      </w:r>
      <w:r>
        <w:rPr>
          <w:rFonts w:ascii="Arial" w:hAnsi="Arial" w:cs="Arial"/>
          <w:sz w:val="24"/>
          <w:szCs w:val="24"/>
        </w:rPr>
        <w:t xml:space="preserve"> because the firmness of a customer’s transmission service would be determined at the discretion of a</w:t>
      </w:r>
      <w:r w:rsidR="0081386E">
        <w:rPr>
          <w:rFonts w:ascii="Arial" w:hAnsi="Arial" w:cs="Arial"/>
          <w:sz w:val="24"/>
          <w:szCs w:val="24"/>
        </w:rPr>
        <w:t xml:space="preserve"> Transmission Service Provider (which will decide whether or not to enter</w:t>
      </w:r>
      <w:r>
        <w:rPr>
          <w:rFonts w:ascii="Arial" w:hAnsi="Arial" w:cs="Arial"/>
          <w:sz w:val="24"/>
          <w:szCs w:val="24"/>
        </w:rPr>
        <w:t xml:space="preserve"> into coordination agreements</w:t>
      </w:r>
      <w:r w:rsidR="0081386E">
        <w:rPr>
          <w:rFonts w:ascii="Arial" w:hAnsi="Arial" w:cs="Arial"/>
          <w:sz w:val="24"/>
          <w:szCs w:val="24"/>
        </w:rPr>
        <w:t>)</w:t>
      </w:r>
      <w:r w:rsidRPr="008F3862">
        <w:rPr>
          <w:rFonts w:ascii="Arial" w:hAnsi="Arial" w:cs="Arial"/>
          <w:sz w:val="24"/>
          <w:szCs w:val="24"/>
        </w:rPr>
        <w:t xml:space="preserve">.  </w:t>
      </w:r>
    </w:p>
    <w:p w:rsidR="0047342E" w:rsidRPr="008F3862" w:rsidRDefault="0047342E" w:rsidP="0047342E">
      <w:pPr>
        <w:pStyle w:val="ListParagraph"/>
        <w:numPr>
          <w:ilvl w:val="0"/>
          <w:numId w:val="6"/>
        </w:numPr>
        <w:rPr>
          <w:rFonts w:ascii="Arial" w:hAnsi="Arial" w:cs="Arial"/>
          <w:sz w:val="24"/>
          <w:szCs w:val="24"/>
        </w:rPr>
      </w:pPr>
      <w:r w:rsidRPr="008F3862">
        <w:rPr>
          <w:rFonts w:ascii="Arial" w:hAnsi="Arial" w:cs="Arial"/>
          <w:sz w:val="24"/>
          <w:szCs w:val="24"/>
        </w:rPr>
        <w:t xml:space="preserve">With the current TLR process, a transmission customer can request and pay for firm transmission service for its entire path, and it will get a firm curtailment priority (F7 or FN7).  With the proposed process, the customer could request and pay for firm service on the entire path, but if there is a constraint on an off-the-path-system with no </w:t>
      </w:r>
      <w:r>
        <w:rPr>
          <w:rFonts w:ascii="Arial" w:hAnsi="Arial" w:cs="Arial"/>
          <w:sz w:val="24"/>
          <w:szCs w:val="24"/>
        </w:rPr>
        <w:t>coordination</w:t>
      </w:r>
      <w:r w:rsidRPr="008F3862">
        <w:rPr>
          <w:rFonts w:ascii="Arial" w:hAnsi="Arial" w:cs="Arial"/>
          <w:sz w:val="24"/>
          <w:szCs w:val="24"/>
        </w:rPr>
        <w:t xml:space="preserve"> agreement, the firm service would be the lower priority of firm service; thus the firmness is contingent on actions taken by the Transmission Service Provider, not the customer.</w:t>
      </w:r>
    </w:p>
    <w:p w:rsidR="0047342E" w:rsidRDefault="0047342E" w:rsidP="0047342E">
      <w:pPr>
        <w:pStyle w:val="ListParagraph"/>
        <w:numPr>
          <w:ilvl w:val="0"/>
          <w:numId w:val="6"/>
        </w:numPr>
        <w:rPr>
          <w:rFonts w:ascii="Arial" w:hAnsi="Arial" w:cs="Arial"/>
          <w:sz w:val="24"/>
          <w:szCs w:val="24"/>
        </w:rPr>
      </w:pPr>
      <w:r>
        <w:rPr>
          <w:rFonts w:ascii="Arial" w:hAnsi="Arial" w:cs="Arial"/>
          <w:sz w:val="24"/>
          <w:szCs w:val="24"/>
        </w:rPr>
        <w:t xml:space="preserve">A </w:t>
      </w:r>
      <w:r w:rsidRPr="008F3862">
        <w:rPr>
          <w:rFonts w:ascii="Arial" w:hAnsi="Arial" w:cs="Arial"/>
          <w:sz w:val="24"/>
          <w:szCs w:val="24"/>
        </w:rPr>
        <w:t>T</w:t>
      </w:r>
      <w:r>
        <w:rPr>
          <w:rFonts w:ascii="Arial" w:hAnsi="Arial" w:cs="Arial"/>
          <w:sz w:val="24"/>
          <w:szCs w:val="24"/>
        </w:rPr>
        <w:t xml:space="preserve">ransmission </w:t>
      </w:r>
      <w:r w:rsidRPr="008F3862">
        <w:rPr>
          <w:rFonts w:ascii="Arial" w:hAnsi="Arial" w:cs="Arial"/>
          <w:sz w:val="24"/>
          <w:szCs w:val="24"/>
        </w:rPr>
        <w:t>S</w:t>
      </w:r>
      <w:r>
        <w:rPr>
          <w:rFonts w:ascii="Arial" w:hAnsi="Arial" w:cs="Arial"/>
          <w:sz w:val="24"/>
          <w:szCs w:val="24"/>
        </w:rPr>
        <w:t xml:space="preserve">ervice </w:t>
      </w:r>
      <w:r w:rsidRPr="008F3862">
        <w:rPr>
          <w:rFonts w:ascii="Arial" w:hAnsi="Arial" w:cs="Arial"/>
          <w:sz w:val="24"/>
          <w:szCs w:val="24"/>
        </w:rPr>
        <w:t>P</w:t>
      </w:r>
      <w:r>
        <w:rPr>
          <w:rFonts w:ascii="Arial" w:hAnsi="Arial" w:cs="Arial"/>
          <w:sz w:val="24"/>
          <w:szCs w:val="24"/>
        </w:rPr>
        <w:t>rovider</w:t>
      </w:r>
      <w:r w:rsidRPr="008F3862">
        <w:rPr>
          <w:rFonts w:ascii="Arial" w:hAnsi="Arial" w:cs="Arial"/>
          <w:sz w:val="24"/>
          <w:szCs w:val="24"/>
        </w:rPr>
        <w:t xml:space="preserve"> could execute </w:t>
      </w:r>
      <w:r>
        <w:rPr>
          <w:rFonts w:ascii="Arial" w:hAnsi="Arial" w:cs="Arial"/>
          <w:sz w:val="24"/>
          <w:szCs w:val="24"/>
        </w:rPr>
        <w:t>coordination</w:t>
      </w:r>
      <w:r w:rsidRPr="008F3862">
        <w:rPr>
          <w:rFonts w:ascii="Arial" w:hAnsi="Arial" w:cs="Arial"/>
          <w:sz w:val="24"/>
          <w:szCs w:val="24"/>
        </w:rPr>
        <w:t xml:space="preserve"> agreements with neighboring systems such that its</w:t>
      </w:r>
      <w:r>
        <w:rPr>
          <w:rFonts w:ascii="Arial" w:hAnsi="Arial" w:cs="Arial"/>
          <w:sz w:val="24"/>
          <w:szCs w:val="24"/>
        </w:rPr>
        <w:t xml:space="preserve"> network/native load</w:t>
      </w:r>
      <w:r w:rsidRPr="008F3862">
        <w:rPr>
          <w:rFonts w:ascii="Arial" w:hAnsi="Arial" w:cs="Arial"/>
          <w:sz w:val="24"/>
          <w:szCs w:val="24"/>
        </w:rPr>
        <w:t xml:space="preserve"> </w:t>
      </w:r>
      <w:r>
        <w:rPr>
          <w:rFonts w:ascii="Arial" w:hAnsi="Arial" w:cs="Arial"/>
          <w:sz w:val="24"/>
          <w:szCs w:val="24"/>
        </w:rPr>
        <w:t>loop</w:t>
      </w:r>
      <w:r w:rsidRPr="008F3862">
        <w:rPr>
          <w:rFonts w:ascii="Arial" w:hAnsi="Arial" w:cs="Arial"/>
          <w:sz w:val="24"/>
          <w:szCs w:val="24"/>
        </w:rPr>
        <w:t xml:space="preserve"> flows would be </w:t>
      </w:r>
      <w:r>
        <w:rPr>
          <w:rFonts w:ascii="Arial" w:hAnsi="Arial" w:cs="Arial"/>
          <w:sz w:val="24"/>
          <w:szCs w:val="24"/>
        </w:rPr>
        <w:t xml:space="preserve">higher priority </w:t>
      </w:r>
      <w:r w:rsidRPr="008F3862">
        <w:rPr>
          <w:rFonts w:ascii="Arial" w:hAnsi="Arial" w:cs="Arial"/>
          <w:sz w:val="24"/>
          <w:szCs w:val="24"/>
        </w:rPr>
        <w:t xml:space="preserve">firm, but neglect to execute </w:t>
      </w:r>
      <w:r>
        <w:rPr>
          <w:rFonts w:ascii="Arial" w:hAnsi="Arial" w:cs="Arial"/>
          <w:sz w:val="24"/>
          <w:szCs w:val="24"/>
        </w:rPr>
        <w:t>coordination</w:t>
      </w:r>
      <w:r w:rsidRPr="008F3862">
        <w:rPr>
          <w:rFonts w:ascii="Arial" w:hAnsi="Arial" w:cs="Arial"/>
          <w:sz w:val="24"/>
          <w:szCs w:val="24"/>
        </w:rPr>
        <w:t xml:space="preserve"> agreements with systems further away resulting in PTP transactions wheeled through the TSP being </w:t>
      </w:r>
      <w:r>
        <w:rPr>
          <w:rFonts w:ascii="Arial" w:hAnsi="Arial" w:cs="Arial"/>
          <w:sz w:val="24"/>
          <w:szCs w:val="24"/>
        </w:rPr>
        <w:t>lower priority</w:t>
      </w:r>
      <w:r w:rsidRPr="008F3862">
        <w:rPr>
          <w:rFonts w:ascii="Arial" w:hAnsi="Arial" w:cs="Arial"/>
          <w:sz w:val="24"/>
          <w:szCs w:val="24"/>
        </w:rPr>
        <w:t xml:space="preserve"> firm.  </w:t>
      </w:r>
    </w:p>
    <w:p w:rsidR="0047342E" w:rsidRPr="008F3862" w:rsidRDefault="0047342E" w:rsidP="0047342E">
      <w:pPr>
        <w:pStyle w:val="ListParagraph"/>
        <w:numPr>
          <w:ilvl w:val="0"/>
          <w:numId w:val="6"/>
        </w:numPr>
        <w:rPr>
          <w:rFonts w:ascii="Arial" w:hAnsi="Arial" w:cs="Arial"/>
          <w:sz w:val="24"/>
          <w:szCs w:val="24"/>
        </w:rPr>
      </w:pPr>
      <w:r>
        <w:rPr>
          <w:rFonts w:ascii="Arial" w:hAnsi="Arial" w:cs="Arial"/>
          <w:sz w:val="24"/>
          <w:szCs w:val="24"/>
        </w:rPr>
        <w:t>Many of these coordination agreements have not yet been developed, will vary significantly between TSPs and may result in gaming, non-comparable and discriminatory setting of the firm priority of transmission service inconsistent with the pro-forma Tariff.  Transmission customers will not know in all instances what the priority of the “firm” transmission service that they have purchased under a pro-forma Tariff will be when it is curtailed during a Transmission Loading Relief (TLR) event, and will likely not have any ability to participate or review the provisions that will determine the firmness of their transmission service.</w:t>
      </w:r>
    </w:p>
    <w:p w:rsidR="0047342E" w:rsidRDefault="0047342E" w:rsidP="00B2516D">
      <w:pPr>
        <w:rPr>
          <w:rFonts w:ascii="Arial" w:hAnsi="Arial" w:cs="Arial"/>
          <w:sz w:val="24"/>
          <w:szCs w:val="24"/>
        </w:rPr>
      </w:pPr>
    </w:p>
    <w:p w:rsidR="00714F30" w:rsidRPr="00714F30" w:rsidRDefault="00714F30" w:rsidP="00B2516D">
      <w:pPr>
        <w:rPr>
          <w:rFonts w:ascii="Arial" w:hAnsi="Arial" w:cs="Arial"/>
          <w:b/>
          <w:sz w:val="24"/>
          <w:szCs w:val="24"/>
        </w:rPr>
      </w:pPr>
      <w:r w:rsidRPr="00714F30">
        <w:rPr>
          <w:rFonts w:ascii="Arial" w:hAnsi="Arial" w:cs="Arial"/>
          <w:b/>
          <w:sz w:val="24"/>
          <w:szCs w:val="24"/>
        </w:rPr>
        <w:t xml:space="preserve">Anticipated </w:t>
      </w:r>
      <w:r w:rsidR="00AD5A0A">
        <w:rPr>
          <w:rFonts w:ascii="Arial" w:hAnsi="Arial" w:cs="Arial"/>
          <w:b/>
          <w:sz w:val="24"/>
          <w:szCs w:val="24"/>
        </w:rPr>
        <w:t>R</w:t>
      </w:r>
      <w:r w:rsidRPr="00714F30">
        <w:rPr>
          <w:rFonts w:ascii="Arial" w:hAnsi="Arial" w:cs="Arial"/>
          <w:b/>
          <w:sz w:val="24"/>
          <w:szCs w:val="24"/>
        </w:rPr>
        <w:t>esponse</w:t>
      </w:r>
      <w:r w:rsidR="00AD5A0A">
        <w:rPr>
          <w:rFonts w:ascii="Arial" w:hAnsi="Arial" w:cs="Arial"/>
          <w:b/>
          <w:sz w:val="24"/>
          <w:szCs w:val="24"/>
        </w:rPr>
        <w:t xml:space="preserve"> in Support of the new items</w:t>
      </w:r>
      <w:r w:rsidRPr="00714F30">
        <w:rPr>
          <w:rFonts w:ascii="Arial" w:hAnsi="Arial" w:cs="Arial"/>
          <w:b/>
          <w:sz w:val="24"/>
          <w:szCs w:val="24"/>
        </w:rPr>
        <w:t>:</w:t>
      </w:r>
    </w:p>
    <w:p w:rsidR="00C15C11" w:rsidRDefault="00714F30">
      <w:pPr>
        <w:rPr>
          <w:rFonts w:ascii="Arial" w:hAnsi="Arial" w:cs="Arial"/>
          <w:sz w:val="24"/>
          <w:szCs w:val="24"/>
        </w:rPr>
      </w:pPr>
      <w:r>
        <w:rPr>
          <w:rFonts w:ascii="Arial" w:hAnsi="Arial" w:cs="Arial"/>
          <w:sz w:val="24"/>
          <w:szCs w:val="24"/>
        </w:rPr>
        <w:t>Proponents of t</w:t>
      </w:r>
      <w:r w:rsidR="000B3418">
        <w:rPr>
          <w:rFonts w:ascii="Arial" w:hAnsi="Arial" w:cs="Arial"/>
          <w:sz w:val="24"/>
          <w:szCs w:val="24"/>
        </w:rPr>
        <w:t xml:space="preserve">he new items argue that the existence of FERC-approved WECC Unscheduled Flow Mitigation Procedure signals that FERC policy does not preclude two levels of firm curtailment. </w:t>
      </w:r>
      <w:r w:rsidR="00AD5A0A">
        <w:rPr>
          <w:rFonts w:ascii="Arial" w:hAnsi="Arial" w:cs="Arial"/>
          <w:sz w:val="24"/>
          <w:szCs w:val="24"/>
        </w:rPr>
        <w:t>This procedure does treat on-path transactions differently from off-path transactions for a handful of flowgates in the Western Interconnect.  Th</w:t>
      </w:r>
      <w:r w:rsidR="0081386E">
        <w:rPr>
          <w:rFonts w:ascii="Arial" w:hAnsi="Arial" w:cs="Arial"/>
          <w:sz w:val="24"/>
          <w:szCs w:val="24"/>
        </w:rPr>
        <w:t>e Board of Directors should</w:t>
      </w:r>
      <w:r w:rsidR="00AD5A0A">
        <w:rPr>
          <w:rFonts w:ascii="Arial" w:hAnsi="Arial" w:cs="Arial"/>
          <w:sz w:val="24"/>
          <w:szCs w:val="24"/>
        </w:rPr>
        <w:t xml:space="preserve"> be aware that the key provisions of this procedure were approved prior to FERC Order 888 and also that they represent a procedure which was developed by WECC utilities. </w:t>
      </w:r>
      <w:r w:rsidR="002A1C65">
        <w:rPr>
          <w:rFonts w:ascii="Arial" w:hAnsi="Arial" w:cs="Arial"/>
          <w:sz w:val="24"/>
          <w:szCs w:val="24"/>
        </w:rPr>
        <w:t xml:space="preserve"> While FERC has accepted filings of some providers to have non-standard approaches to addressing their seams issues, it is not correct to assume that FERC policy has changed because it has accepted these approaches.</w:t>
      </w:r>
    </w:p>
    <w:p w:rsidR="0047342E" w:rsidRDefault="00CC646C">
      <w:pPr>
        <w:rPr>
          <w:rFonts w:ascii="Arial" w:hAnsi="Arial" w:cs="Arial"/>
          <w:sz w:val="24"/>
          <w:szCs w:val="24"/>
        </w:rPr>
      </w:pPr>
      <w:r>
        <w:rPr>
          <w:rFonts w:ascii="Arial" w:hAnsi="Arial" w:cs="Arial"/>
          <w:sz w:val="24"/>
          <w:szCs w:val="24"/>
        </w:rPr>
        <w:t>The WECC Unscheduled Flow Mitigation Procedure is not directly comparable to the items under consideration by the WEQ BPS.   Specifically:</w:t>
      </w:r>
    </w:p>
    <w:p w:rsidR="00CC646C" w:rsidRDefault="00CC646C" w:rsidP="00CC646C">
      <w:pPr>
        <w:pStyle w:val="ListParagraph"/>
        <w:numPr>
          <w:ilvl w:val="0"/>
          <w:numId w:val="7"/>
        </w:numPr>
        <w:rPr>
          <w:rFonts w:ascii="Arial" w:hAnsi="Arial" w:cs="Arial"/>
          <w:sz w:val="24"/>
          <w:szCs w:val="24"/>
        </w:rPr>
      </w:pPr>
      <w:r>
        <w:rPr>
          <w:rFonts w:ascii="Arial" w:hAnsi="Arial" w:cs="Arial"/>
          <w:sz w:val="24"/>
          <w:szCs w:val="24"/>
        </w:rPr>
        <w:t>The WECC procedure does not differentiate between firm and non-firm transmission service when making determination for reductions to Contributing Schedules (loop flows).  As such, it is not clear whether FERC has considered the two-tiered aspect of curtailment of firm schedules.</w:t>
      </w:r>
    </w:p>
    <w:p w:rsidR="00CC646C" w:rsidRPr="00CC646C" w:rsidRDefault="00CC646C" w:rsidP="00CC646C">
      <w:pPr>
        <w:pStyle w:val="ListParagraph"/>
        <w:numPr>
          <w:ilvl w:val="0"/>
          <w:numId w:val="7"/>
        </w:numPr>
        <w:rPr>
          <w:rFonts w:ascii="Arial" w:hAnsi="Arial" w:cs="Arial"/>
          <w:sz w:val="24"/>
          <w:szCs w:val="24"/>
        </w:rPr>
      </w:pPr>
      <w:r>
        <w:rPr>
          <w:rFonts w:ascii="Arial" w:hAnsi="Arial" w:cs="Arial"/>
          <w:sz w:val="24"/>
          <w:szCs w:val="24"/>
        </w:rPr>
        <w:t xml:space="preserve">The WECC procedure does not relegate all Contributing Schedules to a first-to-curtail category, as would be done by the WEQ BPS.  In fact, in step 9 of the procedure, the most sever curtailment level; only 35% of the Contributing Schedules are curtailed. </w:t>
      </w:r>
    </w:p>
    <w:p w:rsidR="00714F30" w:rsidRPr="009B5409" w:rsidRDefault="0081386E">
      <w:pPr>
        <w:rPr>
          <w:rFonts w:ascii="Arial" w:hAnsi="Arial" w:cs="Arial"/>
          <w:b/>
          <w:sz w:val="24"/>
          <w:szCs w:val="24"/>
        </w:rPr>
      </w:pPr>
      <w:r w:rsidRPr="009B5409">
        <w:rPr>
          <w:rFonts w:ascii="Arial" w:hAnsi="Arial" w:cs="Arial"/>
          <w:b/>
          <w:sz w:val="24"/>
          <w:szCs w:val="24"/>
        </w:rPr>
        <w:t>Recommended Response:</w:t>
      </w:r>
    </w:p>
    <w:p w:rsidR="0081386E" w:rsidRDefault="0081386E">
      <w:pPr>
        <w:rPr>
          <w:rFonts w:ascii="Arial" w:hAnsi="Arial" w:cs="Arial"/>
          <w:sz w:val="24"/>
          <w:szCs w:val="24"/>
        </w:rPr>
      </w:pPr>
      <w:r>
        <w:rPr>
          <w:rFonts w:ascii="Arial" w:hAnsi="Arial" w:cs="Arial"/>
          <w:sz w:val="24"/>
          <w:szCs w:val="24"/>
        </w:rPr>
        <w:t>The NAESB Board of Directors should affirm that the</w:t>
      </w:r>
      <w:r w:rsidR="009B5409">
        <w:rPr>
          <w:rFonts w:ascii="Arial" w:hAnsi="Arial" w:cs="Arial"/>
          <w:sz w:val="24"/>
          <w:szCs w:val="24"/>
        </w:rPr>
        <w:t xml:space="preserve"> three items addressed in this paper are in conflict with FERC policy and should direct the subcommittee to discontinue development of these items.</w:t>
      </w:r>
    </w:p>
    <w:p w:rsidR="00714F30" w:rsidRPr="00C15C11" w:rsidRDefault="00714F30">
      <w:pPr>
        <w:rPr>
          <w:rFonts w:ascii="Arial" w:hAnsi="Arial" w:cs="Arial"/>
          <w:sz w:val="24"/>
          <w:szCs w:val="24"/>
        </w:rPr>
      </w:pPr>
    </w:p>
    <w:sectPr w:rsidR="00714F30" w:rsidRPr="00C15C11" w:rsidSect="005757A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an Pritchard" w:date="2011-06-29T09:33:00Z" w:initials="ACP">
    <w:p w:rsidR="00A73A01" w:rsidRDefault="00A73A01">
      <w:pPr>
        <w:pStyle w:val="CommentText"/>
      </w:pPr>
      <w:r>
        <w:rPr>
          <w:rStyle w:val="CommentReference"/>
        </w:rPr>
        <w:annotationRef/>
      </w:r>
      <w:r>
        <w:t>Add hyperlink to the two-tiered firm curtailment white paper.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8F7" w:rsidRDefault="00DA68F7" w:rsidP="00D4526F">
      <w:pPr>
        <w:spacing w:after="0" w:line="240" w:lineRule="auto"/>
      </w:pPr>
      <w:r>
        <w:separator/>
      </w:r>
    </w:p>
  </w:endnote>
  <w:endnote w:type="continuationSeparator" w:id="0">
    <w:p w:rsidR="00DA68F7" w:rsidRDefault="00DA68F7" w:rsidP="00D4526F">
      <w:pPr>
        <w:spacing w:after="0" w:line="240" w:lineRule="auto"/>
      </w:pPr>
      <w:r>
        <w:continuationSeparator/>
      </w:r>
    </w:p>
  </w:endnote>
  <w:endnote w:id="1">
    <w:p w:rsidR="003351F6" w:rsidRPr="004A3D2E" w:rsidRDefault="003351F6" w:rsidP="00D4526F">
      <w:pPr>
        <w:spacing w:line="240" w:lineRule="auto"/>
        <w:contextualSpacing/>
        <w:rPr>
          <w:rFonts w:ascii="Times New Roman" w:hAnsi="Times New Roman" w:cs="Times New Roman"/>
          <w:b/>
          <w:bCs/>
          <w:sz w:val="20"/>
          <w:szCs w:val="24"/>
        </w:rPr>
      </w:pPr>
      <w:r w:rsidRPr="004A3D2E">
        <w:rPr>
          <w:rStyle w:val="EndnoteReference"/>
          <w:sz w:val="18"/>
        </w:rPr>
        <w:endnoteRef/>
      </w:r>
      <w:r w:rsidRPr="004A3D2E">
        <w:rPr>
          <w:sz w:val="18"/>
        </w:rPr>
        <w:t xml:space="preserve"> </w:t>
      </w:r>
      <w:r w:rsidRPr="004A3D2E">
        <w:rPr>
          <w:rFonts w:ascii="Times New Roman" w:hAnsi="Times New Roman" w:cs="Times New Roman"/>
          <w:b/>
          <w:bCs/>
          <w:sz w:val="20"/>
          <w:szCs w:val="24"/>
        </w:rPr>
        <w:t>ARTICLE 2 - PURPOSES, SCOPE, ACTIVITIES AND POLICIES</w:t>
      </w:r>
    </w:p>
    <w:p w:rsidR="003351F6" w:rsidRPr="004A3D2E" w:rsidRDefault="003351F6" w:rsidP="004A3D2E">
      <w:pPr>
        <w:spacing w:line="240" w:lineRule="auto"/>
        <w:ind w:left="720"/>
        <w:contextualSpacing/>
        <w:rPr>
          <w:rFonts w:ascii="Times New Roman" w:hAnsi="Times New Roman" w:cs="Times New Roman"/>
          <w:b/>
          <w:bCs/>
          <w:sz w:val="20"/>
          <w:szCs w:val="24"/>
        </w:rPr>
      </w:pPr>
      <w:r w:rsidRPr="004A3D2E">
        <w:rPr>
          <w:rFonts w:ascii="Times New Roman" w:hAnsi="Times New Roman" w:cs="Times New Roman"/>
          <w:b/>
          <w:bCs/>
          <w:sz w:val="20"/>
          <w:szCs w:val="24"/>
        </w:rPr>
        <w:t>Section 2.2 Policies</w:t>
      </w:r>
    </w:p>
    <w:p w:rsidR="003351F6" w:rsidRPr="004A3D2E" w:rsidRDefault="003351F6" w:rsidP="004A3D2E">
      <w:pPr>
        <w:spacing w:line="240" w:lineRule="auto"/>
        <w:ind w:left="720"/>
        <w:contextualSpacing/>
        <w:rPr>
          <w:rFonts w:ascii="Times New Roman" w:hAnsi="Times New Roman" w:cs="Times New Roman"/>
          <w:sz w:val="20"/>
          <w:szCs w:val="24"/>
        </w:rPr>
      </w:pPr>
      <w:r w:rsidRPr="004A3D2E">
        <w:rPr>
          <w:rFonts w:ascii="Times New Roman" w:hAnsi="Times New Roman" w:cs="Times New Roman"/>
          <w:sz w:val="20"/>
          <w:szCs w:val="24"/>
        </w:rPr>
        <w:t>(b) The principles governing NAESB are:</w:t>
      </w:r>
    </w:p>
    <w:p w:rsidR="003351F6" w:rsidRPr="004A3D2E" w:rsidRDefault="003351F6" w:rsidP="004A3D2E">
      <w:pPr>
        <w:autoSpaceDE w:val="0"/>
        <w:autoSpaceDN w:val="0"/>
        <w:adjustRightInd w:val="0"/>
        <w:spacing w:after="0" w:line="240" w:lineRule="auto"/>
        <w:ind w:left="720"/>
        <w:contextualSpacing/>
        <w:rPr>
          <w:rFonts w:ascii="Times New Roman" w:hAnsi="Times New Roman" w:cs="Times New Roman"/>
          <w:b/>
          <w:bCs/>
          <w:sz w:val="20"/>
          <w:szCs w:val="24"/>
        </w:rPr>
      </w:pPr>
    </w:p>
    <w:p w:rsidR="003351F6" w:rsidRPr="004A3D2E" w:rsidRDefault="003351F6" w:rsidP="004A3D2E">
      <w:pPr>
        <w:autoSpaceDE w:val="0"/>
        <w:autoSpaceDN w:val="0"/>
        <w:adjustRightInd w:val="0"/>
        <w:spacing w:after="0" w:line="240" w:lineRule="auto"/>
        <w:ind w:left="720"/>
        <w:contextualSpacing/>
        <w:rPr>
          <w:sz w:val="18"/>
        </w:rPr>
      </w:pPr>
      <w:r w:rsidRPr="004A3D2E">
        <w:rPr>
          <w:rFonts w:ascii="Times New Roman" w:hAnsi="Times New Roman" w:cs="Times New Roman"/>
          <w:b/>
          <w:bCs/>
          <w:sz w:val="20"/>
          <w:szCs w:val="24"/>
        </w:rPr>
        <w:t xml:space="preserve">Develop Practices, Not Policy </w:t>
      </w:r>
      <w:r w:rsidRPr="004A3D2E">
        <w:rPr>
          <w:rFonts w:ascii="Times New Roman" w:hAnsi="Times New Roman" w:cs="Times New Roman"/>
          <w:sz w:val="20"/>
          <w:szCs w:val="24"/>
        </w:rPr>
        <w:t>– The committees, subcommittees and task forces of NAESB should endeavor not to create policy in their Standards or Model Business Practices development activities absent being requested to do so by the Board.</w:t>
      </w:r>
    </w:p>
    <w:p w:rsidR="003351F6" w:rsidRPr="004A3D2E" w:rsidRDefault="003351F6">
      <w:pPr>
        <w:pStyle w:val="EndnoteText"/>
        <w:rPr>
          <w:sz w:val="16"/>
        </w:rPr>
      </w:pPr>
    </w:p>
  </w:endnote>
  <w:endnote w:id="2">
    <w:p w:rsidR="003351F6" w:rsidRPr="004A3D2E" w:rsidRDefault="003351F6">
      <w:pPr>
        <w:pStyle w:val="EndnoteText"/>
        <w:rPr>
          <w:sz w:val="16"/>
        </w:rPr>
      </w:pPr>
      <w:r w:rsidRPr="004A3D2E">
        <w:rPr>
          <w:rStyle w:val="EndnoteReference"/>
          <w:sz w:val="16"/>
        </w:rPr>
        <w:endnoteRef/>
      </w:r>
      <w:r w:rsidRPr="004A3D2E">
        <w:rPr>
          <w:sz w:val="16"/>
        </w:rPr>
        <w:t xml:space="preserve"> </w:t>
      </w:r>
      <w:hyperlink r:id="rId1" w:history="1">
        <w:r w:rsidRPr="004A3D2E">
          <w:rPr>
            <w:rStyle w:val="Hyperlink"/>
            <w:rFonts w:ascii="Times New Roman" w:hAnsi="Times New Roman" w:cs="Times New Roman"/>
            <w:bCs/>
            <w:szCs w:val="24"/>
          </w:rPr>
          <w:t>Order 890-A</w:t>
        </w:r>
      </w:hyperlink>
      <w:r w:rsidRPr="004A3D2E">
        <w:rPr>
          <w:rFonts w:ascii="Times New Roman" w:hAnsi="Times New Roman" w:cs="Times New Roman"/>
          <w:bCs/>
          <w:color w:val="1F497D"/>
          <w:szCs w:val="24"/>
        </w:rPr>
        <w:t xml:space="preserve"> </w:t>
      </w:r>
      <w:r w:rsidRPr="004A3D2E">
        <w:rPr>
          <w:rFonts w:ascii="Times New Roman" w:hAnsi="Times New Roman" w:cs="Times New Roman"/>
          <w:bCs/>
          <w:szCs w:val="24"/>
        </w:rPr>
        <w:t>paragraphs 98-100.</w:t>
      </w:r>
    </w:p>
  </w:endnote>
  <w:endnote w:id="3">
    <w:p w:rsidR="003351F6" w:rsidRPr="004A3D2E" w:rsidRDefault="003351F6" w:rsidP="002B105C">
      <w:pPr>
        <w:pStyle w:val="EndnoteText"/>
        <w:rPr>
          <w:rFonts w:ascii="Times New Roman" w:hAnsi="Times New Roman" w:cs="Times New Roman"/>
          <w:szCs w:val="24"/>
        </w:rPr>
      </w:pPr>
      <w:r w:rsidRPr="004A3D2E">
        <w:rPr>
          <w:rStyle w:val="EndnoteReference"/>
          <w:sz w:val="16"/>
        </w:rPr>
        <w:endnoteRef/>
      </w:r>
      <w:r w:rsidRPr="004A3D2E">
        <w:rPr>
          <w:sz w:val="16"/>
        </w:rPr>
        <w:t xml:space="preserve"> </w:t>
      </w:r>
      <w:hyperlink r:id="rId2" w:history="1">
        <w:r w:rsidRPr="004A3D2E">
          <w:rPr>
            <w:rStyle w:val="Hyperlink"/>
            <w:rFonts w:ascii="Times New Roman" w:hAnsi="Times New Roman" w:cs="Times New Roman"/>
            <w:bCs/>
            <w:szCs w:val="24"/>
          </w:rPr>
          <w:t>NOI</w:t>
        </w:r>
      </w:hyperlink>
      <w:r w:rsidRPr="004A3D2E">
        <w:rPr>
          <w:rFonts w:ascii="Times New Roman" w:hAnsi="Times New Roman" w:cs="Times New Roman"/>
          <w:b/>
          <w:bCs/>
          <w:color w:val="1F497D"/>
          <w:szCs w:val="24"/>
        </w:rPr>
        <w:t xml:space="preserve"> </w:t>
      </w:r>
      <w:r w:rsidRPr="004A3D2E">
        <w:rPr>
          <w:rFonts w:ascii="Times New Roman" w:hAnsi="Times New Roman" w:cs="Times New Roman"/>
          <w:szCs w:val="24"/>
        </w:rPr>
        <w:t>(Docket RM10-9-000) paragraph 7.</w:t>
      </w:r>
    </w:p>
  </w:endnote>
  <w:endnote w:id="4">
    <w:p w:rsidR="003351F6" w:rsidRPr="004A3D2E" w:rsidRDefault="003351F6">
      <w:pPr>
        <w:pStyle w:val="EndnoteText"/>
        <w:rPr>
          <w:rFonts w:ascii="Times New Roman" w:hAnsi="Times New Roman" w:cs="Times New Roman"/>
          <w:szCs w:val="24"/>
        </w:rPr>
      </w:pPr>
      <w:r w:rsidRPr="004A3D2E">
        <w:rPr>
          <w:rStyle w:val="EndnoteReference"/>
          <w:rFonts w:ascii="Times New Roman" w:hAnsi="Times New Roman" w:cs="Times New Roman"/>
          <w:szCs w:val="24"/>
        </w:rPr>
        <w:endnoteRef/>
      </w:r>
      <w:r w:rsidRPr="004A3D2E">
        <w:rPr>
          <w:rFonts w:ascii="Times New Roman" w:hAnsi="Times New Roman" w:cs="Times New Roman"/>
          <w:szCs w:val="24"/>
        </w:rPr>
        <w:t xml:space="preserve"> </w:t>
      </w:r>
      <w:hyperlink r:id="rId3" w:history="1">
        <w:r w:rsidRPr="004A3D2E">
          <w:rPr>
            <w:rStyle w:val="Hyperlink"/>
            <w:rFonts w:ascii="Times New Roman" w:hAnsi="Times New Roman" w:cs="Times New Roman"/>
            <w:bCs/>
            <w:szCs w:val="24"/>
          </w:rPr>
          <w:t>Order 890</w:t>
        </w:r>
      </w:hyperlink>
      <w:r w:rsidRPr="004A3D2E">
        <w:rPr>
          <w:rFonts w:ascii="Times New Roman" w:hAnsi="Times New Roman" w:cs="Times New Roman"/>
          <w:b/>
          <w:bCs/>
          <w:color w:val="1F497D"/>
          <w:szCs w:val="24"/>
        </w:rPr>
        <w:t xml:space="preserve"> </w:t>
      </w:r>
      <w:r w:rsidRPr="004A3D2E">
        <w:rPr>
          <w:rFonts w:ascii="Times New Roman" w:hAnsi="Times New Roman" w:cs="Times New Roman"/>
          <w:bCs/>
          <w:szCs w:val="24"/>
        </w:rPr>
        <w:t>paragraph 928.</w:t>
      </w:r>
    </w:p>
  </w:endnote>
  <w:endnote w:id="5">
    <w:p w:rsidR="00714F30" w:rsidRDefault="00714F30">
      <w:pPr>
        <w:pStyle w:val="EndnoteText"/>
      </w:pPr>
      <w:r>
        <w:rPr>
          <w:rStyle w:val="EndnoteReference"/>
        </w:rPr>
        <w:endnoteRef/>
      </w:r>
      <w:r>
        <w:t xml:space="preserve"> </w:t>
      </w:r>
      <w:hyperlink r:id="rId4" w:history="1">
        <w:r w:rsidRPr="004A3D2E">
          <w:rPr>
            <w:rStyle w:val="Hyperlink"/>
            <w:rFonts w:ascii="Times New Roman" w:hAnsi="Times New Roman" w:cs="Times New Roman"/>
            <w:bCs/>
            <w:szCs w:val="24"/>
          </w:rPr>
          <w:t>Order 890</w:t>
        </w:r>
      </w:hyperlink>
      <w:r w:rsidRPr="004A3D2E">
        <w:rPr>
          <w:rFonts w:ascii="Times New Roman" w:hAnsi="Times New Roman" w:cs="Times New Roman"/>
          <w:b/>
          <w:bCs/>
          <w:color w:val="1F497D"/>
          <w:szCs w:val="24"/>
        </w:rPr>
        <w:t xml:space="preserve"> </w:t>
      </w:r>
      <w:r>
        <w:rPr>
          <w:rFonts w:ascii="Times New Roman" w:hAnsi="Times New Roman" w:cs="Times New Roman"/>
          <w:bCs/>
          <w:szCs w:val="24"/>
        </w:rPr>
        <w:t>paragraphs 1074-1077.</w:t>
      </w:r>
    </w:p>
  </w:endnote>
  <w:endnote w:id="6">
    <w:p w:rsidR="003351F6" w:rsidRPr="004A3D2E" w:rsidRDefault="003351F6">
      <w:pPr>
        <w:pStyle w:val="EndnoteText"/>
        <w:rPr>
          <w:sz w:val="16"/>
        </w:rPr>
      </w:pPr>
      <w:r w:rsidRPr="004A3D2E">
        <w:rPr>
          <w:rStyle w:val="EndnoteReference"/>
          <w:sz w:val="16"/>
        </w:rPr>
        <w:endnoteRef/>
      </w:r>
      <w:r w:rsidRPr="004A3D2E">
        <w:rPr>
          <w:sz w:val="16"/>
        </w:rPr>
        <w:t xml:space="preserve"> </w:t>
      </w:r>
      <w:hyperlink r:id="rId5" w:history="1">
        <w:r w:rsidRPr="004A3D2E">
          <w:rPr>
            <w:rStyle w:val="Hyperlink"/>
            <w:rFonts w:ascii="Times New Roman" w:hAnsi="Times New Roman" w:cs="Times New Roman"/>
            <w:bCs/>
            <w:szCs w:val="24"/>
          </w:rPr>
          <w:t>Order 890</w:t>
        </w:r>
      </w:hyperlink>
      <w:r w:rsidRPr="004A3D2E">
        <w:rPr>
          <w:rFonts w:ascii="Times New Roman" w:hAnsi="Times New Roman" w:cs="Times New Roman"/>
          <w:b/>
          <w:bCs/>
          <w:color w:val="1F497D"/>
          <w:szCs w:val="24"/>
        </w:rPr>
        <w:t xml:space="preserve"> </w:t>
      </w:r>
      <w:r w:rsidRPr="004A3D2E">
        <w:rPr>
          <w:rFonts w:ascii="Times New Roman" w:hAnsi="Times New Roman" w:cs="Times New Roman"/>
          <w:bCs/>
          <w:szCs w:val="24"/>
        </w:rPr>
        <w:t>paragraph 1138.</w:t>
      </w:r>
    </w:p>
  </w:endnote>
  <w:endnote w:id="7">
    <w:p w:rsidR="003351F6" w:rsidRPr="004A3D2E" w:rsidRDefault="003351F6">
      <w:pPr>
        <w:pStyle w:val="EndnoteText"/>
        <w:rPr>
          <w:sz w:val="16"/>
        </w:rPr>
      </w:pPr>
      <w:r w:rsidRPr="004A3D2E">
        <w:rPr>
          <w:rStyle w:val="EndnoteReference"/>
          <w:sz w:val="16"/>
        </w:rPr>
        <w:endnoteRef/>
      </w:r>
      <w:r w:rsidRPr="004A3D2E">
        <w:rPr>
          <w:sz w:val="16"/>
        </w:rPr>
        <w:t xml:space="preserve"> </w:t>
      </w:r>
      <w:hyperlink r:id="rId6" w:history="1">
        <w:r w:rsidRPr="004A3D2E">
          <w:rPr>
            <w:rStyle w:val="Hyperlink"/>
            <w:rFonts w:ascii="Times New Roman" w:hAnsi="Times New Roman" w:cs="Times New Roman"/>
            <w:bCs/>
            <w:szCs w:val="24"/>
          </w:rPr>
          <w:t>Order 890</w:t>
        </w:r>
      </w:hyperlink>
      <w:r w:rsidRPr="004A3D2E">
        <w:rPr>
          <w:rFonts w:ascii="Times New Roman" w:hAnsi="Times New Roman" w:cs="Times New Roman"/>
          <w:b/>
          <w:bCs/>
          <w:color w:val="1F497D"/>
          <w:szCs w:val="24"/>
        </w:rPr>
        <w:t xml:space="preserve"> </w:t>
      </w:r>
      <w:r w:rsidRPr="004A3D2E">
        <w:rPr>
          <w:rFonts w:ascii="Times New Roman" w:hAnsi="Times New Roman" w:cs="Times New Roman"/>
          <w:bCs/>
          <w:szCs w:val="24"/>
        </w:rPr>
        <w:t>paragraph 1620.</w:t>
      </w:r>
    </w:p>
  </w:endnote>
  <w:endnote w:id="8">
    <w:p w:rsidR="003351F6" w:rsidRPr="004A3D2E" w:rsidRDefault="003351F6">
      <w:pPr>
        <w:pStyle w:val="EndnoteText"/>
        <w:rPr>
          <w:sz w:val="16"/>
        </w:rPr>
      </w:pPr>
      <w:r w:rsidRPr="004A3D2E">
        <w:rPr>
          <w:rStyle w:val="EndnoteReference"/>
          <w:sz w:val="16"/>
        </w:rPr>
        <w:endnoteRef/>
      </w:r>
      <w:r w:rsidRPr="004A3D2E">
        <w:rPr>
          <w:sz w:val="16"/>
        </w:rPr>
        <w:t xml:space="preserve"> </w:t>
      </w:r>
      <w:hyperlink r:id="rId7" w:history="1">
        <w:r w:rsidRPr="004A3D2E">
          <w:rPr>
            <w:rStyle w:val="Hyperlink"/>
            <w:rFonts w:ascii="Arial" w:hAnsi="Arial" w:cs="Arial"/>
            <w:bCs/>
            <w:sz w:val="16"/>
          </w:rPr>
          <w:t>Order 890-A</w:t>
        </w:r>
      </w:hyperlink>
      <w:r w:rsidRPr="004A3D2E">
        <w:rPr>
          <w:rFonts w:ascii="Arial" w:hAnsi="Arial" w:cs="Arial"/>
          <w:b/>
          <w:bCs/>
          <w:color w:val="1F497D"/>
          <w:sz w:val="16"/>
        </w:rPr>
        <w:t xml:space="preserve"> </w:t>
      </w:r>
      <w:r w:rsidRPr="004A3D2E">
        <w:rPr>
          <w:rFonts w:ascii="Times New Roman" w:hAnsi="Times New Roman" w:cs="Times New Roman"/>
          <w:bCs/>
          <w:szCs w:val="24"/>
        </w:rPr>
        <w:t>paragraphs 974-978.</w:t>
      </w:r>
    </w:p>
  </w:endnote>
  <w:endnote w:id="9">
    <w:p w:rsidR="003351F6" w:rsidRPr="004A3D2E" w:rsidRDefault="003351F6">
      <w:pPr>
        <w:pStyle w:val="EndnoteText"/>
        <w:rPr>
          <w:sz w:val="16"/>
        </w:rPr>
      </w:pPr>
      <w:r w:rsidRPr="004A3D2E">
        <w:rPr>
          <w:rStyle w:val="EndnoteReference"/>
          <w:sz w:val="16"/>
        </w:rPr>
        <w:endnoteRef/>
      </w:r>
      <w:r w:rsidRPr="004A3D2E">
        <w:rPr>
          <w:sz w:val="16"/>
        </w:rPr>
        <w:t xml:space="preserve"> </w:t>
      </w:r>
      <w:hyperlink r:id="rId8" w:history="1">
        <w:r w:rsidRPr="004A3D2E">
          <w:rPr>
            <w:rStyle w:val="Hyperlink"/>
            <w:rFonts w:ascii="Times New Roman" w:hAnsi="Times New Roman" w:cs="Times New Roman"/>
            <w:bCs/>
            <w:szCs w:val="24"/>
          </w:rPr>
          <w:t>ConocoPhillips Company v. Entergy Services, inc</w:t>
        </w:r>
      </w:hyperlink>
      <w:r w:rsidRPr="004A3D2E">
        <w:rPr>
          <w:rFonts w:ascii="Times New Roman" w:hAnsi="Times New Roman" w:cs="Times New Roman"/>
          <w:bCs/>
          <w:color w:val="1F497D"/>
          <w:szCs w:val="24"/>
        </w:rPr>
        <w:t> </w:t>
      </w:r>
      <w:r w:rsidRPr="004A3D2E">
        <w:rPr>
          <w:rFonts w:ascii="Times New Roman" w:hAnsi="Times New Roman" w:cs="Times New Roman"/>
          <w:bCs/>
          <w:szCs w:val="24"/>
        </w:rPr>
        <w:t>(Docket EL08-59-000) paragraphs 24-26.</w:t>
      </w:r>
    </w:p>
  </w:endnote>
  <w:endnote w:id="10">
    <w:p w:rsidR="003351F6" w:rsidRPr="004A3D2E" w:rsidRDefault="003351F6">
      <w:pPr>
        <w:pStyle w:val="EndnoteText"/>
        <w:rPr>
          <w:sz w:val="16"/>
        </w:rPr>
      </w:pPr>
      <w:r w:rsidRPr="004A3D2E">
        <w:rPr>
          <w:rStyle w:val="EndnoteReference"/>
          <w:sz w:val="16"/>
        </w:rPr>
        <w:endnoteRef/>
      </w:r>
      <w:r w:rsidRPr="004A3D2E">
        <w:rPr>
          <w:sz w:val="16"/>
        </w:rPr>
        <w:t xml:space="preserve"> </w:t>
      </w:r>
      <w:hyperlink r:id="rId9" w:history="1">
        <w:r w:rsidRPr="004A3D2E">
          <w:rPr>
            <w:rStyle w:val="Hyperlink"/>
            <w:rFonts w:ascii="Times New Roman" w:hAnsi="Times New Roman" w:cs="Times New Roman"/>
            <w:bCs/>
            <w:szCs w:val="24"/>
          </w:rPr>
          <w:t>Entergy Services, Inc</w:t>
        </w:r>
      </w:hyperlink>
      <w:r w:rsidRPr="004A3D2E">
        <w:rPr>
          <w:rFonts w:ascii="Arial" w:hAnsi="Arial" w:cs="Arial"/>
          <w:b/>
          <w:bCs/>
          <w:color w:val="1F497D"/>
          <w:sz w:val="16"/>
        </w:rPr>
        <w:t xml:space="preserve"> </w:t>
      </w:r>
      <w:r w:rsidRPr="004A3D2E">
        <w:rPr>
          <w:rFonts w:ascii="Times New Roman" w:hAnsi="Times New Roman" w:cs="Times New Roman"/>
          <w:bCs/>
          <w:szCs w:val="24"/>
        </w:rPr>
        <w:t>(Docket ER10-794-000) paragraph 53.</w:t>
      </w:r>
    </w:p>
  </w:endnote>
  <w:endnote w:id="11">
    <w:p w:rsidR="003351F6" w:rsidRPr="004A3D2E" w:rsidRDefault="003351F6">
      <w:pPr>
        <w:pStyle w:val="EndnoteText"/>
        <w:rPr>
          <w:sz w:val="16"/>
        </w:rPr>
      </w:pPr>
      <w:r w:rsidRPr="004A3D2E">
        <w:rPr>
          <w:rStyle w:val="EndnoteReference"/>
          <w:sz w:val="16"/>
        </w:rPr>
        <w:endnoteRef/>
      </w:r>
      <w:r w:rsidRPr="004A3D2E">
        <w:rPr>
          <w:sz w:val="16"/>
        </w:rPr>
        <w:t xml:space="preserve"> </w:t>
      </w:r>
      <w:hyperlink r:id="rId10" w:history="1">
        <w:r w:rsidRPr="004A3D2E">
          <w:rPr>
            <w:rStyle w:val="Hyperlink"/>
            <w:rFonts w:ascii="Times New Roman" w:hAnsi="Times New Roman" w:cs="Times New Roman"/>
            <w:bCs/>
            <w:szCs w:val="24"/>
          </w:rPr>
          <w:t>Order 890</w:t>
        </w:r>
      </w:hyperlink>
      <w:r w:rsidRPr="004A3D2E">
        <w:rPr>
          <w:rFonts w:ascii="Times New Roman" w:hAnsi="Times New Roman" w:cs="Times New Roman"/>
          <w:b/>
          <w:bCs/>
          <w:color w:val="1F497D"/>
          <w:szCs w:val="24"/>
        </w:rPr>
        <w:t xml:space="preserve"> </w:t>
      </w:r>
      <w:r w:rsidRPr="004A3D2E">
        <w:rPr>
          <w:rFonts w:ascii="Times New Roman" w:hAnsi="Times New Roman" w:cs="Times New Roman"/>
          <w:bCs/>
          <w:szCs w:val="24"/>
        </w:rPr>
        <w:t>paragraph 626.</w:t>
      </w:r>
    </w:p>
  </w:endnote>
  <w:endnote w:id="12">
    <w:p w:rsidR="003351F6" w:rsidRPr="004A3D2E" w:rsidRDefault="003351F6" w:rsidP="00CA1A8E">
      <w:pPr>
        <w:autoSpaceDE w:val="0"/>
        <w:autoSpaceDN w:val="0"/>
        <w:adjustRightInd w:val="0"/>
        <w:spacing w:after="0" w:line="240" w:lineRule="auto"/>
        <w:rPr>
          <w:rFonts w:ascii="TimesNewRoman" w:hAnsi="TimesNewRoman" w:cs="TimesNewRoman"/>
          <w:sz w:val="16"/>
          <w:szCs w:val="20"/>
        </w:rPr>
      </w:pPr>
      <w:r w:rsidRPr="004A3D2E">
        <w:rPr>
          <w:rStyle w:val="EndnoteReference"/>
          <w:sz w:val="18"/>
        </w:rPr>
        <w:endnoteRef/>
      </w:r>
      <w:r w:rsidRPr="004A3D2E">
        <w:rPr>
          <w:sz w:val="18"/>
        </w:rPr>
        <w:t xml:space="preserve"> </w:t>
      </w:r>
      <w:hyperlink r:id="rId11" w:history="1">
        <w:r w:rsidRPr="004A3D2E">
          <w:rPr>
            <w:rStyle w:val="Hyperlink"/>
            <w:rFonts w:ascii="TimesNewRoman" w:hAnsi="TimesNewRoman" w:cs="TimesNewRoman"/>
            <w:sz w:val="16"/>
            <w:szCs w:val="20"/>
          </w:rPr>
          <w:t>49 FERC P 61377</w:t>
        </w:r>
      </w:hyperlink>
      <w:r w:rsidRPr="004A3D2E">
        <w:rPr>
          <w:rFonts w:ascii="TimesNewRoman" w:hAnsi="TimesNewRoman" w:cs="TimesNewRoman"/>
          <w:sz w:val="16"/>
          <w:szCs w:val="20"/>
        </w:rPr>
        <w:t xml:space="preserve"> </w:t>
      </w:r>
    </w:p>
    <w:p w:rsidR="003351F6" w:rsidRPr="004A3D2E" w:rsidRDefault="003351F6" w:rsidP="00CA1A8E">
      <w:pPr>
        <w:autoSpaceDE w:val="0"/>
        <w:autoSpaceDN w:val="0"/>
        <w:adjustRightInd w:val="0"/>
        <w:spacing w:after="0" w:line="240" w:lineRule="auto"/>
        <w:rPr>
          <w:sz w:val="20"/>
          <w:szCs w:val="24"/>
        </w:rPr>
      </w:pPr>
      <w:r w:rsidRPr="004A3D2E">
        <w:rPr>
          <w:rFonts w:ascii="TimesNewRoman" w:hAnsi="TimesNewRoman" w:cs="TimesNewRoman"/>
          <w:sz w:val="20"/>
          <w:szCs w:val="24"/>
        </w:rPr>
        <w:t>We will deny Allegheny's request for a technical conference to consider the issue of unintended loop flows. Allegheny speculates that this sale could impact Allegheny's system adversely. Inadvertent or unauthorized power flows are an unavoidable consequence of interconnected utility operations. Interconnected utilities must, and do, work closely to ensure that the operation of one system does not jeopardize the reliability of a neighboring system, nor diminish the neighbor's ability to utilize its system in the most economical manner. This coordination is accomplished by direct day-to-day communications and the establishment of operating committees, as well as by participation in power pools such as the East Central Area Reliability Coordination Agreement to which AEP and Allegheny belong. The Commission, however, does not and, indeed, could not oversee the operation of utility systems. Operational decisions are dynamic and require instantaneous hands-on reaction to changing circumstances. As with any power sale, the transfer of Rockport Unit No. 2 power to Carolina Power will require coordination on a day-to-day basis by the affected utilities. It is, in the first instance, for the interconnected parties as the owners and operators of utility systems to establish mutually acceptable operating practices. In addition, if Allegheny can demonstrate that this transaction is a burden on its system, Allegheny can file a transmission service rate for Commission consideration which would account for any unauthorized loop flows</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8F7" w:rsidRDefault="00DA68F7" w:rsidP="00D4526F">
      <w:pPr>
        <w:spacing w:after="0" w:line="240" w:lineRule="auto"/>
      </w:pPr>
      <w:r>
        <w:separator/>
      </w:r>
    </w:p>
  </w:footnote>
  <w:footnote w:type="continuationSeparator" w:id="0">
    <w:p w:rsidR="00DA68F7" w:rsidRDefault="00DA68F7" w:rsidP="00D452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26789"/>
    <w:multiLevelType w:val="hybridMultilevel"/>
    <w:tmpl w:val="9DDEC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F55541"/>
    <w:multiLevelType w:val="hybridMultilevel"/>
    <w:tmpl w:val="CDCA7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7606C"/>
    <w:multiLevelType w:val="hybridMultilevel"/>
    <w:tmpl w:val="8ED0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227E55"/>
    <w:multiLevelType w:val="hybridMultilevel"/>
    <w:tmpl w:val="E76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E94665"/>
    <w:multiLevelType w:val="hybridMultilevel"/>
    <w:tmpl w:val="6920542A"/>
    <w:lvl w:ilvl="0" w:tplc="18E6B5BC">
      <w:start w:val="1"/>
      <w:numFmt w:val="decimal"/>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CF2403"/>
    <w:multiLevelType w:val="hybridMultilevel"/>
    <w:tmpl w:val="CDCA7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FA168E"/>
    <w:multiLevelType w:val="hybridMultilevel"/>
    <w:tmpl w:val="11FC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F54C0F"/>
    <w:multiLevelType w:val="hybridMultilevel"/>
    <w:tmpl w:val="CDCA7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4"/>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C15C11"/>
    <w:rsid w:val="00000EC2"/>
    <w:rsid w:val="00000F16"/>
    <w:rsid w:val="00004774"/>
    <w:rsid w:val="000069A9"/>
    <w:rsid w:val="000070D0"/>
    <w:rsid w:val="00007ED5"/>
    <w:rsid w:val="00010358"/>
    <w:rsid w:val="000113CA"/>
    <w:rsid w:val="000114B8"/>
    <w:rsid w:val="000269AB"/>
    <w:rsid w:val="00031AFA"/>
    <w:rsid w:val="0003343B"/>
    <w:rsid w:val="000334CA"/>
    <w:rsid w:val="00034080"/>
    <w:rsid w:val="0003417D"/>
    <w:rsid w:val="000375BF"/>
    <w:rsid w:val="00042693"/>
    <w:rsid w:val="00043E6D"/>
    <w:rsid w:val="00044332"/>
    <w:rsid w:val="000466C5"/>
    <w:rsid w:val="0005102C"/>
    <w:rsid w:val="000514AC"/>
    <w:rsid w:val="000522FF"/>
    <w:rsid w:val="00052ADF"/>
    <w:rsid w:val="00052CEA"/>
    <w:rsid w:val="00057980"/>
    <w:rsid w:val="000602EC"/>
    <w:rsid w:val="000609E1"/>
    <w:rsid w:val="00064A6C"/>
    <w:rsid w:val="0006601F"/>
    <w:rsid w:val="000727F8"/>
    <w:rsid w:val="00073B4B"/>
    <w:rsid w:val="00074490"/>
    <w:rsid w:val="00076146"/>
    <w:rsid w:val="0007745D"/>
    <w:rsid w:val="0008097A"/>
    <w:rsid w:val="00086372"/>
    <w:rsid w:val="000868FF"/>
    <w:rsid w:val="00087BE3"/>
    <w:rsid w:val="00087E90"/>
    <w:rsid w:val="00090101"/>
    <w:rsid w:val="00095AA3"/>
    <w:rsid w:val="00095D7E"/>
    <w:rsid w:val="00097B12"/>
    <w:rsid w:val="000A480E"/>
    <w:rsid w:val="000A65F8"/>
    <w:rsid w:val="000B013E"/>
    <w:rsid w:val="000B15C7"/>
    <w:rsid w:val="000B3418"/>
    <w:rsid w:val="000B4B5F"/>
    <w:rsid w:val="000B51CA"/>
    <w:rsid w:val="000B55CB"/>
    <w:rsid w:val="000B59C1"/>
    <w:rsid w:val="000B5BB8"/>
    <w:rsid w:val="000C0047"/>
    <w:rsid w:val="000C0156"/>
    <w:rsid w:val="000C2916"/>
    <w:rsid w:val="000C35AB"/>
    <w:rsid w:val="000C6A3F"/>
    <w:rsid w:val="000C7D01"/>
    <w:rsid w:val="000D0112"/>
    <w:rsid w:val="000D024A"/>
    <w:rsid w:val="000D02E6"/>
    <w:rsid w:val="000D0A63"/>
    <w:rsid w:val="000D353F"/>
    <w:rsid w:val="000D3872"/>
    <w:rsid w:val="000D7100"/>
    <w:rsid w:val="000E1C45"/>
    <w:rsid w:val="000E4962"/>
    <w:rsid w:val="000E5139"/>
    <w:rsid w:val="000E7DC8"/>
    <w:rsid w:val="000F1E82"/>
    <w:rsid w:val="000F44BE"/>
    <w:rsid w:val="0010280B"/>
    <w:rsid w:val="001033A4"/>
    <w:rsid w:val="001057D8"/>
    <w:rsid w:val="00105971"/>
    <w:rsid w:val="0011080D"/>
    <w:rsid w:val="00114B00"/>
    <w:rsid w:val="00115734"/>
    <w:rsid w:val="00115CFB"/>
    <w:rsid w:val="00115F03"/>
    <w:rsid w:val="0012240B"/>
    <w:rsid w:val="00122E2E"/>
    <w:rsid w:val="00124843"/>
    <w:rsid w:val="00124F2C"/>
    <w:rsid w:val="00127586"/>
    <w:rsid w:val="001313DD"/>
    <w:rsid w:val="001335AB"/>
    <w:rsid w:val="00133E45"/>
    <w:rsid w:val="00135C7D"/>
    <w:rsid w:val="001364B6"/>
    <w:rsid w:val="00137488"/>
    <w:rsid w:val="001378CD"/>
    <w:rsid w:val="0013792F"/>
    <w:rsid w:val="0014070A"/>
    <w:rsid w:val="00144DA5"/>
    <w:rsid w:val="00145485"/>
    <w:rsid w:val="00146A05"/>
    <w:rsid w:val="001471A7"/>
    <w:rsid w:val="00147D1A"/>
    <w:rsid w:val="00150884"/>
    <w:rsid w:val="001510E1"/>
    <w:rsid w:val="00151A4A"/>
    <w:rsid w:val="001522AD"/>
    <w:rsid w:val="001527BE"/>
    <w:rsid w:val="00153A09"/>
    <w:rsid w:val="00153FEE"/>
    <w:rsid w:val="00154AF7"/>
    <w:rsid w:val="00154C24"/>
    <w:rsid w:val="001555BE"/>
    <w:rsid w:val="00156ED5"/>
    <w:rsid w:val="00157B0B"/>
    <w:rsid w:val="00160936"/>
    <w:rsid w:val="0016120A"/>
    <w:rsid w:val="001628FD"/>
    <w:rsid w:val="001633ED"/>
    <w:rsid w:val="0016384B"/>
    <w:rsid w:val="00163901"/>
    <w:rsid w:val="00164350"/>
    <w:rsid w:val="00167178"/>
    <w:rsid w:val="00167179"/>
    <w:rsid w:val="00172BA7"/>
    <w:rsid w:val="00174FDF"/>
    <w:rsid w:val="0017572F"/>
    <w:rsid w:val="00175D0D"/>
    <w:rsid w:val="00176A40"/>
    <w:rsid w:val="00177D28"/>
    <w:rsid w:val="00177F3E"/>
    <w:rsid w:val="001817F4"/>
    <w:rsid w:val="0018467F"/>
    <w:rsid w:val="00184A3B"/>
    <w:rsid w:val="001868B0"/>
    <w:rsid w:val="0018723B"/>
    <w:rsid w:val="00191E00"/>
    <w:rsid w:val="00192632"/>
    <w:rsid w:val="00194C74"/>
    <w:rsid w:val="001A019C"/>
    <w:rsid w:val="001A1276"/>
    <w:rsid w:val="001B37D5"/>
    <w:rsid w:val="001B62A1"/>
    <w:rsid w:val="001B6B25"/>
    <w:rsid w:val="001B6DA0"/>
    <w:rsid w:val="001B6E62"/>
    <w:rsid w:val="001B72BD"/>
    <w:rsid w:val="001B7DA2"/>
    <w:rsid w:val="001C0B60"/>
    <w:rsid w:val="001C1098"/>
    <w:rsid w:val="001C22D9"/>
    <w:rsid w:val="001C35CE"/>
    <w:rsid w:val="001C49B6"/>
    <w:rsid w:val="001C4B30"/>
    <w:rsid w:val="001C5A29"/>
    <w:rsid w:val="001C795C"/>
    <w:rsid w:val="001C7C93"/>
    <w:rsid w:val="001D0642"/>
    <w:rsid w:val="001D37C5"/>
    <w:rsid w:val="001D4F26"/>
    <w:rsid w:val="001D527D"/>
    <w:rsid w:val="001D7365"/>
    <w:rsid w:val="001D7C9E"/>
    <w:rsid w:val="001E01EA"/>
    <w:rsid w:val="001E0567"/>
    <w:rsid w:val="001E2912"/>
    <w:rsid w:val="001E5376"/>
    <w:rsid w:val="001E62F0"/>
    <w:rsid w:val="001E74ED"/>
    <w:rsid w:val="001F2F08"/>
    <w:rsid w:val="001F71E2"/>
    <w:rsid w:val="00200CC2"/>
    <w:rsid w:val="002039FA"/>
    <w:rsid w:val="00204BCC"/>
    <w:rsid w:val="00207B4C"/>
    <w:rsid w:val="00210528"/>
    <w:rsid w:val="00212559"/>
    <w:rsid w:val="0021436A"/>
    <w:rsid w:val="00215AC3"/>
    <w:rsid w:val="00216C81"/>
    <w:rsid w:val="00216E2B"/>
    <w:rsid w:val="00217B62"/>
    <w:rsid w:val="00221D82"/>
    <w:rsid w:val="00223379"/>
    <w:rsid w:val="00225854"/>
    <w:rsid w:val="00227000"/>
    <w:rsid w:val="00227C90"/>
    <w:rsid w:val="00227E26"/>
    <w:rsid w:val="002340F8"/>
    <w:rsid w:val="00235B43"/>
    <w:rsid w:val="00236915"/>
    <w:rsid w:val="00237DA7"/>
    <w:rsid w:val="002410DF"/>
    <w:rsid w:val="00242213"/>
    <w:rsid w:val="00247C58"/>
    <w:rsid w:val="002533E8"/>
    <w:rsid w:val="00262944"/>
    <w:rsid w:val="00272622"/>
    <w:rsid w:val="00274510"/>
    <w:rsid w:val="002751FE"/>
    <w:rsid w:val="002764C9"/>
    <w:rsid w:val="00277308"/>
    <w:rsid w:val="00277E02"/>
    <w:rsid w:val="0028366C"/>
    <w:rsid w:val="00284420"/>
    <w:rsid w:val="00286EFC"/>
    <w:rsid w:val="00287B58"/>
    <w:rsid w:val="00292C3D"/>
    <w:rsid w:val="00295D11"/>
    <w:rsid w:val="002A1C65"/>
    <w:rsid w:val="002A3015"/>
    <w:rsid w:val="002A57EE"/>
    <w:rsid w:val="002B105C"/>
    <w:rsid w:val="002B279A"/>
    <w:rsid w:val="002B2DFE"/>
    <w:rsid w:val="002B476D"/>
    <w:rsid w:val="002B6A1F"/>
    <w:rsid w:val="002C0529"/>
    <w:rsid w:val="002C0EF4"/>
    <w:rsid w:val="002C185D"/>
    <w:rsid w:val="002C355C"/>
    <w:rsid w:val="002C5879"/>
    <w:rsid w:val="002C6BCB"/>
    <w:rsid w:val="002D14F2"/>
    <w:rsid w:val="002D29B0"/>
    <w:rsid w:val="002D3827"/>
    <w:rsid w:val="002E1BF6"/>
    <w:rsid w:val="002E5A16"/>
    <w:rsid w:val="002F0DAE"/>
    <w:rsid w:val="002F307A"/>
    <w:rsid w:val="002F3DD1"/>
    <w:rsid w:val="002F4C02"/>
    <w:rsid w:val="002F5F77"/>
    <w:rsid w:val="0030002B"/>
    <w:rsid w:val="003004E9"/>
    <w:rsid w:val="00300E7F"/>
    <w:rsid w:val="00302168"/>
    <w:rsid w:val="00302534"/>
    <w:rsid w:val="003064A4"/>
    <w:rsid w:val="00313121"/>
    <w:rsid w:val="003140BF"/>
    <w:rsid w:val="00314F5A"/>
    <w:rsid w:val="0031672A"/>
    <w:rsid w:val="00317968"/>
    <w:rsid w:val="003205FD"/>
    <w:rsid w:val="00320A24"/>
    <w:rsid w:val="00331557"/>
    <w:rsid w:val="003319AE"/>
    <w:rsid w:val="003350EA"/>
    <w:rsid w:val="003351F6"/>
    <w:rsid w:val="003374BC"/>
    <w:rsid w:val="0034039C"/>
    <w:rsid w:val="003408F2"/>
    <w:rsid w:val="0034199D"/>
    <w:rsid w:val="00345B37"/>
    <w:rsid w:val="00350706"/>
    <w:rsid w:val="0035202A"/>
    <w:rsid w:val="00355C62"/>
    <w:rsid w:val="00357E8D"/>
    <w:rsid w:val="00361D63"/>
    <w:rsid w:val="003625FC"/>
    <w:rsid w:val="00363A02"/>
    <w:rsid w:val="0036599A"/>
    <w:rsid w:val="00365F72"/>
    <w:rsid w:val="0037022D"/>
    <w:rsid w:val="00370E40"/>
    <w:rsid w:val="00373FB7"/>
    <w:rsid w:val="003762D5"/>
    <w:rsid w:val="00381C1E"/>
    <w:rsid w:val="00383336"/>
    <w:rsid w:val="00384012"/>
    <w:rsid w:val="00385567"/>
    <w:rsid w:val="00390130"/>
    <w:rsid w:val="0039211F"/>
    <w:rsid w:val="00393D21"/>
    <w:rsid w:val="00395B96"/>
    <w:rsid w:val="0039750D"/>
    <w:rsid w:val="003A0F99"/>
    <w:rsid w:val="003A271E"/>
    <w:rsid w:val="003A2B50"/>
    <w:rsid w:val="003A3760"/>
    <w:rsid w:val="003A5931"/>
    <w:rsid w:val="003A62B9"/>
    <w:rsid w:val="003A6638"/>
    <w:rsid w:val="003A6CAF"/>
    <w:rsid w:val="003A70B0"/>
    <w:rsid w:val="003A7E70"/>
    <w:rsid w:val="003B1F68"/>
    <w:rsid w:val="003B2EE8"/>
    <w:rsid w:val="003B3CDC"/>
    <w:rsid w:val="003B62DC"/>
    <w:rsid w:val="003B76E1"/>
    <w:rsid w:val="003B77B4"/>
    <w:rsid w:val="003C0554"/>
    <w:rsid w:val="003C123F"/>
    <w:rsid w:val="003C18B3"/>
    <w:rsid w:val="003C1CF0"/>
    <w:rsid w:val="003C229C"/>
    <w:rsid w:val="003C2311"/>
    <w:rsid w:val="003C454C"/>
    <w:rsid w:val="003C56EA"/>
    <w:rsid w:val="003C6A56"/>
    <w:rsid w:val="003D095D"/>
    <w:rsid w:val="003D316E"/>
    <w:rsid w:val="003D3729"/>
    <w:rsid w:val="003D4AD7"/>
    <w:rsid w:val="003D56CB"/>
    <w:rsid w:val="003E0F77"/>
    <w:rsid w:val="003E386B"/>
    <w:rsid w:val="003E3F25"/>
    <w:rsid w:val="003E442E"/>
    <w:rsid w:val="003E4657"/>
    <w:rsid w:val="003F1CA5"/>
    <w:rsid w:val="003F3DC8"/>
    <w:rsid w:val="003F41A0"/>
    <w:rsid w:val="003F4865"/>
    <w:rsid w:val="003F5DFF"/>
    <w:rsid w:val="003F7676"/>
    <w:rsid w:val="0040134D"/>
    <w:rsid w:val="00402F4D"/>
    <w:rsid w:val="00403DB5"/>
    <w:rsid w:val="00403F21"/>
    <w:rsid w:val="0040581F"/>
    <w:rsid w:val="00405A5E"/>
    <w:rsid w:val="00405C71"/>
    <w:rsid w:val="00410191"/>
    <w:rsid w:val="00411AC5"/>
    <w:rsid w:val="00413418"/>
    <w:rsid w:val="00415E27"/>
    <w:rsid w:val="00416CDC"/>
    <w:rsid w:val="00423E59"/>
    <w:rsid w:val="00425340"/>
    <w:rsid w:val="00425FB7"/>
    <w:rsid w:val="0042655E"/>
    <w:rsid w:val="004308C2"/>
    <w:rsid w:val="00430A8A"/>
    <w:rsid w:val="00436DF0"/>
    <w:rsid w:val="00440459"/>
    <w:rsid w:val="00440F5E"/>
    <w:rsid w:val="0044189D"/>
    <w:rsid w:val="00442DF4"/>
    <w:rsid w:val="00443A22"/>
    <w:rsid w:val="00443BFF"/>
    <w:rsid w:val="00443C14"/>
    <w:rsid w:val="004443AA"/>
    <w:rsid w:val="004465F4"/>
    <w:rsid w:val="0044699F"/>
    <w:rsid w:val="00451DAF"/>
    <w:rsid w:val="00451F8D"/>
    <w:rsid w:val="00454D98"/>
    <w:rsid w:val="0045562B"/>
    <w:rsid w:val="00456B4F"/>
    <w:rsid w:val="004632D0"/>
    <w:rsid w:val="004633A8"/>
    <w:rsid w:val="004670D6"/>
    <w:rsid w:val="00470C4E"/>
    <w:rsid w:val="00472F51"/>
    <w:rsid w:val="004730F3"/>
    <w:rsid w:val="0047342E"/>
    <w:rsid w:val="0047502B"/>
    <w:rsid w:val="0047537F"/>
    <w:rsid w:val="00483128"/>
    <w:rsid w:val="00484F32"/>
    <w:rsid w:val="00484FB6"/>
    <w:rsid w:val="0048575E"/>
    <w:rsid w:val="004869B8"/>
    <w:rsid w:val="00486FA6"/>
    <w:rsid w:val="004870C7"/>
    <w:rsid w:val="00487568"/>
    <w:rsid w:val="0049063F"/>
    <w:rsid w:val="004913D9"/>
    <w:rsid w:val="004944A7"/>
    <w:rsid w:val="0049514F"/>
    <w:rsid w:val="00496165"/>
    <w:rsid w:val="00496D2A"/>
    <w:rsid w:val="00497437"/>
    <w:rsid w:val="00497C54"/>
    <w:rsid w:val="004A0386"/>
    <w:rsid w:val="004A1A79"/>
    <w:rsid w:val="004A3D2E"/>
    <w:rsid w:val="004A4F85"/>
    <w:rsid w:val="004A6CDB"/>
    <w:rsid w:val="004B1005"/>
    <w:rsid w:val="004B3730"/>
    <w:rsid w:val="004B5916"/>
    <w:rsid w:val="004B7BA8"/>
    <w:rsid w:val="004C1EB7"/>
    <w:rsid w:val="004D2B34"/>
    <w:rsid w:val="004D35BB"/>
    <w:rsid w:val="004D3A07"/>
    <w:rsid w:val="004D46BB"/>
    <w:rsid w:val="004E1825"/>
    <w:rsid w:val="004E1B19"/>
    <w:rsid w:val="004E1B1A"/>
    <w:rsid w:val="004E21CC"/>
    <w:rsid w:val="004E26D0"/>
    <w:rsid w:val="004E2A48"/>
    <w:rsid w:val="004E30D7"/>
    <w:rsid w:val="004E58A1"/>
    <w:rsid w:val="004F3607"/>
    <w:rsid w:val="004F4C5C"/>
    <w:rsid w:val="004F6ADE"/>
    <w:rsid w:val="005010FB"/>
    <w:rsid w:val="00503EC1"/>
    <w:rsid w:val="00506206"/>
    <w:rsid w:val="00511DF1"/>
    <w:rsid w:val="00513BD1"/>
    <w:rsid w:val="005145B5"/>
    <w:rsid w:val="00515185"/>
    <w:rsid w:val="00515C7D"/>
    <w:rsid w:val="00520F86"/>
    <w:rsid w:val="0052191A"/>
    <w:rsid w:val="00521A10"/>
    <w:rsid w:val="00524FD7"/>
    <w:rsid w:val="005251A0"/>
    <w:rsid w:val="0052660A"/>
    <w:rsid w:val="00527991"/>
    <w:rsid w:val="00530432"/>
    <w:rsid w:val="005322C1"/>
    <w:rsid w:val="00532862"/>
    <w:rsid w:val="005332B9"/>
    <w:rsid w:val="00533780"/>
    <w:rsid w:val="00535938"/>
    <w:rsid w:val="00535DDF"/>
    <w:rsid w:val="0054274A"/>
    <w:rsid w:val="00543B23"/>
    <w:rsid w:val="00543B56"/>
    <w:rsid w:val="00550462"/>
    <w:rsid w:val="00550C8B"/>
    <w:rsid w:val="005541F3"/>
    <w:rsid w:val="0055567C"/>
    <w:rsid w:val="00556636"/>
    <w:rsid w:val="00560D80"/>
    <w:rsid w:val="00561BD2"/>
    <w:rsid w:val="00562866"/>
    <w:rsid w:val="005632C4"/>
    <w:rsid w:val="005640A0"/>
    <w:rsid w:val="00564EC6"/>
    <w:rsid w:val="00567B56"/>
    <w:rsid w:val="005701FB"/>
    <w:rsid w:val="00570CB3"/>
    <w:rsid w:val="005757A2"/>
    <w:rsid w:val="00580377"/>
    <w:rsid w:val="00580657"/>
    <w:rsid w:val="00580FFE"/>
    <w:rsid w:val="00586722"/>
    <w:rsid w:val="00591C9F"/>
    <w:rsid w:val="00592604"/>
    <w:rsid w:val="00592A10"/>
    <w:rsid w:val="00592C4D"/>
    <w:rsid w:val="00595282"/>
    <w:rsid w:val="00595921"/>
    <w:rsid w:val="005A05D1"/>
    <w:rsid w:val="005A28CB"/>
    <w:rsid w:val="005A323F"/>
    <w:rsid w:val="005A3734"/>
    <w:rsid w:val="005A5918"/>
    <w:rsid w:val="005A6046"/>
    <w:rsid w:val="005B0624"/>
    <w:rsid w:val="005B0F83"/>
    <w:rsid w:val="005B7B28"/>
    <w:rsid w:val="005B7D6E"/>
    <w:rsid w:val="005C09CD"/>
    <w:rsid w:val="005C3387"/>
    <w:rsid w:val="005C6935"/>
    <w:rsid w:val="005C77A5"/>
    <w:rsid w:val="005D158E"/>
    <w:rsid w:val="005D193A"/>
    <w:rsid w:val="005D3642"/>
    <w:rsid w:val="005D426E"/>
    <w:rsid w:val="005D4432"/>
    <w:rsid w:val="005D6A05"/>
    <w:rsid w:val="005E0917"/>
    <w:rsid w:val="005E2122"/>
    <w:rsid w:val="005E39E2"/>
    <w:rsid w:val="005E58D0"/>
    <w:rsid w:val="005E76B6"/>
    <w:rsid w:val="005E7A47"/>
    <w:rsid w:val="005F1A3E"/>
    <w:rsid w:val="005F26F8"/>
    <w:rsid w:val="005F2ED7"/>
    <w:rsid w:val="005F3F74"/>
    <w:rsid w:val="005F6E5A"/>
    <w:rsid w:val="00607EC8"/>
    <w:rsid w:val="00611FFA"/>
    <w:rsid w:val="00612603"/>
    <w:rsid w:val="00612BA6"/>
    <w:rsid w:val="00613875"/>
    <w:rsid w:val="0061420A"/>
    <w:rsid w:val="00614913"/>
    <w:rsid w:val="006221F8"/>
    <w:rsid w:val="00623C4F"/>
    <w:rsid w:val="0062516E"/>
    <w:rsid w:val="00632753"/>
    <w:rsid w:val="00632D02"/>
    <w:rsid w:val="006362A9"/>
    <w:rsid w:val="006365C1"/>
    <w:rsid w:val="0064109A"/>
    <w:rsid w:val="00641FBA"/>
    <w:rsid w:val="006423FE"/>
    <w:rsid w:val="00642640"/>
    <w:rsid w:val="00643434"/>
    <w:rsid w:val="00644551"/>
    <w:rsid w:val="0064494E"/>
    <w:rsid w:val="00646A4B"/>
    <w:rsid w:val="006501D7"/>
    <w:rsid w:val="0065214C"/>
    <w:rsid w:val="0065706C"/>
    <w:rsid w:val="00660427"/>
    <w:rsid w:val="00663E17"/>
    <w:rsid w:val="00672A33"/>
    <w:rsid w:val="00673C8A"/>
    <w:rsid w:val="006765BD"/>
    <w:rsid w:val="006768FB"/>
    <w:rsid w:val="00681094"/>
    <w:rsid w:val="006811B5"/>
    <w:rsid w:val="006819ED"/>
    <w:rsid w:val="00682031"/>
    <w:rsid w:val="00682B3D"/>
    <w:rsid w:val="00682DA7"/>
    <w:rsid w:val="0068454A"/>
    <w:rsid w:val="0068755D"/>
    <w:rsid w:val="00691858"/>
    <w:rsid w:val="00692787"/>
    <w:rsid w:val="006966CF"/>
    <w:rsid w:val="00697E43"/>
    <w:rsid w:val="006A2657"/>
    <w:rsid w:val="006A626E"/>
    <w:rsid w:val="006B027E"/>
    <w:rsid w:val="006B0F96"/>
    <w:rsid w:val="006B28EF"/>
    <w:rsid w:val="006B2A2A"/>
    <w:rsid w:val="006B3AE8"/>
    <w:rsid w:val="006B47CF"/>
    <w:rsid w:val="006B7666"/>
    <w:rsid w:val="006C0DFA"/>
    <w:rsid w:val="006C0EF1"/>
    <w:rsid w:val="006C3D13"/>
    <w:rsid w:val="006C47C6"/>
    <w:rsid w:val="006C682F"/>
    <w:rsid w:val="006C6B91"/>
    <w:rsid w:val="006C75F8"/>
    <w:rsid w:val="006C78A8"/>
    <w:rsid w:val="006D13A3"/>
    <w:rsid w:val="006D1906"/>
    <w:rsid w:val="006D7CC7"/>
    <w:rsid w:val="006E1ADB"/>
    <w:rsid w:val="006E3C33"/>
    <w:rsid w:val="006E5113"/>
    <w:rsid w:val="006E6D2A"/>
    <w:rsid w:val="006F17D1"/>
    <w:rsid w:val="006F224A"/>
    <w:rsid w:val="006F3F9B"/>
    <w:rsid w:val="006F46D4"/>
    <w:rsid w:val="006F5953"/>
    <w:rsid w:val="006F64DD"/>
    <w:rsid w:val="006F738C"/>
    <w:rsid w:val="006F750A"/>
    <w:rsid w:val="00700EA5"/>
    <w:rsid w:val="00703A01"/>
    <w:rsid w:val="0070518F"/>
    <w:rsid w:val="00705BB0"/>
    <w:rsid w:val="00712240"/>
    <w:rsid w:val="00713C0C"/>
    <w:rsid w:val="00713CBC"/>
    <w:rsid w:val="00714D31"/>
    <w:rsid w:val="00714F30"/>
    <w:rsid w:val="007157CA"/>
    <w:rsid w:val="00715EE6"/>
    <w:rsid w:val="0071616E"/>
    <w:rsid w:val="00717546"/>
    <w:rsid w:val="007202F2"/>
    <w:rsid w:val="00720A52"/>
    <w:rsid w:val="007216F9"/>
    <w:rsid w:val="007227C8"/>
    <w:rsid w:val="0072539B"/>
    <w:rsid w:val="007257F5"/>
    <w:rsid w:val="00727855"/>
    <w:rsid w:val="007327E5"/>
    <w:rsid w:val="0073308E"/>
    <w:rsid w:val="00742D49"/>
    <w:rsid w:val="0074538E"/>
    <w:rsid w:val="00746CD2"/>
    <w:rsid w:val="00747C5A"/>
    <w:rsid w:val="0075215F"/>
    <w:rsid w:val="00756884"/>
    <w:rsid w:val="007573B2"/>
    <w:rsid w:val="00760123"/>
    <w:rsid w:val="00762E44"/>
    <w:rsid w:val="00763313"/>
    <w:rsid w:val="007634B2"/>
    <w:rsid w:val="00763AEF"/>
    <w:rsid w:val="007667CA"/>
    <w:rsid w:val="00770667"/>
    <w:rsid w:val="007740DF"/>
    <w:rsid w:val="00777C3C"/>
    <w:rsid w:val="00782056"/>
    <w:rsid w:val="007833BA"/>
    <w:rsid w:val="00783637"/>
    <w:rsid w:val="007857ED"/>
    <w:rsid w:val="00786BAD"/>
    <w:rsid w:val="00790C86"/>
    <w:rsid w:val="00793A3B"/>
    <w:rsid w:val="007A08F0"/>
    <w:rsid w:val="007A11EF"/>
    <w:rsid w:val="007A2D53"/>
    <w:rsid w:val="007A376A"/>
    <w:rsid w:val="007A3F6E"/>
    <w:rsid w:val="007A659A"/>
    <w:rsid w:val="007A70B2"/>
    <w:rsid w:val="007B0205"/>
    <w:rsid w:val="007B03B6"/>
    <w:rsid w:val="007B364E"/>
    <w:rsid w:val="007B6809"/>
    <w:rsid w:val="007C095E"/>
    <w:rsid w:val="007C0A2B"/>
    <w:rsid w:val="007C16C8"/>
    <w:rsid w:val="007C3556"/>
    <w:rsid w:val="007C37E8"/>
    <w:rsid w:val="007C4AAC"/>
    <w:rsid w:val="007C4B87"/>
    <w:rsid w:val="007D09BA"/>
    <w:rsid w:val="007D22EE"/>
    <w:rsid w:val="007D2593"/>
    <w:rsid w:val="007D2FF2"/>
    <w:rsid w:val="007D5815"/>
    <w:rsid w:val="007D7BC6"/>
    <w:rsid w:val="007E1B01"/>
    <w:rsid w:val="007F010F"/>
    <w:rsid w:val="007F2355"/>
    <w:rsid w:val="007F3F5E"/>
    <w:rsid w:val="0080163E"/>
    <w:rsid w:val="00802CFE"/>
    <w:rsid w:val="008032B4"/>
    <w:rsid w:val="0080736E"/>
    <w:rsid w:val="00807752"/>
    <w:rsid w:val="00811E27"/>
    <w:rsid w:val="0081386E"/>
    <w:rsid w:val="00816C2C"/>
    <w:rsid w:val="0081791C"/>
    <w:rsid w:val="008218C4"/>
    <w:rsid w:val="00824899"/>
    <w:rsid w:val="00827C72"/>
    <w:rsid w:val="00831BC5"/>
    <w:rsid w:val="0083381A"/>
    <w:rsid w:val="00833FE4"/>
    <w:rsid w:val="008354CC"/>
    <w:rsid w:val="00835E95"/>
    <w:rsid w:val="0083725B"/>
    <w:rsid w:val="008375B4"/>
    <w:rsid w:val="00841926"/>
    <w:rsid w:val="00842CF3"/>
    <w:rsid w:val="00844E16"/>
    <w:rsid w:val="00847E03"/>
    <w:rsid w:val="00847EFD"/>
    <w:rsid w:val="008506EF"/>
    <w:rsid w:val="0085079E"/>
    <w:rsid w:val="00856551"/>
    <w:rsid w:val="008572B5"/>
    <w:rsid w:val="00857B03"/>
    <w:rsid w:val="00861BA8"/>
    <w:rsid w:val="008625C6"/>
    <w:rsid w:val="00864E12"/>
    <w:rsid w:val="00866FE6"/>
    <w:rsid w:val="00870833"/>
    <w:rsid w:val="00871D4E"/>
    <w:rsid w:val="00874608"/>
    <w:rsid w:val="00877004"/>
    <w:rsid w:val="00884429"/>
    <w:rsid w:val="00885307"/>
    <w:rsid w:val="008854FB"/>
    <w:rsid w:val="00887709"/>
    <w:rsid w:val="0089246D"/>
    <w:rsid w:val="0089545F"/>
    <w:rsid w:val="008A56C9"/>
    <w:rsid w:val="008A59CA"/>
    <w:rsid w:val="008A6B15"/>
    <w:rsid w:val="008B3A95"/>
    <w:rsid w:val="008B5104"/>
    <w:rsid w:val="008B59CD"/>
    <w:rsid w:val="008B6370"/>
    <w:rsid w:val="008C030A"/>
    <w:rsid w:val="008C2C71"/>
    <w:rsid w:val="008C350C"/>
    <w:rsid w:val="008C3D21"/>
    <w:rsid w:val="008C545B"/>
    <w:rsid w:val="008C6513"/>
    <w:rsid w:val="008D0C4C"/>
    <w:rsid w:val="008D5935"/>
    <w:rsid w:val="008D5CC4"/>
    <w:rsid w:val="008D5E5C"/>
    <w:rsid w:val="008E1D96"/>
    <w:rsid w:val="008E25DF"/>
    <w:rsid w:val="008E2BA5"/>
    <w:rsid w:val="008E6F26"/>
    <w:rsid w:val="008E7FED"/>
    <w:rsid w:val="008F03F5"/>
    <w:rsid w:val="008F27F5"/>
    <w:rsid w:val="008F2BA3"/>
    <w:rsid w:val="008F30B3"/>
    <w:rsid w:val="008F3862"/>
    <w:rsid w:val="008F4C54"/>
    <w:rsid w:val="008F54F0"/>
    <w:rsid w:val="008F62BF"/>
    <w:rsid w:val="008F7B7A"/>
    <w:rsid w:val="009019A9"/>
    <w:rsid w:val="0090390B"/>
    <w:rsid w:val="009039D4"/>
    <w:rsid w:val="0090412B"/>
    <w:rsid w:val="00907BF0"/>
    <w:rsid w:val="00911FB0"/>
    <w:rsid w:val="00912167"/>
    <w:rsid w:val="0091734E"/>
    <w:rsid w:val="00922005"/>
    <w:rsid w:val="009246A3"/>
    <w:rsid w:val="00924C74"/>
    <w:rsid w:val="00925EE7"/>
    <w:rsid w:val="00934EA9"/>
    <w:rsid w:val="00940AB8"/>
    <w:rsid w:val="009437EB"/>
    <w:rsid w:val="00944982"/>
    <w:rsid w:val="009458AF"/>
    <w:rsid w:val="00946A9C"/>
    <w:rsid w:val="00947C3F"/>
    <w:rsid w:val="00951AF6"/>
    <w:rsid w:val="00953062"/>
    <w:rsid w:val="00953B25"/>
    <w:rsid w:val="00957149"/>
    <w:rsid w:val="00957F1B"/>
    <w:rsid w:val="00961F50"/>
    <w:rsid w:val="00962E05"/>
    <w:rsid w:val="00966743"/>
    <w:rsid w:val="00973019"/>
    <w:rsid w:val="0097509A"/>
    <w:rsid w:val="00975B17"/>
    <w:rsid w:val="009772A3"/>
    <w:rsid w:val="00977CB1"/>
    <w:rsid w:val="00984CC0"/>
    <w:rsid w:val="00990C31"/>
    <w:rsid w:val="00991652"/>
    <w:rsid w:val="00991997"/>
    <w:rsid w:val="009A06EF"/>
    <w:rsid w:val="009A0862"/>
    <w:rsid w:val="009A48A3"/>
    <w:rsid w:val="009A4B1A"/>
    <w:rsid w:val="009A58E5"/>
    <w:rsid w:val="009A6428"/>
    <w:rsid w:val="009B110A"/>
    <w:rsid w:val="009B4BD4"/>
    <w:rsid w:val="009B5409"/>
    <w:rsid w:val="009C1485"/>
    <w:rsid w:val="009C1A62"/>
    <w:rsid w:val="009C249E"/>
    <w:rsid w:val="009C2BB7"/>
    <w:rsid w:val="009C5BDD"/>
    <w:rsid w:val="009C6886"/>
    <w:rsid w:val="009C69FB"/>
    <w:rsid w:val="009C75DA"/>
    <w:rsid w:val="009C7AA3"/>
    <w:rsid w:val="009D25E0"/>
    <w:rsid w:val="009D34B8"/>
    <w:rsid w:val="009D6C3F"/>
    <w:rsid w:val="009E01B7"/>
    <w:rsid w:val="009E02AB"/>
    <w:rsid w:val="009E0502"/>
    <w:rsid w:val="009E2359"/>
    <w:rsid w:val="009E2C81"/>
    <w:rsid w:val="009E442E"/>
    <w:rsid w:val="009E4C71"/>
    <w:rsid w:val="00A02BDD"/>
    <w:rsid w:val="00A04290"/>
    <w:rsid w:val="00A04E81"/>
    <w:rsid w:val="00A0702F"/>
    <w:rsid w:val="00A113F1"/>
    <w:rsid w:val="00A11483"/>
    <w:rsid w:val="00A12080"/>
    <w:rsid w:val="00A122C2"/>
    <w:rsid w:val="00A14A99"/>
    <w:rsid w:val="00A15BD7"/>
    <w:rsid w:val="00A16388"/>
    <w:rsid w:val="00A217FA"/>
    <w:rsid w:val="00A22603"/>
    <w:rsid w:val="00A23A6E"/>
    <w:rsid w:val="00A25720"/>
    <w:rsid w:val="00A25957"/>
    <w:rsid w:val="00A35BA9"/>
    <w:rsid w:val="00A37DCE"/>
    <w:rsid w:val="00A404DB"/>
    <w:rsid w:val="00A42E2E"/>
    <w:rsid w:val="00A43FA1"/>
    <w:rsid w:val="00A45AE7"/>
    <w:rsid w:val="00A46193"/>
    <w:rsid w:val="00A47571"/>
    <w:rsid w:val="00A50162"/>
    <w:rsid w:val="00A50572"/>
    <w:rsid w:val="00A50984"/>
    <w:rsid w:val="00A52BE6"/>
    <w:rsid w:val="00A52FC3"/>
    <w:rsid w:val="00A537D0"/>
    <w:rsid w:val="00A53D29"/>
    <w:rsid w:val="00A55BA8"/>
    <w:rsid w:val="00A56C80"/>
    <w:rsid w:val="00A57F76"/>
    <w:rsid w:val="00A64F33"/>
    <w:rsid w:val="00A67247"/>
    <w:rsid w:val="00A678F1"/>
    <w:rsid w:val="00A67A35"/>
    <w:rsid w:val="00A702B5"/>
    <w:rsid w:val="00A70B3D"/>
    <w:rsid w:val="00A72629"/>
    <w:rsid w:val="00A73A01"/>
    <w:rsid w:val="00A74FAF"/>
    <w:rsid w:val="00A77C76"/>
    <w:rsid w:val="00A800A0"/>
    <w:rsid w:val="00A90FC8"/>
    <w:rsid w:val="00A918E9"/>
    <w:rsid w:val="00A92EA7"/>
    <w:rsid w:val="00A931FE"/>
    <w:rsid w:val="00A93F25"/>
    <w:rsid w:val="00A97015"/>
    <w:rsid w:val="00AA2C59"/>
    <w:rsid w:val="00AA37B8"/>
    <w:rsid w:val="00AA7ECA"/>
    <w:rsid w:val="00AB0989"/>
    <w:rsid w:val="00AB1C7F"/>
    <w:rsid w:val="00AB2041"/>
    <w:rsid w:val="00AC3B6D"/>
    <w:rsid w:val="00AC7877"/>
    <w:rsid w:val="00AC7BC9"/>
    <w:rsid w:val="00AD0CE5"/>
    <w:rsid w:val="00AD30B0"/>
    <w:rsid w:val="00AD5A0A"/>
    <w:rsid w:val="00AE18CC"/>
    <w:rsid w:val="00AE1EEA"/>
    <w:rsid w:val="00AE364C"/>
    <w:rsid w:val="00AE40F4"/>
    <w:rsid w:val="00AE4E1D"/>
    <w:rsid w:val="00AE64A3"/>
    <w:rsid w:val="00AF0C94"/>
    <w:rsid w:val="00AF0FA7"/>
    <w:rsid w:val="00AF3F2D"/>
    <w:rsid w:val="00AF42FD"/>
    <w:rsid w:val="00AF50BE"/>
    <w:rsid w:val="00AF54E4"/>
    <w:rsid w:val="00B011A2"/>
    <w:rsid w:val="00B02507"/>
    <w:rsid w:val="00B108C8"/>
    <w:rsid w:val="00B10C7E"/>
    <w:rsid w:val="00B11010"/>
    <w:rsid w:val="00B13A24"/>
    <w:rsid w:val="00B175F0"/>
    <w:rsid w:val="00B17F64"/>
    <w:rsid w:val="00B21772"/>
    <w:rsid w:val="00B22918"/>
    <w:rsid w:val="00B239EA"/>
    <w:rsid w:val="00B24A93"/>
    <w:rsid w:val="00B2516D"/>
    <w:rsid w:val="00B2568F"/>
    <w:rsid w:val="00B3079A"/>
    <w:rsid w:val="00B30B04"/>
    <w:rsid w:val="00B31C91"/>
    <w:rsid w:val="00B337D3"/>
    <w:rsid w:val="00B35143"/>
    <w:rsid w:val="00B376B3"/>
    <w:rsid w:val="00B37BE5"/>
    <w:rsid w:val="00B40FC7"/>
    <w:rsid w:val="00B4271B"/>
    <w:rsid w:val="00B44D83"/>
    <w:rsid w:val="00B45DCB"/>
    <w:rsid w:val="00B46F1C"/>
    <w:rsid w:val="00B500D2"/>
    <w:rsid w:val="00B5108E"/>
    <w:rsid w:val="00B51EA0"/>
    <w:rsid w:val="00B51FE8"/>
    <w:rsid w:val="00B5380B"/>
    <w:rsid w:val="00B57116"/>
    <w:rsid w:val="00B5725C"/>
    <w:rsid w:val="00B608A1"/>
    <w:rsid w:val="00B616AF"/>
    <w:rsid w:val="00B64208"/>
    <w:rsid w:val="00B664B9"/>
    <w:rsid w:val="00B66F7F"/>
    <w:rsid w:val="00B74A2F"/>
    <w:rsid w:val="00B778AC"/>
    <w:rsid w:val="00B77F5F"/>
    <w:rsid w:val="00B8619F"/>
    <w:rsid w:val="00B8787A"/>
    <w:rsid w:val="00B92283"/>
    <w:rsid w:val="00B93786"/>
    <w:rsid w:val="00B93C8E"/>
    <w:rsid w:val="00B94FB8"/>
    <w:rsid w:val="00B97685"/>
    <w:rsid w:val="00BA3AD4"/>
    <w:rsid w:val="00BA3E71"/>
    <w:rsid w:val="00BA3ED9"/>
    <w:rsid w:val="00BA51F4"/>
    <w:rsid w:val="00BA57A6"/>
    <w:rsid w:val="00BA624A"/>
    <w:rsid w:val="00BA7072"/>
    <w:rsid w:val="00BA70C5"/>
    <w:rsid w:val="00BA71FF"/>
    <w:rsid w:val="00BB4FDA"/>
    <w:rsid w:val="00BB51EA"/>
    <w:rsid w:val="00BB54B4"/>
    <w:rsid w:val="00BB68C2"/>
    <w:rsid w:val="00BC04AB"/>
    <w:rsid w:val="00BC14C5"/>
    <w:rsid w:val="00BC167A"/>
    <w:rsid w:val="00BC4323"/>
    <w:rsid w:val="00BC7999"/>
    <w:rsid w:val="00BD344A"/>
    <w:rsid w:val="00BD449B"/>
    <w:rsid w:val="00BD7260"/>
    <w:rsid w:val="00BD7345"/>
    <w:rsid w:val="00BE03B6"/>
    <w:rsid w:val="00BE12EA"/>
    <w:rsid w:val="00BE15B6"/>
    <w:rsid w:val="00BE4478"/>
    <w:rsid w:val="00BE4852"/>
    <w:rsid w:val="00BE4AE1"/>
    <w:rsid w:val="00BE4E2E"/>
    <w:rsid w:val="00BE517F"/>
    <w:rsid w:val="00BE5400"/>
    <w:rsid w:val="00BF3AE9"/>
    <w:rsid w:val="00BF5614"/>
    <w:rsid w:val="00BF615D"/>
    <w:rsid w:val="00BF6B34"/>
    <w:rsid w:val="00BF721D"/>
    <w:rsid w:val="00C03918"/>
    <w:rsid w:val="00C03C69"/>
    <w:rsid w:val="00C049B0"/>
    <w:rsid w:val="00C04C28"/>
    <w:rsid w:val="00C12730"/>
    <w:rsid w:val="00C15C11"/>
    <w:rsid w:val="00C16339"/>
    <w:rsid w:val="00C171D2"/>
    <w:rsid w:val="00C201FC"/>
    <w:rsid w:val="00C20D13"/>
    <w:rsid w:val="00C22052"/>
    <w:rsid w:val="00C237CE"/>
    <w:rsid w:val="00C25274"/>
    <w:rsid w:val="00C260D5"/>
    <w:rsid w:val="00C26107"/>
    <w:rsid w:val="00C279B3"/>
    <w:rsid w:val="00C30140"/>
    <w:rsid w:val="00C3265F"/>
    <w:rsid w:val="00C358EB"/>
    <w:rsid w:val="00C423FD"/>
    <w:rsid w:val="00C4278A"/>
    <w:rsid w:val="00C5120B"/>
    <w:rsid w:val="00C5366B"/>
    <w:rsid w:val="00C56813"/>
    <w:rsid w:val="00C5688C"/>
    <w:rsid w:val="00C57547"/>
    <w:rsid w:val="00C579DD"/>
    <w:rsid w:val="00C57BFA"/>
    <w:rsid w:val="00C60E51"/>
    <w:rsid w:val="00C63920"/>
    <w:rsid w:val="00C63CAC"/>
    <w:rsid w:val="00C718FA"/>
    <w:rsid w:val="00C720A8"/>
    <w:rsid w:val="00C73C79"/>
    <w:rsid w:val="00C74561"/>
    <w:rsid w:val="00C76793"/>
    <w:rsid w:val="00C775BF"/>
    <w:rsid w:val="00C777D9"/>
    <w:rsid w:val="00C834E0"/>
    <w:rsid w:val="00C8487D"/>
    <w:rsid w:val="00C8526A"/>
    <w:rsid w:val="00C863DC"/>
    <w:rsid w:val="00C9152E"/>
    <w:rsid w:val="00C91F7D"/>
    <w:rsid w:val="00C93A5F"/>
    <w:rsid w:val="00C947AC"/>
    <w:rsid w:val="00CA09EB"/>
    <w:rsid w:val="00CA1A8E"/>
    <w:rsid w:val="00CA6171"/>
    <w:rsid w:val="00CA6525"/>
    <w:rsid w:val="00CA679F"/>
    <w:rsid w:val="00CA7CE3"/>
    <w:rsid w:val="00CB17F7"/>
    <w:rsid w:val="00CB465E"/>
    <w:rsid w:val="00CB4B4A"/>
    <w:rsid w:val="00CB5998"/>
    <w:rsid w:val="00CC0035"/>
    <w:rsid w:val="00CC3709"/>
    <w:rsid w:val="00CC4539"/>
    <w:rsid w:val="00CC646C"/>
    <w:rsid w:val="00CC7740"/>
    <w:rsid w:val="00CD04CA"/>
    <w:rsid w:val="00CD0C34"/>
    <w:rsid w:val="00CD0F98"/>
    <w:rsid w:val="00CD54B2"/>
    <w:rsid w:val="00CE2FBF"/>
    <w:rsid w:val="00CE3899"/>
    <w:rsid w:val="00CE3AEF"/>
    <w:rsid w:val="00CE4B0C"/>
    <w:rsid w:val="00CE6103"/>
    <w:rsid w:val="00CE71A5"/>
    <w:rsid w:val="00CF1CF2"/>
    <w:rsid w:val="00CF1E37"/>
    <w:rsid w:val="00CF30CC"/>
    <w:rsid w:val="00CF6914"/>
    <w:rsid w:val="00D00DB7"/>
    <w:rsid w:val="00D010E4"/>
    <w:rsid w:val="00D01D90"/>
    <w:rsid w:val="00D023BA"/>
    <w:rsid w:val="00D0307F"/>
    <w:rsid w:val="00D0489E"/>
    <w:rsid w:val="00D0751D"/>
    <w:rsid w:val="00D079A9"/>
    <w:rsid w:val="00D07B56"/>
    <w:rsid w:val="00D12ADA"/>
    <w:rsid w:val="00D14AB8"/>
    <w:rsid w:val="00D15176"/>
    <w:rsid w:val="00D20EE7"/>
    <w:rsid w:val="00D2569E"/>
    <w:rsid w:val="00D2598D"/>
    <w:rsid w:val="00D25C1A"/>
    <w:rsid w:val="00D2696D"/>
    <w:rsid w:val="00D27FF9"/>
    <w:rsid w:val="00D31B0E"/>
    <w:rsid w:val="00D32783"/>
    <w:rsid w:val="00D33A78"/>
    <w:rsid w:val="00D33F52"/>
    <w:rsid w:val="00D355FB"/>
    <w:rsid w:val="00D37761"/>
    <w:rsid w:val="00D4526F"/>
    <w:rsid w:val="00D46BBC"/>
    <w:rsid w:val="00D46FF7"/>
    <w:rsid w:val="00D5050B"/>
    <w:rsid w:val="00D52DD0"/>
    <w:rsid w:val="00D53AA6"/>
    <w:rsid w:val="00D54BD9"/>
    <w:rsid w:val="00D54E4E"/>
    <w:rsid w:val="00D607DD"/>
    <w:rsid w:val="00D60B92"/>
    <w:rsid w:val="00D7457D"/>
    <w:rsid w:val="00D82B70"/>
    <w:rsid w:val="00D83715"/>
    <w:rsid w:val="00D9389F"/>
    <w:rsid w:val="00D944C8"/>
    <w:rsid w:val="00D947CB"/>
    <w:rsid w:val="00D9731D"/>
    <w:rsid w:val="00D97B65"/>
    <w:rsid w:val="00DA2BA2"/>
    <w:rsid w:val="00DA387F"/>
    <w:rsid w:val="00DA4466"/>
    <w:rsid w:val="00DA47DD"/>
    <w:rsid w:val="00DA68F7"/>
    <w:rsid w:val="00DB1FBF"/>
    <w:rsid w:val="00DB3BA3"/>
    <w:rsid w:val="00DB73F7"/>
    <w:rsid w:val="00DC243F"/>
    <w:rsid w:val="00DC2560"/>
    <w:rsid w:val="00DC3372"/>
    <w:rsid w:val="00DC3ED4"/>
    <w:rsid w:val="00DC7017"/>
    <w:rsid w:val="00DC70C4"/>
    <w:rsid w:val="00DD071E"/>
    <w:rsid w:val="00DD0F68"/>
    <w:rsid w:val="00DD27F6"/>
    <w:rsid w:val="00DD48D1"/>
    <w:rsid w:val="00DD529A"/>
    <w:rsid w:val="00DD571B"/>
    <w:rsid w:val="00DD5F7C"/>
    <w:rsid w:val="00DD6FCD"/>
    <w:rsid w:val="00DE36FB"/>
    <w:rsid w:val="00DE4032"/>
    <w:rsid w:val="00DE44C0"/>
    <w:rsid w:val="00DE46AC"/>
    <w:rsid w:val="00DE4D0A"/>
    <w:rsid w:val="00DF028E"/>
    <w:rsid w:val="00DF10DA"/>
    <w:rsid w:val="00DF2BF2"/>
    <w:rsid w:val="00DF7350"/>
    <w:rsid w:val="00E00C6D"/>
    <w:rsid w:val="00E02BBC"/>
    <w:rsid w:val="00E033FB"/>
    <w:rsid w:val="00E04CCD"/>
    <w:rsid w:val="00E05356"/>
    <w:rsid w:val="00E05B2C"/>
    <w:rsid w:val="00E06FB7"/>
    <w:rsid w:val="00E11153"/>
    <w:rsid w:val="00E13832"/>
    <w:rsid w:val="00E21E3F"/>
    <w:rsid w:val="00E22115"/>
    <w:rsid w:val="00E22599"/>
    <w:rsid w:val="00E26E03"/>
    <w:rsid w:val="00E26ECC"/>
    <w:rsid w:val="00E27490"/>
    <w:rsid w:val="00E30BEC"/>
    <w:rsid w:val="00E313CD"/>
    <w:rsid w:val="00E3435E"/>
    <w:rsid w:val="00E34B49"/>
    <w:rsid w:val="00E356D2"/>
    <w:rsid w:val="00E36BA0"/>
    <w:rsid w:val="00E37100"/>
    <w:rsid w:val="00E375F1"/>
    <w:rsid w:val="00E376BD"/>
    <w:rsid w:val="00E4084B"/>
    <w:rsid w:val="00E43DAF"/>
    <w:rsid w:val="00E452C0"/>
    <w:rsid w:val="00E46243"/>
    <w:rsid w:val="00E51605"/>
    <w:rsid w:val="00E53010"/>
    <w:rsid w:val="00E53245"/>
    <w:rsid w:val="00E551AA"/>
    <w:rsid w:val="00E55E5F"/>
    <w:rsid w:val="00E57868"/>
    <w:rsid w:val="00E6489E"/>
    <w:rsid w:val="00E64A0B"/>
    <w:rsid w:val="00E64B16"/>
    <w:rsid w:val="00E6794A"/>
    <w:rsid w:val="00E72FD0"/>
    <w:rsid w:val="00E73177"/>
    <w:rsid w:val="00E731B1"/>
    <w:rsid w:val="00E74F09"/>
    <w:rsid w:val="00E7581E"/>
    <w:rsid w:val="00E767C9"/>
    <w:rsid w:val="00E77BD7"/>
    <w:rsid w:val="00E84A32"/>
    <w:rsid w:val="00E85629"/>
    <w:rsid w:val="00E86B9A"/>
    <w:rsid w:val="00E86BBC"/>
    <w:rsid w:val="00E90A65"/>
    <w:rsid w:val="00E92D6C"/>
    <w:rsid w:val="00E93248"/>
    <w:rsid w:val="00E95CFA"/>
    <w:rsid w:val="00E9645B"/>
    <w:rsid w:val="00EA124F"/>
    <w:rsid w:val="00EA20D9"/>
    <w:rsid w:val="00EA26C1"/>
    <w:rsid w:val="00EA7FD1"/>
    <w:rsid w:val="00EB0CBC"/>
    <w:rsid w:val="00EB128F"/>
    <w:rsid w:val="00EB35F5"/>
    <w:rsid w:val="00EB3CF8"/>
    <w:rsid w:val="00EB432A"/>
    <w:rsid w:val="00EB5C2E"/>
    <w:rsid w:val="00EC5048"/>
    <w:rsid w:val="00EC5553"/>
    <w:rsid w:val="00EC6DF6"/>
    <w:rsid w:val="00EC7150"/>
    <w:rsid w:val="00ED3AE0"/>
    <w:rsid w:val="00ED7678"/>
    <w:rsid w:val="00EE048D"/>
    <w:rsid w:val="00EE105F"/>
    <w:rsid w:val="00EE13C1"/>
    <w:rsid w:val="00EE2521"/>
    <w:rsid w:val="00EE2879"/>
    <w:rsid w:val="00EE7603"/>
    <w:rsid w:val="00EF0015"/>
    <w:rsid w:val="00EF1892"/>
    <w:rsid w:val="00EF1C1F"/>
    <w:rsid w:val="00F009B3"/>
    <w:rsid w:val="00F00A9E"/>
    <w:rsid w:val="00F052BF"/>
    <w:rsid w:val="00F07ECA"/>
    <w:rsid w:val="00F120AC"/>
    <w:rsid w:val="00F12260"/>
    <w:rsid w:val="00F12D77"/>
    <w:rsid w:val="00F13627"/>
    <w:rsid w:val="00F14075"/>
    <w:rsid w:val="00F14355"/>
    <w:rsid w:val="00F149AF"/>
    <w:rsid w:val="00F173AF"/>
    <w:rsid w:val="00F2239A"/>
    <w:rsid w:val="00F22710"/>
    <w:rsid w:val="00F227BA"/>
    <w:rsid w:val="00F23E00"/>
    <w:rsid w:val="00F324AE"/>
    <w:rsid w:val="00F35F65"/>
    <w:rsid w:val="00F4192A"/>
    <w:rsid w:val="00F420AF"/>
    <w:rsid w:val="00F44828"/>
    <w:rsid w:val="00F459D4"/>
    <w:rsid w:val="00F475BF"/>
    <w:rsid w:val="00F47691"/>
    <w:rsid w:val="00F47F2C"/>
    <w:rsid w:val="00F52978"/>
    <w:rsid w:val="00F52F31"/>
    <w:rsid w:val="00F56838"/>
    <w:rsid w:val="00F610B1"/>
    <w:rsid w:val="00F64392"/>
    <w:rsid w:val="00F74168"/>
    <w:rsid w:val="00F805E1"/>
    <w:rsid w:val="00F81961"/>
    <w:rsid w:val="00F82E7E"/>
    <w:rsid w:val="00F84722"/>
    <w:rsid w:val="00F86128"/>
    <w:rsid w:val="00F86613"/>
    <w:rsid w:val="00F96E61"/>
    <w:rsid w:val="00F97DE2"/>
    <w:rsid w:val="00FA123B"/>
    <w:rsid w:val="00FA168B"/>
    <w:rsid w:val="00FA4DBC"/>
    <w:rsid w:val="00FA554B"/>
    <w:rsid w:val="00FB232B"/>
    <w:rsid w:val="00FB3796"/>
    <w:rsid w:val="00FB6C68"/>
    <w:rsid w:val="00FC17FD"/>
    <w:rsid w:val="00FC250D"/>
    <w:rsid w:val="00FC29C0"/>
    <w:rsid w:val="00FD3C04"/>
    <w:rsid w:val="00FE3B98"/>
    <w:rsid w:val="00FE7813"/>
    <w:rsid w:val="00FF3B3F"/>
    <w:rsid w:val="00FF6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7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5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526F"/>
    <w:rPr>
      <w:sz w:val="20"/>
      <w:szCs w:val="20"/>
    </w:rPr>
  </w:style>
  <w:style w:type="character" w:styleId="FootnoteReference">
    <w:name w:val="footnote reference"/>
    <w:basedOn w:val="DefaultParagraphFont"/>
    <w:uiPriority w:val="99"/>
    <w:semiHidden/>
    <w:unhideWhenUsed/>
    <w:rsid w:val="00D4526F"/>
    <w:rPr>
      <w:vertAlign w:val="superscript"/>
    </w:rPr>
  </w:style>
  <w:style w:type="paragraph" w:styleId="ListParagraph">
    <w:name w:val="List Paragraph"/>
    <w:basedOn w:val="Normal"/>
    <w:uiPriority w:val="34"/>
    <w:qFormat/>
    <w:rsid w:val="00D4526F"/>
    <w:pPr>
      <w:ind w:left="720"/>
      <w:contextualSpacing/>
    </w:pPr>
  </w:style>
  <w:style w:type="character" w:styleId="Hyperlink">
    <w:name w:val="Hyperlink"/>
    <w:basedOn w:val="DefaultParagraphFont"/>
    <w:uiPriority w:val="99"/>
    <w:unhideWhenUsed/>
    <w:rsid w:val="002B105C"/>
    <w:rPr>
      <w:color w:val="0000FF"/>
      <w:u w:val="single"/>
    </w:rPr>
  </w:style>
  <w:style w:type="paragraph" w:styleId="EndnoteText">
    <w:name w:val="endnote text"/>
    <w:basedOn w:val="Normal"/>
    <w:link w:val="EndnoteTextChar"/>
    <w:uiPriority w:val="99"/>
    <w:semiHidden/>
    <w:unhideWhenUsed/>
    <w:rsid w:val="003351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51F6"/>
    <w:rPr>
      <w:sz w:val="20"/>
      <w:szCs w:val="20"/>
    </w:rPr>
  </w:style>
  <w:style w:type="character" w:styleId="EndnoteReference">
    <w:name w:val="endnote reference"/>
    <w:basedOn w:val="DefaultParagraphFont"/>
    <w:uiPriority w:val="99"/>
    <w:semiHidden/>
    <w:unhideWhenUsed/>
    <w:rsid w:val="003351F6"/>
    <w:rPr>
      <w:vertAlign w:val="superscript"/>
    </w:rPr>
  </w:style>
  <w:style w:type="character" w:styleId="CommentReference">
    <w:name w:val="annotation reference"/>
    <w:basedOn w:val="DefaultParagraphFont"/>
    <w:uiPriority w:val="99"/>
    <w:semiHidden/>
    <w:unhideWhenUsed/>
    <w:rsid w:val="00A73A01"/>
    <w:rPr>
      <w:sz w:val="16"/>
      <w:szCs w:val="16"/>
    </w:rPr>
  </w:style>
  <w:style w:type="paragraph" w:styleId="CommentText">
    <w:name w:val="annotation text"/>
    <w:basedOn w:val="Normal"/>
    <w:link w:val="CommentTextChar"/>
    <w:uiPriority w:val="99"/>
    <w:semiHidden/>
    <w:unhideWhenUsed/>
    <w:rsid w:val="00A73A01"/>
    <w:pPr>
      <w:spacing w:line="240" w:lineRule="auto"/>
    </w:pPr>
    <w:rPr>
      <w:sz w:val="20"/>
      <w:szCs w:val="20"/>
    </w:rPr>
  </w:style>
  <w:style w:type="character" w:customStyle="1" w:styleId="CommentTextChar">
    <w:name w:val="Comment Text Char"/>
    <w:basedOn w:val="DefaultParagraphFont"/>
    <w:link w:val="CommentText"/>
    <w:uiPriority w:val="99"/>
    <w:semiHidden/>
    <w:rsid w:val="00A73A01"/>
    <w:rPr>
      <w:sz w:val="20"/>
      <w:szCs w:val="20"/>
    </w:rPr>
  </w:style>
  <w:style w:type="paragraph" w:styleId="CommentSubject">
    <w:name w:val="annotation subject"/>
    <w:basedOn w:val="CommentText"/>
    <w:next w:val="CommentText"/>
    <w:link w:val="CommentSubjectChar"/>
    <w:uiPriority w:val="99"/>
    <w:semiHidden/>
    <w:unhideWhenUsed/>
    <w:rsid w:val="00A73A01"/>
    <w:rPr>
      <w:b/>
      <w:bCs/>
    </w:rPr>
  </w:style>
  <w:style w:type="character" w:customStyle="1" w:styleId="CommentSubjectChar">
    <w:name w:val="Comment Subject Char"/>
    <w:basedOn w:val="CommentTextChar"/>
    <w:link w:val="CommentSubject"/>
    <w:uiPriority w:val="99"/>
    <w:semiHidden/>
    <w:rsid w:val="00A73A01"/>
    <w:rPr>
      <w:b/>
      <w:bCs/>
    </w:rPr>
  </w:style>
  <w:style w:type="paragraph" w:styleId="BalloonText">
    <w:name w:val="Balloon Text"/>
    <w:basedOn w:val="Normal"/>
    <w:link w:val="BalloonTextChar"/>
    <w:uiPriority w:val="99"/>
    <w:semiHidden/>
    <w:unhideWhenUsed/>
    <w:rsid w:val="00A73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A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rc.com/files/MOD-030-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_rels/endnotes.xml.rels><?xml version="1.0" encoding="UTF-8" standalone="yes"?>
<Relationships xmlns="http://schemas.openxmlformats.org/package/2006/relationships"><Relationship Id="rId8" Type="http://schemas.openxmlformats.org/officeDocument/2006/relationships/hyperlink" Target="http://elibrary.ferc.gov/idmws/common/opennat.asp?fileID=11758509" TargetMode="External"/><Relationship Id="rId3" Type="http://schemas.openxmlformats.org/officeDocument/2006/relationships/hyperlink" Target="http://elibrary.ferc.gov/idmws/common/opennat.asp?fileID=11259718" TargetMode="External"/><Relationship Id="rId7" Type="http://schemas.openxmlformats.org/officeDocument/2006/relationships/hyperlink" Target="http://elibrary.ferc.gov/idmws/common/opennat.asp?fileID=11259718" TargetMode="External"/><Relationship Id="rId2" Type="http://schemas.openxmlformats.org/officeDocument/2006/relationships/hyperlink" Target="http://elibrary.ferc.gov/idmws/common/opennat.asp?fileID=12249212" TargetMode="External"/><Relationship Id="rId1" Type="http://schemas.openxmlformats.org/officeDocument/2006/relationships/hyperlink" Target="http://elibrary.ferc.gov/idmws/common/opennat.asp?fileID=11259718" TargetMode="External"/><Relationship Id="rId6" Type="http://schemas.openxmlformats.org/officeDocument/2006/relationships/hyperlink" Target="http://elibrary.ferc.gov/idmws/common/opennat.asp?fileID=11259718" TargetMode="External"/><Relationship Id="rId11" Type="http://schemas.openxmlformats.org/officeDocument/2006/relationships/hyperlink" Target="http://elibrary.ferc.gov/idmws/common/OpenNat.asp?fileID=3402056" TargetMode="External"/><Relationship Id="rId5" Type="http://schemas.openxmlformats.org/officeDocument/2006/relationships/hyperlink" Target="http://elibrary.ferc.gov/idmws/common/opennat.asp?fileID=11259718" TargetMode="External"/><Relationship Id="rId10" Type="http://schemas.openxmlformats.org/officeDocument/2006/relationships/hyperlink" Target="http://elibrary.ferc.gov/idmws/common/opennat.asp?fileID=11259718" TargetMode="External"/><Relationship Id="rId4" Type="http://schemas.openxmlformats.org/officeDocument/2006/relationships/hyperlink" Target="http://elibrary.ferc.gov/idmws/common/opennat.asp?fileID=11259718" TargetMode="External"/><Relationship Id="rId9" Type="http://schemas.openxmlformats.org/officeDocument/2006/relationships/hyperlink" Target="http://elibrary.ferc.gov/idmws/common/opennat.asp?fileID=123297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04477-48AA-46E0-952C-F0DEFE60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Duke Energy</Company>
  <LinksUpToDate>false</LinksUpToDate>
  <CharactersWithSpaces>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Pritchard</dc:creator>
  <cp:keywords/>
  <dc:description/>
  <cp:lastModifiedBy>Alan Pritchard</cp:lastModifiedBy>
  <cp:revision>3</cp:revision>
  <cp:lastPrinted>2011-06-28T23:01:00Z</cp:lastPrinted>
  <dcterms:created xsi:type="dcterms:W3CDTF">2011-06-29T13:32:00Z</dcterms:created>
  <dcterms:modified xsi:type="dcterms:W3CDTF">2011-06-29T13:36:00Z</dcterms:modified>
</cp:coreProperties>
</file>