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62" w:rsidRPr="000E5855" w:rsidRDefault="00C44C62" w:rsidP="00D62DE0">
      <w:pPr>
        <w:jc w:val="right"/>
        <w:rPr>
          <w:b/>
          <w:bCs/>
        </w:rPr>
      </w:pPr>
      <w:r w:rsidRPr="000E5855">
        <w:rPr>
          <w:b/>
          <w:bCs/>
        </w:rPr>
        <w:t>via posting</w:t>
      </w:r>
    </w:p>
    <w:p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rsidR="00C44C62" w:rsidRPr="000E5855" w:rsidRDefault="00C44C62" w:rsidP="00D62DE0">
      <w:pPr>
        <w:spacing w:before="120" w:after="120"/>
      </w:pPr>
      <w:r w:rsidRPr="000E5855">
        <w:rPr>
          <w:b/>
          <w:bCs/>
        </w:rPr>
        <w:t xml:space="preserve">FROM: </w:t>
      </w:r>
      <w:r w:rsidRPr="000E5855">
        <w:rPr>
          <w:b/>
          <w:bCs/>
        </w:rPr>
        <w:tab/>
      </w:r>
      <w:r>
        <w:t>Ed Skiba, Wholesale Electric Quadrant (WEQ) Business Practices Subcommittee (BPS) Co-Chair</w:t>
      </w:r>
    </w:p>
    <w:p w:rsidR="00C44C62" w:rsidRPr="000E5855" w:rsidRDefault="00C44C62" w:rsidP="00D62DE0">
      <w:pPr>
        <w:ind w:left="1440" w:hanging="1440"/>
      </w:pPr>
      <w:r w:rsidRPr="000E5855">
        <w:rPr>
          <w:b/>
          <w:bCs/>
        </w:rPr>
        <w:t>RE:</w:t>
      </w:r>
      <w:r w:rsidRPr="000E5855">
        <w:rPr>
          <w:b/>
          <w:bCs/>
        </w:rPr>
        <w:tab/>
      </w:r>
      <w:r w:rsidRPr="00280BEF">
        <w:t xml:space="preserve">WEQ </w:t>
      </w:r>
      <w:r>
        <w:t xml:space="preserve">BPS </w:t>
      </w:r>
      <w:r w:rsidR="002D6B08">
        <w:t>January 18 – 19, 2012</w:t>
      </w:r>
      <w:r>
        <w:t xml:space="preserve"> – Draft Minutes</w:t>
      </w:r>
    </w:p>
    <w:p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2D6B08">
        <w:t xml:space="preserve">January </w:t>
      </w:r>
      <w:r w:rsidR="00447707">
        <w:t>27</w:t>
      </w:r>
      <w:r w:rsidR="00E312F3">
        <w:t>,</w:t>
      </w:r>
      <w:r w:rsidR="00CD0872">
        <w:t xml:space="preserve"> 2012</w:t>
      </w:r>
    </w:p>
    <w:p w:rsidR="00C44C62" w:rsidRDefault="00C44C62" w:rsidP="00D62DE0">
      <w:pPr>
        <w:jc w:val="center"/>
        <w:rPr>
          <w:b/>
          <w:bCs/>
        </w:rPr>
      </w:pPr>
      <w:r>
        <w:rPr>
          <w:b/>
          <w:bCs/>
        </w:rPr>
        <w:t>WHOLESALE ELECTRIC QUADRANT</w:t>
      </w:r>
    </w:p>
    <w:p w:rsidR="00C44C62" w:rsidRPr="000E5855" w:rsidRDefault="00C44C62" w:rsidP="00880F64">
      <w:pPr>
        <w:jc w:val="center"/>
        <w:rPr>
          <w:b/>
          <w:bCs/>
        </w:rPr>
      </w:pPr>
      <w:r>
        <w:rPr>
          <w:b/>
          <w:bCs/>
        </w:rPr>
        <w:t xml:space="preserve">Business Practices Subcommittee Meeting </w:t>
      </w:r>
    </w:p>
    <w:p w:rsidR="00C44C62" w:rsidRPr="00A51F65" w:rsidRDefault="00C44C62" w:rsidP="00A51F65">
      <w:pPr>
        <w:keepNext/>
        <w:jc w:val="center"/>
        <w:outlineLvl w:val="2"/>
        <w:rPr>
          <w:b/>
          <w:bCs/>
        </w:rPr>
      </w:pPr>
      <w:r w:rsidRPr="00A51F65">
        <w:rPr>
          <w:b/>
          <w:bCs/>
        </w:rPr>
        <w:t xml:space="preserve">Hosted by </w:t>
      </w:r>
      <w:r w:rsidR="006E337F">
        <w:rPr>
          <w:b/>
          <w:bCs/>
        </w:rPr>
        <w:t>NAESB</w:t>
      </w:r>
      <w:r w:rsidRPr="00A51F65">
        <w:rPr>
          <w:b/>
          <w:bCs/>
        </w:rPr>
        <w:t xml:space="preserve">, </w:t>
      </w:r>
      <w:r w:rsidR="006E337F">
        <w:rPr>
          <w:b/>
          <w:bCs/>
        </w:rPr>
        <w:t>Houston, T</w:t>
      </w:r>
      <w:r w:rsidR="00210E58">
        <w:rPr>
          <w:b/>
          <w:bCs/>
        </w:rPr>
        <w:t>X</w:t>
      </w:r>
    </w:p>
    <w:p w:rsidR="00C44C62" w:rsidRPr="00A51F65" w:rsidRDefault="002D6B08" w:rsidP="00A51F65">
      <w:pPr>
        <w:keepNext/>
        <w:jc w:val="center"/>
        <w:outlineLvl w:val="2"/>
        <w:rPr>
          <w:b/>
          <w:bCs/>
        </w:rPr>
      </w:pPr>
      <w:r>
        <w:rPr>
          <w:b/>
          <w:bCs/>
        </w:rPr>
        <w:t>January 18, 2012</w:t>
      </w:r>
      <w:r w:rsidR="00C44C62" w:rsidRPr="00A51F65">
        <w:rPr>
          <w:b/>
          <w:bCs/>
        </w:rPr>
        <w:t xml:space="preserve"> – 9:00 AM to 5:00 PM </w:t>
      </w:r>
      <w:r w:rsidR="00F50EC3">
        <w:rPr>
          <w:b/>
          <w:bCs/>
        </w:rPr>
        <w:t>Central</w:t>
      </w:r>
    </w:p>
    <w:p w:rsidR="00C44C62" w:rsidRDefault="002D6B08" w:rsidP="004B0B99">
      <w:pPr>
        <w:keepNext/>
        <w:jc w:val="center"/>
        <w:outlineLvl w:val="2"/>
        <w:rPr>
          <w:b/>
          <w:bCs/>
        </w:rPr>
      </w:pPr>
      <w:r>
        <w:rPr>
          <w:b/>
          <w:bCs/>
        </w:rPr>
        <w:t>January 19, 2012</w:t>
      </w:r>
      <w:r w:rsidR="00C44C62" w:rsidRPr="00A51F65">
        <w:rPr>
          <w:b/>
          <w:bCs/>
        </w:rPr>
        <w:t xml:space="preserve"> – 9:00 AM to 3:00 PM </w:t>
      </w:r>
      <w:r w:rsidR="00F50EC3">
        <w:rPr>
          <w:b/>
          <w:bCs/>
        </w:rPr>
        <w:t>Central</w:t>
      </w:r>
    </w:p>
    <w:p w:rsidR="00C44C62" w:rsidRPr="00EE257D" w:rsidRDefault="00C44C62" w:rsidP="004B0B99">
      <w:pPr>
        <w:keepNext/>
        <w:jc w:val="center"/>
        <w:outlineLvl w:val="2"/>
      </w:pPr>
    </w:p>
    <w:p w:rsidR="00C44C62" w:rsidRPr="00EE257D" w:rsidRDefault="00C44C62" w:rsidP="00700781">
      <w:pPr>
        <w:spacing w:after="120"/>
        <w:jc w:val="center"/>
      </w:pPr>
      <w:r>
        <w:rPr>
          <w:b/>
          <w:bCs/>
          <w:u w:val="single"/>
        </w:rPr>
        <w:t>DRAFT MINUTES</w:t>
      </w:r>
    </w:p>
    <w:p w:rsidR="00C44C62" w:rsidRPr="00EF45DE" w:rsidRDefault="00C44C62" w:rsidP="00700781">
      <w:pPr>
        <w:numPr>
          <w:ilvl w:val="0"/>
          <w:numId w:val="11"/>
        </w:numPr>
        <w:tabs>
          <w:tab w:val="num" w:pos="720"/>
          <w:tab w:val="left" w:pos="1440"/>
        </w:tabs>
        <w:spacing w:after="120"/>
        <w:ind w:left="0" w:firstLine="0"/>
        <w:jc w:val="both"/>
        <w:rPr>
          <w:b/>
          <w:bCs/>
        </w:rPr>
      </w:pPr>
      <w:r w:rsidRPr="00EF45DE">
        <w:rPr>
          <w:b/>
          <w:bCs/>
        </w:rPr>
        <w:t>Welcome</w:t>
      </w:r>
    </w:p>
    <w:p w:rsidR="00937CE9" w:rsidRDefault="00C44C62" w:rsidP="00700781">
      <w:pPr>
        <w:spacing w:after="120"/>
        <w:jc w:val="both"/>
      </w:pPr>
      <w:r w:rsidRPr="005443F7">
        <w:t>M</w:t>
      </w:r>
      <w:r w:rsidR="002D6B08">
        <w:t>essrs</w:t>
      </w:r>
      <w:r w:rsidRPr="005443F7">
        <w:t xml:space="preserve">. </w:t>
      </w:r>
      <w:r w:rsidR="002D6B08">
        <w:t xml:space="preserve">Saini and </w:t>
      </w:r>
      <w:r w:rsidRPr="005443F7">
        <w:t xml:space="preserve">Skiba welcomed participants to the meeting. </w:t>
      </w:r>
      <w:r w:rsidR="002D6B08">
        <w:t>Ms. Trum</w:t>
      </w:r>
      <w:r>
        <w:t xml:space="preserve"> provided antitrust guidance</w:t>
      </w:r>
      <w:r w:rsidRPr="005443F7">
        <w:t>.</w:t>
      </w:r>
      <w:r w:rsidR="00AB6EB6">
        <w:t xml:space="preserve">  </w:t>
      </w:r>
      <w:r w:rsidR="005727B6">
        <w:t>Mr.</w:t>
      </w:r>
      <w:r w:rsidR="00A725E3">
        <w:t xml:space="preserve"> </w:t>
      </w:r>
      <w:r w:rsidR="00E312F3">
        <w:t>Colby</w:t>
      </w:r>
      <w:r w:rsidR="00AB6EB6">
        <w:t xml:space="preserve"> </w:t>
      </w:r>
      <w:r>
        <w:t xml:space="preserve">moved and </w:t>
      </w:r>
      <w:r w:rsidR="005727B6">
        <w:t xml:space="preserve">Mr. </w:t>
      </w:r>
      <w:r w:rsidR="00E312F3">
        <w:t>Mallinger</w:t>
      </w:r>
      <w:r w:rsidR="00AB6EB6">
        <w:t xml:space="preserve"> </w:t>
      </w:r>
      <w:r>
        <w:t xml:space="preserve">seconded the motion to adopt the </w:t>
      </w:r>
      <w:hyperlink r:id="rId8" w:history="1">
        <w:r w:rsidR="00AB6EB6">
          <w:rPr>
            <w:rStyle w:val="Hyperlink"/>
          </w:rPr>
          <w:t>agenda</w:t>
        </w:r>
      </w:hyperlink>
      <w:r w:rsidRPr="005443F7">
        <w:t xml:space="preserve">. </w:t>
      </w:r>
      <w:r w:rsidR="00AB6EB6">
        <w:t xml:space="preserve">The </w:t>
      </w:r>
      <w:hyperlink r:id="rId9" w:history="1">
        <w:r w:rsidR="00E312F3" w:rsidRPr="00E312F3">
          <w:rPr>
            <w:rStyle w:val="Hyperlink"/>
          </w:rPr>
          <w:t xml:space="preserve">final </w:t>
        </w:r>
        <w:r w:rsidR="00AB6EB6" w:rsidRPr="00E312F3">
          <w:rPr>
            <w:rStyle w:val="Hyperlink"/>
          </w:rPr>
          <w:t>agenda</w:t>
        </w:r>
      </w:hyperlink>
      <w:r w:rsidR="00E312F3">
        <w:t xml:space="preserve"> </w:t>
      </w:r>
      <w:r w:rsidR="00AB6EB6">
        <w:t xml:space="preserve">was adopted without any opposition.  </w:t>
      </w:r>
    </w:p>
    <w:p w:rsidR="00C44C62" w:rsidRDefault="00C44C62" w:rsidP="00700781">
      <w:pPr>
        <w:spacing w:after="120"/>
        <w:jc w:val="both"/>
      </w:pPr>
      <w:r w:rsidRPr="005443F7">
        <w:t xml:space="preserve">Attendees reviewed the draft meeting minutes from </w:t>
      </w:r>
      <w:r w:rsidR="002D6B08">
        <w:t>December 14-15</w:t>
      </w:r>
      <w:r w:rsidR="005727B6">
        <w:t>, 201</w:t>
      </w:r>
      <w:r w:rsidR="002D6B08">
        <w:t>1</w:t>
      </w:r>
      <w:r w:rsidRPr="005443F7">
        <w:t xml:space="preserve">; </w:t>
      </w:r>
      <w:r w:rsidR="005727B6" w:rsidRPr="001D0018">
        <w:t xml:space="preserve">there were </w:t>
      </w:r>
      <w:r w:rsidR="005727B6">
        <w:t>minor</w:t>
      </w:r>
      <w:r w:rsidR="005727B6" w:rsidRPr="001D0018">
        <w:t xml:space="preserve"> proposed revision</w:t>
      </w:r>
      <w:r w:rsidR="005727B6">
        <w:t>s to these meeting minutes</w:t>
      </w:r>
      <w:r w:rsidR="00AB6EB6">
        <w:t xml:space="preserve">.  Mr. </w:t>
      </w:r>
      <w:r w:rsidR="005727B6">
        <w:t>Pritchard</w:t>
      </w:r>
      <w:r w:rsidR="00AB6EB6">
        <w:t xml:space="preserve"> moved and Mr. </w:t>
      </w:r>
      <w:r w:rsidR="00E312F3">
        <w:t>Colby</w:t>
      </w:r>
      <w:r w:rsidR="00AB6EB6">
        <w:t xml:space="preserve"> seconded the motion to approve the minutes.  The </w:t>
      </w:r>
      <w:hyperlink r:id="rId10" w:history="1">
        <w:r w:rsidR="002D6B08" w:rsidRPr="00F50EC3">
          <w:rPr>
            <w:rStyle w:val="Hyperlink"/>
          </w:rPr>
          <w:t>December 14-15, 2011</w:t>
        </w:r>
        <w:r w:rsidR="00E312F3" w:rsidRPr="00F50EC3">
          <w:rPr>
            <w:rStyle w:val="Hyperlink"/>
          </w:rPr>
          <w:t xml:space="preserve">, </w:t>
        </w:r>
        <w:r w:rsidR="00AB6EB6" w:rsidRPr="00F50EC3">
          <w:rPr>
            <w:rStyle w:val="Hyperlink"/>
          </w:rPr>
          <w:t>Final Minutes</w:t>
        </w:r>
      </w:hyperlink>
      <w:r w:rsidR="00577A0D">
        <w:t xml:space="preserve"> were approved without opposition.  </w:t>
      </w:r>
    </w:p>
    <w:p w:rsidR="005266BC" w:rsidRDefault="00EB2ECE" w:rsidP="00700781">
      <w:pPr>
        <w:numPr>
          <w:ilvl w:val="0"/>
          <w:numId w:val="11"/>
        </w:numPr>
        <w:tabs>
          <w:tab w:val="num" w:pos="720"/>
          <w:tab w:val="left" w:pos="1440"/>
        </w:tabs>
        <w:spacing w:after="120"/>
        <w:ind w:left="720"/>
        <w:jc w:val="both"/>
        <w:rPr>
          <w:b/>
          <w:bCs/>
        </w:rPr>
      </w:pPr>
      <w:r w:rsidRPr="00EB2ECE">
        <w:rPr>
          <w:b/>
          <w:bCs/>
        </w:rPr>
        <w:t>Joint Electric Scheduling Subcommittee Update – Action Item 78</w:t>
      </w:r>
    </w:p>
    <w:p w:rsidR="00210E58" w:rsidRDefault="00A725E3" w:rsidP="00700781">
      <w:pPr>
        <w:spacing w:after="120"/>
        <w:jc w:val="both"/>
      </w:pPr>
      <w:r>
        <w:t xml:space="preserve">Mr. Skiba provided the update from the </w:t>
      </w:r>
      <w:r w:rsidR="00EB2ECE">
        <w:t xml:space="preserve">Joint Electric Scheduling Subcommittee </w:t>
      </w:r>
      <w:r w:rsidR="002C4A78">
        <w:t xml:space="preserve">(JESS) update. </w:t>
      </w:r>
      <w:r>
        <w:t xml:space="preserve"> </w:t>
      </w:r>
      <w:r w:rsidR="002C4A78">
        <w:t>On January 5, 2012</w:t>
      </w:r>
      <w:r w:rsidR="004F7923">
        <w:t>,</w:t>
      </w:r>
      <w:r w:rsidR="002C4A78">
        <w:t xml:space="preserve"> he made a presentation to the JESS to address Action Item 78.  The focus on the presentation and discussion was whether the JESS thought changes were needed to WEQ-004 Coordinate Interchange, WEQ-000 </w:t>
      </w:r>
      <w:r w:rsidR="002C4A78" w:rsidRPr="002C4A78">
        <w:t>Abbreviations, Acronyms, and Definition of Terms</w:t>
      </w:r>
      <w:r w:rsidR="002C4A78">
        <w:t xml:space="preserve">, and/or the Electronic Tagging Functional Specification to support the Parallel Flow Visualization Project.  </w:t>
      </w:r>
      <w:r w:rsidR="00482D17">
        <w:t>A key question posed to the JESS was whether a definition should be added for Intra-BA Tags</w:t>
      </w:r>
      <w:r w:rsidR="004F7923">
        <w:t>,</w:t>
      </w:r>
      <w:r w:rsidR="00482D17">
        <w:t xml:space="preserve"> or whether the definition for Interchange should be modified.</w:t>
      </w:r>
      <w:bookmarkStart w:id="0" w:name="_GoBack"/>
      <w:bookmarkEnd w:id="0"/>
    </w:p>
    <w:p w:rsidR="00210E58" w:rsidRDefault="00482D17" w:rsidP="00700781">
      <w:pPr>
        <w:spacing w:after="120"/>
        <w:jc w:val="both"/>
      </w:pPr>
      <w:r>
        <w:t xml:space="preserve">Mr. Pritchard noted that Intra-BA Transaction term had been defined in the Parallel Flow Interim Solution.  Rather than redefining the term, BPS should provide this definition to JESS to determine if it will work for the JESS as well as the BPS.  </w:t>
      </w:r>
    </w:p>
    <w:p w:rsidR="005266BC" w:rsidRDefault="00232FEC" w:rsidP="00700781">
      <w:pPr>
        <w:numPr>
          <w:ilvl w:val="0"/>
          <w:numId w:val="11"/>
        </w:numPr>
        <w:tabs>
          <w:tab w:val="num" w:pos="720"/>
          <w:tab w:val="left" w:pos="1440"/>
        </w:tabs>
        <w:spacing w:after="120"/>
        <w:ind w:left="720"/>
        <w:jc w:val="both"/>
        <w:rPr>
          <w:b/>
          <w:bCs/>
        </w:rPr>
      </w:pPr>
      <w:r w:rsidRPr="00232FEC">
        <w:rPr>
          <w:b/>
          <w:bCs/>
        </w:rPr>
        <w:t>Update NAESB/NERC Coordination</w:t>
      </w:r>
    </w:p>
    <w:p w:rsidR="005266BC" w:rsidRPr="007E3B86" w:rsidRDefault="00EE3C7C" w:rsidP="00700781">
      <w:pPr>
        <w:spacing w:after="120"/>
        <w:jc w:val="both"/>
      </w:pPr>
      <w:r>
        <w:t xml:space="preserve">Mr. Skiba </w:t>
      </w:r>
      <w:r w:rsidR="00232FEC">
        <w:t>provided an update on activities related to NAESB/NERC Coordination.</w:t>
      </w:r>
      <w:r w:rsidR="00B12198">
        <w:t xml:space="preserve">  Jim Castle</w:t>
      </w:r>
      <w:r w:rsidR="004F7923">
        <w:t>,</w:t>
      </w:r>
      <w:r w:rsidR="00B12198">
        <w:t xml:space="preserve"> </w:t>
      </w:r>
      <w:r w:rsidR="004F7923">
        <w:t>V</w:t>
      </w:r>
      <w:r w:rsidR="00B12198">
        <w:t xml:space="preserve">ice-chair of the WEQ Executive Committee </w:t>
      </w:r>
      <w:r w:rsidR="00426950">
        <w:t>(EC)</w:t>
      </w:r>
      <w:r w:rsidR="004F7923">
        <w:t>,</w:t>
      </w:r>
      <w:r w:rsidR="00426950">
        <w:t xml:space="preserve"> </w:t>
      </w:r>
      <w:r w:rsidR="00B12198">
        <w:t>met with the NERC Standards Committee on January 11, 2012</w:t>
      </w:r>
      <w:r w:rsidR="004F7923">
        <w:t>,</w:t>
      </w:r>
      <w:r w:rsidR="00B12198">
        <w:t xml:space="preserve"> to discuss the need for the modifications to the </w:t>
      </w:r>
      <w:r w:rsidR="00B12198" w:rsidRPr="00B12198">
        <w:t>Interchange Scheduling and Coordination (INT)</w:t>
      </w:r>
      <w:r w:rsidR="00B12198">
        <w:t xml:space="preserve"> and the </w:t>
      </w:r>
      <w:r w:rsidR="00B12198" w:rsidRPr="00B12198">
        <w:t>Interconnection Reliability Operations and Coordination (IRO)</w:t>
      </w:r>
      <w:r w:rsidR="00B12198">
        <w:t xml:space="preserve"> to support the Parallel Flow Visu</w:t>
      </w:r>
      <w:r w:rsidR="00426950">
        <w:t xml:space="preserve">alization project.  The initial feedback from the Standards Committee was that Parallel Flow Visualization was more of a business issue than a reliability issue.  No decision was made by the Standards Committee on changing the priority of the INT and IRO standards development timeline.  Prior to </w:t>
      </w:r>
      <w:r w:rsidR="004F7923">
        <w:t xml:space="preserve">their </w:t>
      </w:r>
      <w:r w:rsidR="00426950">
        <w:t>making a decision the</w:t>
      </w:r>
      <w:r w:rsidR="00F54424">
        <w:t xml:space="preserve"> Standards Committee</w:t>
      </w:r>
      <w:r w:rsidR="00426950">
        <w:t xml:space="preserve"> would like to verify their understanding with the NERC Operating Reliability Subcommittee (ORS).  The ORS will be meeting in Tampa, FL</w:t>
      </w:r>
      <w:r w:rsidR="004F7923">
        <w:t>,</w:t>
      </w:r>
      <w:r w:rsidR="00426950">
        <w:t xml:space="preserve"> on February 8-9, 2012.  Mr. Skiba and Mr. Saini will work with the WEQ EC leadership to determine who from NAESB will be participating in the ORS meeting.</w:t>
      </w:r>
      <w:r w:rsidR="00523C23">
        <w:t xml:space="preserve">  It was noted that NERC did not need to have the INT and IRO standards modified to start the Parallel Test.  </w:t>
      </w:r>
    </w:p>
    <w:p w:rsidR="00C44C62" w:rsidRDefault="00232FEC" w:rsidP="00700781">
      <w:pPr>
        <w:keepNext/>
        <w:numPr>
          <w:ilvl w:val="0"/>
          <w:numId w:val="11"/>
        </w:numPr>
        <w:tabs>
          <w:tab w:val="num" w:pos="720"/>
          <w:tab w:val="left" w:pos="1440"/>
        </w:tabs>
        <w:spacing w:after="120"/>
        <w:ind w:left="720"/>
        <w:jc w:val="both"/>
        <w:rPr>
          <w:b/>
          <w:bCs/>
        </w:rPr>
      </w:pPr>
      <w:r w:rsidRPr="00232FEC">
        <w:rPr>
          <w:b/>
          <w:bCs/>
        </w:rPr>
        <w:lastRenderedPageBreak/>
        <w:t>Credit for Redispatch Sub-team Recommendation</w:t>
      </w:r>
      <w:r>
        <w:rPr>
          <w:b/>
          <w:bCs/>
        </w:rPr>
        <w:t xml:space="preserve"> (Action Item 23)</w:t>
      </w:r>
    </w:p>
    <w:p w:rsidR="00C44C62" w:rsidRDefault="005A4062" w:rsidP="00700781">
      <w:pPr>
        <w:spacing w:after="120"/>
        <w:jc w:val="both"/>
      </w:pPr>
      <w:r>
        <w:t xml:space="preserve">Mr. Mallinger </w:t>
      </w:r>
      <w:r w:rsidR="00426950">
        <w:t>began the discussion on credit for redispatch</w:t>
      </w:r>
      <w:r w:rsidR="00700781">
        <w:t>,</w:t>
      </w:r>
      <w:r w:rsidR="00426950">
        <w:t xml:space="preserve"> suggesting that the full BPS make a decision on whether to move forward with Option 1 </w:t>
      </w:r>
      <w:r w:rsidR="007A6DE2">
        <w:t xml:space="preserve">(Current Method Used by Markets Reporting Market Flows to the Interchange Distribution Calculator (IDC)) and Option 2 (No Longer Use Unconstrained Market Flows In the IDC) without having the sub-team first selecting one of the Options to streamline the decision process.  Mr. Mallinger noted there were two work papers posted for the meeting: a) </w:t>
      </w:r>
      <w:hyperlink r:id="rId11" w:history="1">
        <w:r w:rsidR="007A6DE2" w:rsidRPr="007A6DE2">
          <w:rPr>
            <w:rStyle w:val="Hyperlink"/>
          </w:rPr>
          <w:t>Credit for Redispatch Sub-Team Recommendation 1/13/12</w:t>
        </w:r>
      </w:hyperlink>
      <w:r w:rsidR="007A6DE2">
        <w:t xml:space="preserve"> and b)</w:t>
      </w:r>
      <w:r w:rsidR="00523C23">
        <w:t xml:space="preserve"> </w:t>
      </w:r>
      <w:hyperlink r:id="rId12" w:history="1">
        <w:r w:rsidR="00523C23" w:rsidRPr="00523C23">
          <w:rPr>
            <w:rStyle w:val="Hyperlink"/>
          </w:rPr>
          <w:t>Credit for Redispatch Sub-Team Recommendation 1/12/12 (OATI comments)</w:t>
        </w:r>
      </w:hyperlink>
      <w:r w:rsidR="00523C23">
        <w:t xml:space="preserve">.  The subcommittee agreed to use the OATI comments document for the discussion.  Mr. Pritchard suggested adding a link in the document to provide information on Option 1 and Option 2 to assist </w:t>
      </w:r>
      <w:r w:rsidR="004F7923">
        <w:t>those</w:t>
      </w:r>
      <w:r w:rsidR="00523C23">
        <w:t xml:space="preserve"> reviewing the document within their organizations.  Mr. Skiba suggested adding a footnote to the document indicating that references to market flows were for discussion purposes and that the references would be changed to generation-to-load flows when the selected option is included in the Parallel Flow Visualization Permanent Solution White Paper.  </w:t>
      </w:r>
      <w:r w:rsidR="001B0463">
        <w:t xml:space="preserve">Mr. Mallinger noted that the sub-team has not fully reviewed the comments submitted by OATI.  Mr. Erhardt questioned how the Market Flows translate to </w:t>
      </w:r>
      <w:r w:rsidR="000B0109">
        <w:t>generation-to-load f</w:t>
      </w:r>
      <w:r w:rsidR="001B0463">
        <w:t>lows in a non-market setting.  Mr. Mallinger indicated that detail still needed to be worked out by the sub-team.</w:t>
      </w:r>
    </w:p>
    <w:p w:rsidR="00FD2DF2" w:rsidRDefault="001B0463" w:rsidP="00700781">
      <w:pPr>
        <w:spacing w:after="120"/>
        <w:jc w:val="both"/>
      </w:pPr>
      <w:r>
        <w:t>Mr. Mallinger reviewed the Problems with Option 1 Using Unconstrained Market Flows with the subcommittee.  The primary concern is that the option for the first few intervals may reflect market particip</w:t>
      </w:r>
      <w:r w:rsidR="000B0109">
        <w:t>ant behavior</w:t>
      </w:r>
      <w:r w:rsidR="004F7923">
        <w:t>,</w:t>
      </w:r>
      <w:r w:rsidR="000B0109">
        <w:t xml:space="preserve"> but after those intervals it does not consider market behavior because the flows represent a frozen value.  The frozen values are only reset if an illogical condition occurs when the constrained market flow is greater than the unconstrained market flow.  Mr. Mallinger indicated that he believes Option 1 produces a bad outcome and should not be moved forward.  </w:t>
      </w:r>
    </w:p>
    <w:p w:rsidR="00961DBF" w:rsidRDefault="000B0109" w:rsidP="00700781">
      <w:pPr>
        <w:spacing w:after="120"/>
        <w:jc w:val="both"/>
      </w:pPr>
      <w:r>
        <w:t>Option 2 was discussed.  Mr. Bressers initially thought there may be some shifting of flows under Option 2.  Mr. Muller’s assessment was that there would not be shifting or if it was it would be minimal.  Mr. Erhardt indicated that he is unsure if the impact is significant until additional details are provided.</w:t>
      </w:r>
      <w:r w:rsidR="00961DBF">
        <w:t xml:space="preserve">  Mr. Bressers indicated that he thought there was the potential for gaming.  It was noted that with the timings the likelihood of gaming was minimal and if the solution has sufficient transparency</w:t>
      </w:r>
      <w:r w:rsidR="004F7923">
        <w:t>,</w:t>
      </w:r>
      <w:r w:rsidR="00961DBF">
        <w:t xml:space="preserve"> gaming issues when they occurred could be quickly identified.  </w:t>
      </w:r>
    </w:p>
    <w:p w:rsidR="000B0109" w:rsidRDefault="00961DBF" w:rsidP="00700781">
      <w:pPr>
        <w:spacing w:after="120"/>
        <w:jc w:val="both"/>
      </w:pPr>
      <w:r>
        <w:t xml:space="preserve">Mr. Muller suggest that if curtailments were only based on current hour there may not be a need to have credit for redispatch.  Mr. Muller agreed to provide a work paper for the subcommittee to review.  Mr. Pritchard noted that in the winter months there may be fairly steep ramp times for generators so doing away </w:t>
      </w:r>
      <w:r w:rsidR="004F7923">
        <w:t>with</w:t>
      </w:r>
      <w:r>
        <w:t xml:space="preserve"> looking at next hour values may present a problem.  It was noted that the Parallel Flow Visualization Solution will need to be reviewed by the ORS to determine if it may result in reliability issues.</w:t>
      </w:r>
      <w:r w:rsidR="006C4FA9">
        <w:t xml:space="preserve">  It was noted that the cost for implementing credit for redispatch needs to be weighed against the benefits of implementing the functionality.</w:t>
      </w:r>
    </w:p>
    <w:p w:rsidR="006C4FA9" w:rsidRDefault="006C4FA9" w:rsidP="00700781">
      <w:pPr>
        <w:spacing w:after="120"/>
        <w:jc w:val="both"/>
      </w:pPr>
      <w:r>
        <w:t>The subcommittee reviewed the Other Items documented along with the OATI comments that outlined addition items to be addressed by the sub-team. After completing the review of the document Mr. Skiba stated that he did not hear anything that suggested the sub-team continue reviewing Option 1 as a viable option.  He asked if the subcommittee could provide direction to the sub-team to stop work on Option 1 and focus on Option 2.  Mr. Saini offered to make a formal motion to eliminate Option 1 from the further consideration.  The general feedback from the subcommittee was that a formal motion</w:t>
      </w:r>
      <w:r w:rsidR="004F7923">
        <w:t xml:space="preserve"> </w:t>
      </w:r>
      <w:r w:rsidR="00F54424">
        <w:t>was not needed</w:t>
      </w:r>
      <w:r>
        <w:t>.  The subcommittee agreed, by consensus, to have the sub-team focus on Option 2 and stop further assessment on Option 1.  There was no objection to providing this direction to the sub-team.</w:t>
      </w:r>
    </w:p>
    <w:p w:rsidR="00814D0B" w:rsidRDefault="00814D0B" w:rsidP="00700781">
      <w:pPr>
        <w:spacing w:after="120"/>
        <w:jc w:val="both"/>
      </w:pPr>
      <w:r>
        <w:t>The subcommittee reviewed Parking Lot Item 23.</w:t>
      </w:r>
    </w:p>
    <w:p w:rsidR="00814D0B" w:rsidRPr="00D96364" w:rsidRDefault="00814D0B" w:rsidP="00700781">
      <w:pPr>
        <w:spacing w:after="120"/>
        <w:ind w:left="720" w:right="720"/>
        <w:jc w:val="both"/>
        <w:rPr>
          <w:i/>
        </w:rPr>
      </w:pPr>
      <w:r w:rsidRPr="00D96364">
        <w:rPr>
          <w:i/>
        </w:rPr>
        <w:t>Need to provide an example of what happens when going from a TLR level 3 to TLR level 5 with credit for redispatch?  When you provide 27MW of relief through redispatch of firm should the firm go up by 27 MW while the non-firm goes down by 27?</w:t>
      </w:r>
    </w:p>
    <w:p w:rsidR="00814D0B" w:rsidRDefault="00814D0B" w:rsidP="00700781">
      <w:pPr>
        <w:spacing w:after="120"/>
        <w:jc w:val="both"/>
      </w:pPr>
      <w:r>
        <w:t xml:space="preserve">The subcommittee reviewed the example in Appendix A </w:t>
      </w:r>
      <w:r w:rsidRPr="00814D0B">
        <w:t>– Credit for Redispatch – Discussion</w:t>
      </w:r>
      <w:r>
        <w:t xml:space="preserve">.  It was recommended </w:t>
      </w:r>
      <w:r w:rsidR="004F7923">
        <w:t xml:space="preserve">that </w:t>
      </w:r>
      <w:r>
        <w:t xml:space="preserve">note 5 in the graphic be modified.  The note was revised as documented in the </w:t>
      </w:r>
      <w:hyperlink r:id="rId13" w:history="1">
        <w:r>
          <w:rPr>
            <w:rStyle w:val="Hyperlink"/>
          </w:rPr>
          <w:t xml:space="preserve">Parallel Flow Visualization </w:t>
        </w:r>
        <w:r>
          <w:rPr>
            <w:rStyle w:val="Hyperlink"/>
          </w:rPr>
          <w:lastRenderedPageBreak/>
          <w:t>Permanent Solution White Paper (Revised)</w:t>
        </w:r>
      </w:hyperlink>
      <w:r>
        <w:t xml:space="preserve"> document.  Item 23 </w:t>
      </w:r>
      <w:r w:rsidR="00F54424">
        <w:t xml:space="preserve">status </w:t>
      </w:r>
      <w:r>
        <w:t xml:space="preserve">was changed to Resolved and the following resolution was included in the </w:t>
      </w:r>
      <w:hyperlink r:id="rId14" w:history="1">
        <w:r w:rsidRPr="00814D0B">
          <w:rPr>
            <w:rStyle w:val="Hyperlink"/>
          </w:rPr>
          <w:t>Parking Lot (Revised)</w:t>
        </w:r>
      </w:hyperlink>
      <w:r>
        <w:t xml:space="preserve"> document.</w:t>
      </w:r>
    </w:p>
    <w:p w:rsidR="00814D0B" w:rsidRPr="00D96364" w:rsidRDefault="00D96364" w:rsidP="00700781">
      <w:pPr>
        <w:spacing w:after="120"/>
        <w:ind w:left="720" w:right="720"/>
        <w:jc w:val="both"/>
        <w:rPr>
          <w:i/>
        </w:rPr>
      </w:pPr>
      <w:r w:rsidRPr="00D96364">
        <w:rPr>
          <w:i/>
        </w:rPr>
        <w:t>The subcommittee reviewed the Parallel Flow Visualization White Paper posted for the January 18-19, 2012 meeting and confirmed that the example suggested in this parking lot item was included in Appendix A – Credit for Redispatch – Discussion.  The answer to the second question is when the generation with firm transmission is used to provide the 27 MW of non-firm relief obligation under TLR level 3, the non-firm generation to load impacts are decreased by 27 MW and the firm generation to load impacts are increased by 27 MW which will be subject to curtailment under TLR Level 5.  (01/18/12)</w:t>
      </w:r>
    </w:p>
    <w:p w:rsidR="00215859" w:rsidRPr="00215859" w:rsidRDefault="00215859" w:rsidP="00700781">
      <w:pPr>
        <w:keepNext/>
        <w:tabs>
          <w:tab w:val="left" w:pos="1440"/>
        </w:tabs>
        <w:spacing w:after="120"/>
        <w:jc w:val="both"/>
        <w:rPr>
          <w:bCs/>
        </w:rPr>
      </w:pPr>
      <w:r>
        <w:rPr>
          <w:bCs/>
        </w:rPr>
        <w:t xml:space="preserve">Suggested changes describing Option 1 and Option 2 along with a footnote indicating market flows would be changed to generation-to-load flows were added to the </w:t>
      </w:r>
      <w:hyperlink r:id="rId15" w:history="1">
        <w:r w:rsidRPr="00215859">
          <w:rPr>
            <w:rStyle w:val="Hyperlink"/>
            <w:bCs/>
          </w:rPr>
          <w:t>Credit for Redispatch Sub-Team Recommendation Revised 1/18/12</w:t>
        </w:r>
      </w:hyperlink>
      <w:r>
        <w:rPr>
          <w:bCs/>
        </w:rPr>
        <w:t xml:space="preserve"> document.  The sub-team schedule conference calls for January 25, 2012, February 1, 2012, and February 10, 2012.</w:t>
      </w:r>
    </w:p>
    <w:p w:rsidR="00F50EC3" w:rsidRDefault="00F50EC3" w:rsidP="00700781">
      <w:pPr>
        <w:keepNext/>
        <w:numPr>
          <w:ilvl w:val="0"/>
          <w:numId w:val="11"/>
        </w:numPr>
        <w:tabs>
          <w:tab w:val="num" w:pos="720"/>
          <w:tab w:val="left" w:pos="1440"/>
        </w:tabs>
        <w:spacing w:after="120"/>
        <w:ind w:left="720"/>
        <w:jc w:val="both"/>
        <w:rPr>
          <w:b/>
          <w:bCs/>
        </w:rPr>
      </w:pPr>
      <w:r w:rsidRPr="00232FEC">
        <w:rPr>
          <w:b/>
          <w:bCs/>
        </w:rPr>
        <w:t>Review Permanent Solution White Paper Outstanding Items</w:t>
      </w:r>
    </w:p>
    <w:p w:rsidR="00F50EC3" w:rsidRPr="005E7896" w:rsidRDefault="00F50EC3" w:rsidP="00700781">
      <w:pPr>
        <w:tabs>
          <w:tab w:val="left" w:pos="8556"/>
        </w:tabs>
        <w:spacing w:after="120"/>
        <w:jc w:val="both"/>
        <w:rPr>
          <w:b/>
          <w:bCs/>
          <w:u w:val="single"/>
        </w:rPr>
      </w:pPr>
      <w:r w:rsidRPr="00232FEC">
        <w:rPr>
          <w:b/>
          <w:bCs/>
          <w:u w:val="single"/>
        </w:rPr>
        <w:t>Change to Support Two Impact Calculations – Action Item 75</w:t>
      </w:r>
      <w:r>
        <w:rPr>
          <w:b/>
          <w:bCs/>
          <w:u w:val="single"/>
        </w:rPr>
        <w:tab/>
      </w:r>
    </w:p>
    <w:p w:rsidR="00593669" w:rsidRDefault="00F50EC3" w:rsidP="00700781">
      <w:pPr>
        <w:spacing w:after="120"/>
        <w:jc w:val="both"/>
      </w:pPr>
      <w:r w:rsidRPr="00123D57">
        <w:t xml:space="preserve">Mr. </w:t>
      </w:r>
      <w:r>
        <w:t>Skiba started the discussion by noting that he</w:t>
      </w:r>
      <w:r w:rsidR="00593669">
        <w:t xml:space="preserve"> updated the </w:t>
      </w:r>
      <w:hyperlink r:id="rId16" w:history="1">
        <w:r w:rsidR="00593669" w:rsidRPr="00593669">
          <w:rPr>
            <w:rStyle w:val="Hyperlink"/>
          </w:rPr>
          <w:t>Parallel Flow Visualization Permanent Solution White Paper with GTL Calculation</w:t>
        </w:r>
      </w:hyperlink>
      <w:r w:rsidR="00593669">
        <w:t xml:space="preserve"> to include the resolution from </w:t>
      </w:r>
      <w:hyperlink r:id="rId17" w:history="1">
        <w:r w:rsidR="00593669" w:rsidRPr="00593669">
          <w:rPr>
            <w:rStyle w:val="Hyperlink"/>
          </w:rPr>
          <w:t>Parking Lot</w:t>
        </w:r>
      </w:hyperlink>
      <w:r w:rsidR="00593669">
        <w:t xml:space="preserve"> Item 5 and </w:t>
      </w:r>
      <w:hyperlink r:id="rId18" w:history="1">
        <w:r w:rsidR="00593669">
          <w:rPr>
            <w:rStyle w:val="Hyperlink"/>
          </w:rPr>
          <w:t>Action Item List</w:t>
        </w:r>
      </w:hyperlink>
      <w:r w:rsidR="00593669">
        <w:t xml:space="preserve"> Item Number 75.  A new common requirement was added to the white paper stating:</w:t>
      </w:r>
    </w:p>
    <w:p w:rsidR="00593669" w:rsidRPr="002C4A78" w:rsidRDefault="00593669" w:rsidP="00700781">
      <w:pPr>
        <w:spacing w:after="120" w:line="276" w:lineRule="auto"/>
        <w:ind w:left="720"/>
        <w:rPr>
          <w:i/>
        </w:rPr>
      </w:pPr>
      <w:r w:rsidRPr="002C4A78">
        <w:rPr>
          <w:i/>
        </w:rPr>
        <w:t>The IDC supports two GTL impact calculations</w:t>
      </w:r>
    </w:p>
    <w:p w:rsidR="00593669" w:rsidRPr="002C4A78" w:rsidRDefault="00593669" w:rsidP="00700781">
      <w:pPr>
        <w:numPr>
          <w:ilvl w:val="0"/>
          <w:numId w:val="31"/>
        </w:numPr>
        <w:spacing w:after="120" w:line="276" w:lineRule="auto"/>
        <w:ind w:left="1440"/>
        <w:rPr>
          <w:i/>
        </w:rPr>
      </w:pPr>
      <w:r w:rsidRPr="002C4A78">
        <w:rPr>
          <w:i/>
        </w:rPr>
        <w:t xml:space="preserve">Generation to load distribution factor within a BA </w:t>
      </w:r>
    </w:p>
    <w:p w:rsidR="00593669" w:rsidRPr="002C4A78" w:rsidRDefault="00593669" w:rsidP="00700781">
      <w:pPr>
        <w:numPr>
          <w:ilvl w:val="0"/>
          <w:numId w:val="31"/>
        </w:numPr>
        <w:spacing w:after="120" w:line="276" w:lineRule="auto"/>
        <w:ind w:left="1440"/>
        <w:rPr>
          <w:i/>
        </w:rPr>
      </w:pPr>
      <w:r w:rsidRPr="002C4A78">
        <w:rPr>
          <w:i/>
        </w:rPr>
        <w:t>Native transfer for a BA with multiple local BAs</w:t>
      </w:r>
    </w:p>
    <w:p w:rsidR="00593669" w:rsidRPr="002C4A78" w:rsidRDefault="00593669" w:rsidP="00700781">
      <w:pPr>
        <w:spacing w:after="120"/>
        <w:ind w:left="720"/>
        <w:jc w:val="both"/>
        <w:rPr>
          <w:i/>
        </w:rPr>
      </w:pPr>
      <w:r w:rsidRPr="002C4A78">
        <w:rPr>
          <w:i/>
        </w:rPr>
        <w:t>A BA will be required to select which impact calculation it will use and to ensure that the necessary data is provided to the IDC to support the selected calculation.</w:t>
      </w:r>
    </w:p>
    <w:p w:rsidR="007D3909" w:rsidRDefault="007D3909" w:rsidP="00700781">
      <w:pPr>
        <w:spacing w:after="120"/>
        <w:jc w:val="both"/>
      </w:pPr>
      <w:r>
        <w:t xml:space="preserve">The subcommittee discussed the proposed changes and modified the requirement in the </w:t>
      </w:r>
      <w:hyperlink r:id="rId19" w:history="1">
        <w:r>
          <w:rPr>
            <w:rStyle w:val="Hyperlink"/>
          </w:rPr>
          <w:t>Parallel Flow Visualization Permanent Solution White Paper (Revised)</w:t>
        </w:r>
      </w:hyperlink>
      <w:r>
        <w:t xml:space="preserve"> to state:</w:t>
      </w:r>
    </w:p>
    <w:p w:rsidR="007D3909" w:rsidRPr="002C4A78" w:rsidRDefault="007D3909" w:rsidP="00700781">
      <w:pPr>
        <w:spacing w:after="120" w:line="276" w:lineRule="auto"/>
        <w:ind w:left="720"/>
        <w:rPr>
          <w:i/>
        </w:rPr>
      </w:pPr>
      <w:r w:rsidRPr="002C4A78">
        <w:rPr>
          <w:i/>
        </w:rPr>
        <w:t>The IDC supports two GTL impact calculations</w:t>
      </w:r>
    </w:p>
    <w:p w:rsidR="007D3909" w:rsidRPr="002C4A78" w:rsidRDefault="007D3909" w:rsidP="00700781">
      <w:pPr>
        <w:numPr>
          <w:ilvl w:val="0"/>
          <w:numId w:val="31"/>
        </w:numPr>
        <w:spacing w:after="120" w:line="276" w:lineRule="auto"/>
        <w:ind w:left="1080"/>
        <w:rPr>
          <w:i/>
        </w:rPr>
      </w:pPr>
      <w:r w:rsidRPr="002C4A78">
        <w:rPr>
          <w:i/>
        </w:rPr>
        <w:t xml:space="preserve">Generation to load distribution factor within a BA </w:t>
      </w:r>
    </w:p>
    <w:p w:rsidR="007D3909" w:rsidRPr="002C4A78" w:rsidRDefault="007D3909" w:rsidP="00700781">
      <w:pPr>
        <w:numPr>
          <w:ilvl w:val="0"/>
          <w:numId w:val="31"/>
        </w:numPr>
        <w:spacing w:after="120" w:line="276" w:lineRule="auto"/>
        <w:ind w:left="1080"/>
        <w:rPr>
          <w:i/>
        </w:rPr>
      </w:pPr>
      <w:r w:rsidRPr="002C4A78">
        <w:rPr>
          <w:i/>
        </w:rPr>
        <w:t>Native/transfer for a BA with multiple local BAs/zones</w:t>
      </w:r>
    </w:p>
    <w:p w:rsidR="007D3909" w:rsidRPr="002C4A78" w:rsidRDefault="007D3909" w:rsidP="00700781">
      <w:pPr>
        <w:spacing w:after="120"/>
        <w:ind w:left="720"/>
        <w:rPr>
          <w:i/>
        </w:rPr>
      </w:pPr>
      <w:r w:rsidRPr="002C4A78">
        <w:rPr>
          <w:i/>
        </w:rPr>
        <w:t>A BA will be required to select which impact calculation it will use and to ensure that the necessary data is provided to the IDC to support the selected calculation. A BA, whether market or non-market, is not restricted to a specific GTL impact calculation.</w:t>
      </w:r>
    </w:p>
    <w:p w:rsidR="007D3909" w:rsidRDefault="007D3909" w:rsidP="00700781">
      <w:pPr>
        <w:spacing w:after="120"/>
        <w:jc w:val="both"/>
      </w:pPr>
      <w:r>
        <w:t xml:space="preserve"> The subcommittee closed Action Item 75 on the </w:t>
      </w:r>
      <w:hyperlink r:id="rId20" w:history="1">
        <w:r w:rsidRPr="002C4A78">
          <w:rPr>
            <w:rStyle w:val="Hyperlink"/>
          </w:rPr>
          <w:t>Action Item List (Revised)</w:t>
        </w:r>
      </w:hyperlink>
      <w:r w:rsidR="002C4A78">
        <w:t>.</w:t>
      </w:r>
    </w:p>
    <w:p w:rsidR="00F50EC3" w:rsidRDefault="00F50EC3" w:rsidP="00700781">
      <w:pPr>
        <w:keepNext/>
        <w:numPr>
          <w:ilvl w:val="0"/>
          <w:numId w:val="11"/>
        </w:numPr>
        <w:tabs>
          <w:tab w:val="num" w:pos="720"/>
          <w:tab w:val="left" w:pos="1440"/>
        </w:tabs>
        <w:spacing w:after="120"/>
        <w:ind w:left="720"/>
        <w:jc w:val="both"/>
        <w:rPr>
          <w:b/>
          <w:bCs/>
        </w:rPr>
      </w:pPr>
      <w:r w:rsidRPr="00232FEC">
        <w:rPr>
          <w:b/>
          <w:bCs/>
        </w:rPr>
        <w:t>Approach to Differentiated Intra BA Point to Point Tag and Network Service – Action Item 77</w:t>
      </w:r>
    </w:p>
    <w:p w:rsidR="00A84A2A" w:rsidRDefault="00D96364" w:rsidP="00700781">
      <w:pPr>
        <w:tabs>
          <w:tab w:val="left" w:pos="1440"/>
        </w:tabs>
        <w:spacing w:after="120"/>
        <w:jc w:val="both"/>
      </w:pPr>
      <w:r>
        <w:t xml:space="preserve">Mr. Muller requested that </w:t>
      </w:r>
      <w:hyperlink r:id="rId21" w:history="1">
        <w:r w:rsidRPr="00D96364">
          <w:rPr>
            <w:rStyle w:val="Hyperlink"/>
          </w:rPr>
          <w:t>Action Item - 77 (Intra-BA NS vs</w:t>
        </w:r>
        <w:r w:rsidR="00B20E80">
          <w:rPr>
            <w:rStyle w:val="Hyperlink"/>
          </w:rPr>
          <w:t>.</w:t>
        </w:r>
        <w:r w:rsidRPr="00D96364">
          <w:rPr>
            <w:rStyle w:val="Hyperlink"/>
          </w:rPr>
          <w:t xml:space="preserve"> PTP)</w:t>
        </w:r>
      </w:hyperlink>
      <w:r>
        <w:t xml:space="preserve"> be discussed prior to discussing the </w:t>
      </w:r>
      <w:hyperlink r:id="rId22" w:history="1">
        <w:r w:rsidRPr="00D96364">
          <w:rPr>
            <w:rStyle w:val="Hyperlink"/>
          </w:rPr>
          <w:t>Action Item - 76 (Pseudo-Ties)</w:t>
        </w:r>
      </w:hyperlink>
      <w:r>
        <w:t xml:space="preserve"> since some of the concepts documented in the Action Item 76 were documented in Action Item 77.  The subcommittee agreed to reverse the order of these agenda items.  The basic assumption for the work paper was that </w:t>
      </w:r>
    </w:p>
    <w:p w:rsidR="00A84A2A" w:rsidRPr="00A84A2A" w:rsidRDefault="00A84A2A" w:rsidP="00700781">
      <w:pPr>
        <w:tabs>
          <w:tab w:val="left" w:pos="1440"/>
        </w:tabs>
        <w:spacing w:after="120"/>
        <w:ind w:left="720" w:right="720"/>
        <w:jc w:val="both"/>
        <w:rPr>
          <w:i/>
        </w:rPr>
      </w:pPr>
      <w:r w:rsidRPr="00A84A2A">
        <w:rPr>
          <w:i/>
        </w:rPr>
        <w:t>T</w:t>
      </w:r>
      <w:r w:rsidR="00D96364" w:rsidRPr="00A84A2A">
        <w:rPr>
          <w:i/>
        </w:rPr>
        <w:t xml:space="preserve">he </w:t>
      </w:r>
      <w:r w:rsidRPr="00A84A2A">
        <w:rPr>
          <w:i/>
        </w:rPr>
        <w:t xml:space="preserve">Tagging Functional Specification does not provide any means for differentiating Intra-BA e-Tags representing PTP transactions from NS transactions. </w:t>
      </w:r>
    </w:p>
    <w:p w:rsidR="000D5B0A" w:rsidRDefault="00A84A2A" w:rsidP="00700781">
      <w:pPr>
        <w:tabs>
          <w:tab w:val="left" w:pos="1440"/>
        </w:tabs>
        <w:spacing w:after="120"/>
        <w:jc w:val="both"/>
      </w:pPr>
      <w:r>
        <w:lastRenderedPageBreak/>
        <w:t xml:space="preserve">Mr. Pritchard and Mr. Wood both indicated that the in reviewing a tag it point-to-point and network service transactions can be determined.  </w:t>
      </w:r>
      <w:r w:rsidR="00215859">
        <w:t xml:space="preserve">It was noted that Sinks may require mappings to load.  </w:t>
      </w:r>
      <w:r w:rsidR="009248E2">
        <w:t xml:space="preserve">The Sink may be a specific delivery point or a combination of delivery points.  Mr. Muller noted that the mapping of Sources to generation is not currently being provided under the IDC Change Order 283.  The capability for the mappings exists.  However, entities are not providing the data.  Mr. Saini drafted proposed language </w:t>
      </w:r>
      <w:r w:rsidR="000D5B0A">
        <w:t xml:space="preserve">in the </w:t>
      </w:r>
      <w:hyperlink r:id="rId23" w:history="1">
        <w:r w:rsidR="000D5B0A" w:rsidRPr="000D5B0A">
          <w:rPr>
            <w:rStyle w:val="Hyperlink"/>
          </w:rPr>
          <w:t>Proposed language to reflect the mapping load(s) to sink on a tag for discussion on January 19, 2012</w:t>
        </w:r>
      </w:hyperlink>
      <w:r w:rsidR="000D5B0A">
        <w:t xml:space="preserve"> work paper for the subcommittee to consider including in the </w:t>
      </w:r>
      <w:r w:rsidR="000D5B0A" w:rsidRPr="000D5B0A">
        <w:t>Parallel Flow Visualization Permanent Solution White Paper</w:t>
      </w:r>
      <w:r w:rsidR="000D5B0A">
        <w:t>.  The subcommittee discussed and modified the proposed changes.  As a result of the discussion Common Requirement 7</w:t>
      </w:r>
      <w:r w:rsidR="00F54424">
        <w:t xml:space="preserve"> was added</w:t>
      </w:r>
      <w:r w:rsidR="000D5B0A">
        <w:t xml:space="preserve"> and modifications to the </w:t>
      </w:r>
      <w:r w:rsidR="000D5B0A" w:rsidRPr="000D5B0A">
        <w:t>Tag All Non-Firm Component Specific Changes</w:t>
      </w:r>
      <w:r w:rsidR="000D5B0A">
        <w:t xml:space="preserve"> were made to the </w:t>
      </w:r>
      <w:hyperlink r:id="rId24" w:history="1">
        <w:r w:rsidR="000D5B0A">
          <w:rPr>
            <w:rStyle w:val="Hyperlink"/>
          </w:rPr>
          <w:t>Parallel Flow Visualization Permanent Solution White Paper (Revised)</w:t>
        </w:r>
      </w:hyperlink>
      <w:r w:rsidR="000D5B0A">
        <w:t xml:space="preserve"> document.  </w:t>
      </w:r>
      <w:r w:rsidR="000D5B0A" w:rsidRPr="000D5B0A">
        <w:t xml:space="preserve"> </w:t>
      </w:r>
      <w:r w:rsidR="000D5B0A">
        <w:t xml:space="preserve"> </w:t>
      </w:r>
    </w:p>
    <w:p w:rsidR="00A84A2A" w:rsidRDefault="000D5B0A" w:rsidP="00700781">
      <w:pPr>
        <w:tabs>
          <w:tab w:val="left" w:pos="1440"/>
        </w:tabs>
        <w:spacing w:after="120"/>
        <w:jc w:val="both"/>
      </w:pPr>
      <w:r>
        <w:t>The subcommittee agreed</w:t>
      </w:r>
      <w:r w:rsidR="00A84A2A">
        <w:t xml:space="preserve"> Action Item 77 was a non-issue.  The action item was closed on the </w:t>
      </w:r>
      <w:hyperlink r:id="rId25" w:history="1">
        <w:r w:rsidR="00A84A2A" w:rsidRPr="002C4A78">
          <w:rPr>
            <w:rStyle w:val="Hyperlink"/>
          </w:rPr>
          <w:t>Action Item List (Revised)</w:t>
        </w:r>
      </w:hyperlink>
      <w:r w:rsidR="00A84A2A">
        <w:t xml:space="preserve"> with the following status:</w:t>
      </w:r>
    </w:p>
    <w:p w:rsidR="00F50EC3" w:rsidRDefault="00A84A2A" w:rsidP="00700781">
      <w:pPr>
        <w:tabs>
          <w:tab w:val="left" w:pos="1440"/>
        </w:tabs>
        <w:spacing w:after="120"/>
        <w:ind w:left="720" w:right="720"/>
        <w:jc w:val="both"/>
        <w:rPr>
          <w:i/>
        </w:rPr>
      </w:pPr>
      <w:r w:rsidRPr="00A84A2A">
        <w:rPr>
          <w:i/>
        </w:rPr>
        <w:t>1/18/12 The tags today have the capability to distinguish between intra-PTP and intra-network service.</w:t>
      </w:r>
      <w:r w:rsidR="00F50EC3" w:rsidRPr="00A84A2A">
        <w:rPr>
          <w:i/>
        </w:rPr>
        <w:t xml:space="preserve"> </w:t>
      </w:r>
    </w:p>
    <w:p w:rsidR="00A84A2A" w:rsidRPr="00A84A2A" w:rsidRDefault="00A84A2A" w:rsidP="00700781">
      <w:pPr>
        <w:spacing w:after="120"/>
        <w:jc w:val="both"/>
      </w:pPr>
      <w:r>
        <w:t xml:space="preserve">Mr. </w:t>
      </w:r>
      <w:r w:rsidR="00F54424">
        <w:t>Muller</w:t>
      </w:r>
      <w:r>
        <w:t xml:space="preserve"> agreed to revise the </w:t>
      </w:r>
      <w:hyperlink r:id="rId26" w:history="1">
        <w:r w:rsidRPr="00D96364">
          <w:rPr>
            <w:rStyle w:val="Hyperlink"/>
          </w:rPr>
          <w:t>Action Item - 76 (Pseudo-Ties)</w:t>
        </w:r>
      </w:hyperlink>
      <w:r>
        <w:t xml:space="preserve"> based on the January 18, 2012, based on the discussion.</w:t>
      </w:r>
    </w:p>
    <w:p w:rsidR="005266BC" w:rsidRDefault="00232FEC" w:rsidP="00700781">
      <w:pPr>
        <w:numPr>
          <w:ilvl w:val="0"/>
          <w:numId w:val="11"/>
        </w:numPr>
        <w:tabs>
          <w:tab w:val="num" w:pos="720"/>
          <w:tab w:val="left" w:pos="1440"/>
        </w:tabs>
        <w:spacing w:after="120"/>
        <w:ind w:left="720"/>
        <w:jc w:val="both"/>
        <w:rPr>
          <w:b/>
          <w:bCs/>
        </w:rPr>
      </w:pPr>
      <w:r w:rsidRPr="00232FEC">
        <w:rPr>
          <w:b/>
          <w:bCs/>
        </w:rPr>
        <w:t>Parking Lot Item 27 – Action Item 76</w:t>
      </w:r>
    </w:p>
    <w:p w:rsidR="000B667C" w:rsidRDefault="00C44C62" w:rsidP="00700781">
      <w:pPr>
        <w:spacing w:after="120"/>
        <w:jc w:val="both"/>
      </w:pPr>
      <w:r>
        <w:t xml:space="preserve">Mr. </w:t>
      </w:r>
      <w:r w:rsidR="00F54424">
        <w:t>Muller</w:t>
      </w:r>
      <w:r>
        <w:t xml:space="preserve"> </w:t>
      </w:r>
      <w:r w:rsidR="006B1581">
        <w:t xml:space="preserve">reviewed the </w:t>
      </w:r>
      <w:hyperlink r:id="rId27" w:history="1">
        <w:r w:rsidR="00215859" w:rsidRPr="00215859">
          <w:rPr>
            <w:rStyle w:val="Hyperlink"/>
          </w:rPr>
          <w:t>Action Item -76 (Pseudo-Ties)</w:t>
        </w:r>
      </w:hyperlink>
      <w:r w:rsidR="00215859" w:rsidRPr="00215859">
        <w:t xml:space="preserve"> Revised</w:t>
      </w:r>
      <w:r w:rsidR="00215859">
        <w:t xml:space="preserve"> document which was posted as a work paper.</w:t>
      </w:r>
      <w:r w:rsidR="0057053D">
        <w:t xml:space="preserve">  </w:t>
      </w:r>
      <w:r w:rsidR="000B667C">
        <w:t>During the review the subcommittee: a) added clarifying language in sections 2.1 and 3</w:t>
      </w:r>
      <w:r w:rsidR="00B20E80">
        <w:t>,</w:t>
      </w:r>
      <w:r w:rsidR="000B667C">
        <w:t xml:space="preserve"> and b) modified the notes in section 3.1.  The revisions to the document are available at </w:t>
      </w:r>
      <w:hyperlink r:id="rId28" w:history="1">
        <w:r w:rsidR="000B667C" w:rsidRPr="000B667C">
          <w:rPr>
            <w:rStyle w:val="Hyperlink"/>
          </w:rPr>
          <w:t>Action Item 76 (revised 01-19-2012)</w:t>
        </w:r>
      </w:hyperlink>
      <w:r w:rsidR="000B667C">
        <w:t xml:space="preserve">. </w:t>
      </w:r>
    </w:p>
    <w:p w:rsidR="00C44C62" w:rsidRDefault="0057053D" w:rsidP="00700781">
      <w:pPr>
        <w:spacing w:after="120"/>
        <w:jc w:val="both"/>
      </w:pPr>
      <w:r>
        <w:t>After reviewing the work paper</w:t>
      </w:r>
      <w:r w:rsidR="000B667C">
        <w:t>,</w:t>
      </w:r>
      <w:r>
        <w:t xml:space="preserve"> the subcommittee modified Common Requirement 5 and added Common Requirement 8 in the </w:t>
      </w:r>
      <w:hyperlink r:id="rId29" w:history="1">
        <w:r>
          <w:rPr>
            <w:rStyle w:val="Hyperlink"/>
          </w:rPr>
          <w:t>Parallel Flow Visualization Permanent Solution White Paper (Revised)</w:t>
        </w:r>
      </w:hyperlink>
      <w:r>
        <w:t xml:space="preserve"> document.</w:t>
      </w:r>
    </w:p>
    <w:p w:rsidR="00F50EC3" w:rsidRDefault="00F50EC3" w:rsidP="00700781">
      <w:pPr>
        <w:keepNext/>
        <w:numPr>
          <w:ilvl w:val="0"/>
          <w:numId w:val="11"/>
        </w:numPr>
        <w:tabs>
          <w:tab w:val="clear" w:pos="1620"/>
          <w:tab w:val="num" w:pos="720"/>
          <w:tab w:val="left" w:pos="1440"/>
        </w:tabs>
        <w:spacing w:after="120"/>
        <w:ind w:left="720"/>
        <w:jc w:val="both"/>
        <w:rPr>
          <w:b/>
          <w:bCs/>
        </w:rPr>
      </w:pPr>
      <w:r w:rsidRPr="005E7896">
        <w:rPr>
          <w:b/>
          <w:bCs/>
        </w:rPr>
        <w:t>Document from Action Item 54 Sub-team</w:t>
      </w:r>
      <w:r>
        <w:rPr>
          <w:b/>
          <w:bCs/>
        </w:rPr>
        <w:t xml:space="preserve"> – Action Item 79</w:t>
      </w:r>
    </w:p>
    <w:p w:rsidR="00F50EC3" w:rsidRDefault="000B667C" w:rsidP="00700781">
      <w:pPr>
        <w:tabs>
          <w:tab w:val="left" w:pos="1440"/>
        </w:tabs>
        <w:spacing w:after="120"/>
        <w:jc w:val="both"/>
      </w:pPr>
      <w:r>
        <w:rPr>
          <w:bCs/>
        </w:rPr>
        <w:t>Mr. Skiba started the discussion by indicating there were three documents posted for this agenda item: a)</w:t>
      </w:r>
      <w:r w:rsidR="00F50EC3" w:rsidRPr="001A0EE5">
        <w:rPr>
          <w:bCs/>
        </w:rPr>
        <w:t xml:space="preserve"> </w:t>
      </w:r>
      <w:hyperlink r:id="rId30" w:history="1">
        <w:r w:rsidRPr="00A43FC7">
          <w:rPr>
            <w:rStyle w:val="Hyperlink"/>
          </w:rPr>
          <w:t>First to Curtail Questions WAPA 10/7/11</w:t>
        </w:r>
      </w:hyperlink>
      <w:r w:rsidR="00A43FC7">
        <w:t xml:space="preserve">, b) </w:t>
      </w:r>
      <w:hyperlink r:id="rId31" w:history="1">
        <w:r w:rsidR="00A43FC7" w:rsidRPr="00A43FC7">
          <w:rPr>
            <w:rStyle w:val="Hyperlink"/>
          </w:rPr>
          <w:t>First to Curtail Questions WAPA 10-07-2011 N. Saini and E. Skiba</w:t>
        </w:r>
      </w:hyperlink>
      <w:r w:rsidR="00A43FC7" w:rsidRPr="00A43FC7">
        <w:t xml:space="preserve"> Comments</w:t>
      </w:r>
      <w:r w:rsidR="00A43FC7">
        <w:t xml:space="preserve"> and c)</w:t>
      </w:r>
      <w:r w:rsidR="00A43FC7" w:rsidRPr="00A43FC7">
        <w:t xml:space="preserve"> </w:t>
      </w:r>
      <w:hyperlink r:id="rId32" w:history="1">
        <w:r w:rsidR="00A43FC7" w:rsidRPr="00A43FC7">
          <w:rPr>
            <w:rStyle w:val="Hyperlink"/>
          </w:rPr>
          <w:t>First to Curtail Questions WAPA 10-07-2011 Tom Mallinger Comments</w:t>
        </w:r>
      </w:hyperlink>
      <w:r w:rsidR="00A43FC7">
        <w:t xml:space="preserve">.  He noted that the subcommittee co-chairs did an assessment on the issues to determine if the issues had been previously discussed and what was the outcome.  It was also noted the work paper provided by Mr. Mallinger included everything that was in the other papers in addition to Mr. Mallinger’s comments.  The subcommittee moved forward with the using the work paper submitted by Mr. Mallinger.  Mr. Skiba and Mr. Saini reviewed their assessment of questions.  </w:t>
      </w:r>
      <w:r w:rsidR="00472207">
        <w:t xml:space="preserve">Based </w:t>
      </w:r>
      <w:r w:rsidR="00B20E80">
        <w:t>up</w:t>
      </w:r>
      <w:r w:rsidR="00472207">
        <w:t xml:space="preserve">on their assessment they recommended no further action be taken on the questions as they had previously been discussed or addressed within the exception of Issue 3 Example 1.  For this item the modifications were made in the Coordination Agreement and Unilateral Agreements requirements to include treatment of </w:t>
      </w:r>
      <w:r w:rsidR="00472207" w:rsidRPr="00472207">
        <w:t>firm transmission service sold under the Transmission Service Providers’ OATT prior to the execution of the Coordination Agreemen</w:t>
      </w:r>
      <w:r w:rsidR="00472207">
        <w:t xml:space="preserve">t or the Unilateral Agreement as documented in the </w:t>
      </w:r>
      <w:hyperlink r:id="rId33" w:history="1">
        <w:r w:rsidR="00472207">
          <w:rPr>
            <w:rStyle w:val="Hyperlink"/>
          </w:rPr>
          <w:t>Parallel Flow Visualization Permanent Solution White Paper (Revised)</w:t>
        </w:r>
      </w:hyperlink>
      <w:r w:rsidR="00472207">
        <w:t>.</w:t>
      </w:r>
      <w:r w:rsidR="00FF059D">
        <w:t xml:space="preserve">  To address Mr. Mallinger’s comment under Issue 1 Example 2 the following language was added:  </w:t>
      </w:r>
    </w:p>
    <w:p w:rsidR="00472207" w:rsidRPr="00FD712E" w:rsidRDefault="00FF059D" w:rsidP="00700781">
      <w:pPr>
        <w:tabs>
          <w:tab w:val="left" w:pos="1440"/>
        </w:tabs>
        <w:spacing w:after="120"/>
        <w:ind w:left="720" w:right="720"/>
        <w:jc w:val="both"/>
        <w:rPr>
          <w:bCs/>
          <w:i/>
        </w:rPr>
      </w:pPr>
      <w:r w:rsidRPr="00FD712E">
        <w:rPr>
          <w:bCs/>
          <w:i/>
        </w:rPr>
        <w:t xml:space="preserve">Market-to-Market redispatch procedures are not used in creating of AFC for granting of firm service.  </w:t>
      </w:r>
    </w:p>
    <w:p w:rsidR="00FF059D" w:rsidRDefault="00FD712E" w:rsidP="00700781">
      <w:pPr>
        <w:tabs>
          <w:tab w:val="left" w:pos="1440"/>
        </w:tabs>
        <w:spacing w:after="120"/>
        <w:jc w:val="both"/>
        <w:rPr>
          <w:bCs/>
        </w:rPr>
      </w:pPr>
      <w:r>
        <w:rPr>
          <w:bCs/>
        </w:rPr>
        <w:t xml:space="preserve">The </w:t>
      </w:r>
      <w:hyperlink r:id="rId34" w:history="1">
        <w:r w:rsidRPr="00FD712E">
          <w:rPr>
            <w:rStyle w:val="Hyperlink"/>
            <w:bCs/>
          </w:rPr>
          <w:t>First to Curtail Questions WAPA 10/711 - Response (revised)</w:t>
        </w:r>
      </w:hyperlink>
      <w:r>
        <w:rPr>
          <w:bCs/>
        </w:rPr>
        <w:t xml:space="preserve"> document was posted at the conclusion of the meeting.  </w:t>
      </w:r>
      <w:r w:rsidR="00FF059D">
        <w:rPr>
          <w:bCs/>
        </w:rPr>
        <w:t xml:space="preserve">Mr. Erhardt voiced his concern that the questions raised in the paper were not being revisited in particular with </w:t>
      </w:r>
      <w:r>
        <w:rPr>
          <w:bCs/>
        </w:rPr>
        <w:t>Issue 3 in having NAESB develop additional requirements for Coordination Agreements.  Mr. Skiba indicated the subcommittee previously discussed the issue and the subcommittee stripped out detail</w:t>
      </w:r>
      <w:r w:rsidR="0095749F">
        <w:rPr>
          <w:bCs/>
        </w:rPr>
        <w:t>ed</w:t>
      </w:r>
      <w:r>
        <w:rPr>
          <w:bCs/>
        </w:rPr>
        <w:t xml:space="preserve"> requirements for Coordination Agreements and he did not want to reopen the </w:t>
      </w:r>
      <w:r w:rsidR="0095749F">
        <w:rPr>
          <w:bCs/>
        </w:rPr>
        <w:t xml:space="preserve">issue for further </w:t>
      </w:r>
      <w:r>
        <w:rPr>
          <w:bCs/>
        </w:rPr>
        <w:t xml:space="preserve">discussion.  Mr. Erhardt acknowledged the issue had been previously discussed and felt the issue was significant enough to warrant further discussion.  Mr. Skiba indicated that there is a need to wrap up the issues and if the subcommittee re-opened the issue there is </w:t>
      </w:r>
      <w:r>
        <w:rPr>
          <w:bCs/>
        </w:rPr>
        <w:lastRenderedPageBreak/>
        <w:t>nothing to prevent reopening all decision</w:t>
      </w:r>
      <w:r w:rsidR="00447707">
        <w:rPr>
          <w:bCs/>
        </w:rPr>
        <w:t>s</w:t>
      </w:r>
      <w:r>
        <w:rPr>
          <w:bCs/>
        </w:rPr>
        <w:t xml:space="preserve"> previously made.  Mr. Erhardt indicated he would document his concerns in a write-up and submit to the subcommittee co-chairs.  </w:t>
      </w:r>
    </w:p>
    <w:p w:rsidR="00447707" w:rsidRDefault="00447707" w:rsidP="00700781">
      <w:pPr>
        <w:keepNext/>
        <w:tabs>
          <w:tab w:val="left" w:pos="1440"/>
        </w:tabs>
        <w:spacing w:after="120"/>
        <w:jc w:val="both"/>
      </w:pPr>
      <w:r>
        <w:rPr>
          <w:bCs/>
        </w:rPr>
        <w:t xml:space="preserve">The subcommittee closed Action Item 79 on the </w:t>
      </w:r>
      <w:hyperlink r:id="rId35" w:history="1">
        <w:r w:rsidRPr="002C4A78">
          <w:rPr>
            <w:rStyle w:val="Hyperlink"/>
          </w:rPr>
          <w:t>Action Item List (Revised)</w:t>
        </w:r>
      </w:hyperlink>
      <w:r>
        <w:t xml:space="preserve"> document with the following status:</w:t>
      </w:r>
    </w:p>
    <w:p w:rsidR="00447707" w:rsidRPr="00447707" w:rsidRDefault="00447707" w:rsidP="00700781">
      <w:pPr>
        <w:tabs>
          <w:tab w:val="left" w:pos="1440"/>
        </w:tabs>
        <w:spacing w:after="120"/>
        <w:ind w:left="720"/>
        <w:jc w:val="both"/>
        <w:rPr>
          <w:bCs/>
          <w:i/>
        </w:rPr>
      </w:pPr>
      <w:r w:rsidRPr="00447707">
        <w:rPr>
          <w:bCs/>
          <w:i/>
        </w:rPr>
        <w:t>01/19/12 - Ed Skiba and Narinder Saini provided comments to the document that included historical references to prior documentation, which was reviewed by the subcommittee.</w:t>
      </w:r>
    </w:p>
    <w:p w:rsidR="00F50EC3" w:rsidRDefault="00F50EC3" w:rsidP="00700781">
      <w:pPr>
        <w:keepNext/>
        <w:numPr>
          <w:ilvl w:val="0"/>
          <w:numId w:val="11"/>
        </w:numPr>
        <w:tabs>
          <w:tab w:val="num" w:pos="720"/>
          <w:tab w:val="left" w:pos="1440"/>
        </w:tabs>
        <w:spacing w:after="120"/>
        <w:ind w:left="720"/>
        <w:jc w:val="both"/>
        <w:rPr>
          <w:b/>
          <w:bCs/>
        </w:rPr>
      </w:pPr>
      <w:r>
        <w:rPr>
          <w:b/>
          <w:bCs/>
        </w:rPr>
        <w:t>Agenda Items not discussed</w:t>
      </w:r>
    </w:p>
    <w:p w:rsidR="00F50EC3" w:rsidRDefault="00F50EC3" w:rsidP="00700781">
      <w:pPr>
        <w:spacing w:after="120"/>
        <w:jc w:val="both"/>
      </w:pPr>
      <w:r>
        <w:t>Due to time constraints the following items were not discussed and will be carried over to the February 15-16, 2012</w:t>
      </w:r>
      <w:r w:rsidR="00B20E80">
        <w:t>,</w:t>
      </w:r>
      <w:r>
        <w:t xml:space="preserve"> meeting.</w:t>
      </w:r>
    </w:p>
    <w:p w:rsidR="00F50EC3" w:rsidRDefault="00F50EC3" w:rsidP="00700781">
      <w:pPr>
        <w:pStyle w:val="ListParagraph"/>
        <w:numPr>
          <w:ilvl w:val="0"/>
          <w:numId w:val="29"/>
        </w:numPr>
        <w:spacing w:after="120"/>
        <w:jc w:val="both"/>
      </w:pPr>
      <w:r>
        <w:t>Review Permanent Solution White Paper Outstanding Items</w:t>
      </w:r>
    </w:p>
    <w:p w:rsidR="00F50EC3" w:rsidRDefault="00F50EC3" w:rsidP="00700781">
      <w:pPr>
        <w:pStyle w:val="ListParagraph"/>
        <w:numPr>
          <w:ilvl w:val="0"/>
          <w:numId w:val="29"/>
        </w:numPr>
        <w:spacing w:after="120"/>
        <w:jc w:val="both"/>
      </w:pPr>
      <w:r w:rsidRPr="00F50EC3">
        <w:t>Effective/Termination Dates – Coordination Agreement – Action Item 74</w:t>
      </w:r>
    </w:p>
    <w:p w:rsidR="00F50EC3" w:rsidRDefault="00F50EC3" w:rsidP="00700781">
      <w:pPr>
        <w:pStyle w:val="ListParagraph"/>
        <w:numPr>
          <w:ilvl w:val="0"/>
          <w:numId w:val="29"/>
        </w:numPr>
        <w:spacing w:after="120"/>
        <w:jc w:val="both"/>
      </w:pPr>
      <w:r>
        <w:t>Remaining Comments</w:t>
      </w:r>
    </w:p>
    <w:p w:rsidR="00F50EC3" w:rsidRDefault="00F50EC3" w:rsidP="00700781">
      <w:pPr>
        <w:pStyle w:val="ListParagraph"/>
        <w:numPr>
          <w:ilvl w:val="0"/>
          <w:numId w:val="29"/>
        </w:numPr>
        <w:spacing w:after="120"/>
        <w:jc w:val="both"/>
      </w:pPr>
      <w:r w:rsidRPr="00F50EC3">
        <w:t>Categories of Individuals to Review IDC Parallel Test Data</w:t>
      </w:r>
    </w:p>
    <w:p w:rsidR="00C44C62" w:rsidRPr="009D1CB2" w:rsidRDefault="00C44C62" w:rsidP="00700781">
      <w:pPr>
        <w:keepLines/>
        <w:numPr>
          <w:ilvl w:val="0"/>
          <w:numId w:val="11"/>
        </w:numPr>
        <w:tabs>
          <w:tab w:val="num" w:pos="720"/>
          <w:tab w:val="left" w:pos="1440"/>
        </w:tabs>
        <w:spacing w:after="120"/>
        <w:ind w:left="0" w:firstLine="0"/>
        <w:jc w:val="both"/>
        <w:rPr>
          <w:b/>
          <w:bCs/>
        </w:rPr>
      </w:pPr>
      <w:r w:rsidRPr="009D1CB2">
        <w:rPr>
          <w:b/>
          <w:bCs/>
        </w:rPr>
        <w:t>Next Steps/</w:t>
      </w:r>
      <w:r w:rsidR="00141399">
        <w:rPr>
          <w:b/>
          <w:bCs/>
        </w:rPr>
        <w:t>Review Action Items</w:t>
      </w:r>
    </w:p>
    <w:p w:rsidR="00C44C62" w:rsidRPr="00F73EB5" w:rsidRDefault="00C44C62" w:rsidP="00700781">
      <w:pPr>
        <w:keepLines/>
        <w:tabs>
          <w:tab w:val="left" w:pos="1440"/>
        </w:tabs>
        <w:spacing w:after="120"/>
        <w:jc w:val="both"/>
      </w:pPr>
      <w:r>
        <w:t xml:space="preserve">The next meeting will be held at the </w:t>
      </w:r>
      <w:r w:rsidR="00E312F3">
        <w:t>OATI</w:t>
      </w:r>
      <w:r>
        <w:t xml:space="preserve"> office in </w:t>
      </w:r>
      <w:r w:rsidR="00E312F3">
        <w:t>Redwood Shores, CA</w:t>
      </w:r>
      <w:r>
        <w:t xml:space="preserve">, on </w:t>
      </w:r>
      <w:r w:rsidR="00E312F3">
        <w:t>February 15, 2012</w:t>
      </w:r>
      <w:r w:rsidR="00447707">
        <w:t>,</w:t>
      </w:r>
      <w:r w:rsidR="00E312F3">
        <w:t xml:space="preserve"> (7:30 – 3:00 P</w:t>
      </w:r>
      <w:r>
        <w:t xml:space="preserve">ST) and </w:t>
      </w:r>
      <w:r w:rsidR="00E312F3">
        <w:t>February 16, 2012</w:t>
      </w:r>
      <w:r w:rsidR="00447707">
        <w:t>,</w:t>
      </w:r>
      <w:r>
        <w:t xml:space="preserve"> (</w:t>
      </w:r>
      <w:r w:rsidR="007A6DE2">
        <w:t>7</w:t>
      </w:r>
      <w:r>
        <w:t>:</w:t>
      </w:r>
      <w:r w:rsidR="007A6DE2">
        <w:t>3</w:t>
      </w:r>
      <w:r>
        <w:t xml:space="preserve">0 – 3:00 </w:t>
      </w:r>
      <w:r w:rsidR="007A6DE2">
        <w:t>P</w:t>
      </w:r>
      <w:r>
        <w:t>ST).</w:t>
      </w:r>
      <w:r w:rsidR="005052D6">
        <w:t xml:space="preserve">  </w:t>
      </w:r>
    </w:p>
    <w:p w:rsidR="00C44C62" w:rsidRPr="00A651AC" w:rsidRDefault="00C44C62" w:rsidP="00700781">
      <w:pPr>
        <w:numPr>
          <w:ilvl w:val="0"/>
          <w:numId w:val="11"/>
        </w:numPr>
        <w:tabs>
          <w:tab w:val="num" w:pos="720"/>
          <w:tab w:val="left" w:pos="1440"/>
        </w:tabs>
        <w:spacing w:after="120"/>
        <w:ind w:left="0" w:firstLine="0"/>
        <w:jc w:val="both"/>
        <w:rPr>
          <w:b/>
          <w:bCs/>
        </w:rPr>
      </w:pPr>
      <w:r w:rsidRPr="00A651AC">
        <w:rPr>
          <w:b/>
          <w:bCs/>
        </w:rPr>
        <w:t>Adjourn</w:t>
      </w:r>
    </w:p>
    <w:p w:rsidR="00C44C62" w:rsidRDefault="00C44C62" w:rsidP="00700781">
      <w:pPr>
        <w:tabs>
          <w:tab w:val="left" w:pos="1440"/>
        </w:tabs>
        <w:spacing w:after="120"/>
        <w:jc w:val="both"/>
      </w:pPr>
      <w:r>
        <w:t xml:space="preserve">The </w:t>
      </w:r>
      <w:r w:rsidR="00546B08">
        <w:t xml:space="preserve">Mr. </w:t>
      </w:r>
      <w:r w:rsidR="00E312F3">
        <w:t>Saini</w:t>
      </w:r>
      <w:r w:rsidR="00546B08">
        <w:t xml:space="preserve"> made a motion to adjourn the mee</w:t>
      </w:r>
      <w:r w:rsidR="00DB34A1">
        <w:t xml:space="preserve">ting which was seconded by Mr. </w:t>
      </w:r>
      <w:r w:rsidR="00E312F3">
        <w:t>Erhardt</w:t>
      </w:r>
      <w:r w:rsidR="00546B08">
        <w:t>.  There was no objection</w:t>
      </w:r>
      <w:r w:rsidR="00DB34A1">
        <w:t>.</w:t>
      </w:r>
      <w:r w:rsidR="00546B08">
        <w:t xml:space="preserve"> </w:t>
      </w:r>
      <w:r w:rsidR="00DB34A1">
        <w:t>T</w:t>
      </w:r>
      <w:r w:rsidR="00546B08">
        <w:t>he meeting adjourned</w:t>
      </w:r>
      <w:r>
        <w:t xml:space="preserve"> at 2:</w:t>
      </w:r>
      <w:r w:rsidR="00E312F3">
        <w:t>53</w:t>
      </w:r>
      <w:r w:rsidR="0092715E">
        <w:t xml:space="preserve"> </w:t>
      </w:r>
      <w:r>
        <w:t xml:space="preserve">pm Central on </w:t>
      </w:r>
      <w:r w:rsidR="00E312F3">
        <w:t>January 19, 2012</w:t>
      </w:r>
      <w:r>
        <w:t>.</w:t>
      </w:r>
    </w:p>
    <w:p w:rsidR="00492BAD" w:rsidRPr="00700781" w:rsidRDefault="00C44C62" w:rsidP="00700781">
      <w:pPr>
        <w:keepNext/>
        <w:keepLines/>
        <w:numPr>
          <w:ilvl w:val="0"/>
          <w:numId w:val="11"/>
        </w:numPr>
        <w:tabs>
          <w:tab w:val="num" w:pos="720"/>
          <w:tab w:val="left" w:pos="1440"/>
        </w:tabs>
        <w:spacing w:before="120"/>
        <w:ind w:left="0" w:firstLine="0"/>
        <w:jc w:val="both"/>
        <w:rPr>
          <w:b/>
          <w:bCs/>
        </w:rPr>
      </w:pPr>
      <w:r w:rsidRPr="00A651AC">
        <w:rPr>
          <w:b/>
          <w:bCs/>
        </w:rPr>
        <w:lastRenderedPageBreak/>
        <w:t>Attendance</w:t>
      </w:r>
      <w:r>
        <w:rPr>
          <w:b/>
          <w:bCs/>
        </w:rPr>
        <w:t xml:space="preserve"> </w:t>
      </w:r>
    </w:p>
    <w:tbl>
      <w:tblPr>
        <w:tblW w:w="10368" w:type="dxa"/>
        <w:tblLayout w:type="fixed"/>
        <w:tblLook w:val="01E0" w:firstRow="1" w:lastRow="1" w:firstColumn="1" w:lastColumn="1" w:noHBand="0" w:noVBand="0"/>
      </w:tblPr>
      <w:tblGrid>
        <w:gridCol w:w="1998"/>
        <w:gridCol w:w="2430"/>
        <w:gridCol w:w="2970"/>
        <w:gridCol w:w="2970"/>
      </w:tblGrid>
      <w:tr w:rsidR="00700781" w:rsidRPr="00CC4A7E" w:rsidTr="00700781">
        <w:trPr>
          <w:tblHeader/>
        </w:trPr>
        <w:tc>
          <w:tcPr>
            <w:tcW w:w="1998" w:type="dxa"/>
          </w:tcPr>
          <w:p w:rsidR="00700781" w:rsidRPr="00CC4A7E" w:rsidRDefault="00700781" w:rsidP="00700781">
            <w:pPr>
              <w:keepNext/>
              <w:keepLines/>
              <w:tabs>
                <w:tab w:val="left" w:pos="720"/>
                <w:tab w:val="left" w:pos="1440"/>
              </w:tabs>
              <w:spacing w:before="120"/>
            </w:pPr>
            <w:r w:rsidRPr="00CC4A7E">
              <w:rPr>
                <w:b/>
                <w:bCs/>
              </w:rPr>
              <w:t>First Name</w:t>
            </w:r>
          </w:p>
        </w:tc>
        <w:tc>
          <w:tcPr>
            <w:tcW w:w="2430" w:type="dxa"/>
          </w:tcPr>
          <w:p w:rsidR="00700781" w:rsidRPr="00CC4A7E" w:rsidRDefault="00700781" w:rsidP="00700781">
            <w:pPr>
              <w:keepNext/>
              <w:keepLines/>
              <w:tabs>
                <w:tab w:val="left" w:pos="720"/>
                <w:tab w:val="left" w:pos="1440"/>
              </w:tabs>
              <w:spacing w:before="120"/>
              <w:rPr>
                <w:b/>
                <w:bCs/>
              </w:rPr>
            </w:pPr>
            <w:r w:rsidRPr="00CC4A7E">
              <w:rPr>
                <w:b/>
                <w:bCs/>
              </w:rPr>
              <w:t>Last Name</w:t>
            </w:r>
          </w:p>
        </w:tc>
        <w:tc>
          <w:tcPr>
            <w:tcW w:w="2970" w:type="dxa"/>
          </w:tcPr>
          <w:p w:rsidR="00700781" w:rsidRPr="00CC4A7E" w:rsidRDefault="00700781" w:rsidP="00700781">
            <w:pPr>
              <w:keepNext/>
              <w:keepLines/>
              <w:tabs>
                <w:tab w:val="left" w:pos="720"/>
                <w:tab w:val="left" w:pos="1440"/>
              </w:tabs>
              <w:spacing w:before="120"/>
            </w:pPr>
            <w:r w:rsidRPr="00CC4A7E">
              <w:rPr>
                <w:b/>
                <w:bCs/>
              </w:rPr>
              <w:t>Organization</w:t>
            </w:r>
          </w:p>
        </w:tc>
        <w:tc>
          <w:tcPr>
            <w:tcW w:w="2970" w:type="dxa"/>
          </w:tcPr>
          <w:p w:rsidR="00700781" w:rsidRPr="00CC4A7E" w:rsidRDefault="00700781" w:rsidP="00700781">
            <w:pPr>
              <w:keepNext/>
              <w:keepLines/>
              <w:tabs>
                <w:tab w:val="left" w:pos="720"/>
                <w:tab w:val="left" w:pos="1440"/>
              </w:tabs>
              <w:spacing w:before="120"/>
              <w:rPr>
                <w:b/>
                <w:bCs/>
              </w:rPr>
            </w:pPr>
          </w:p>
        </w:tc>
      </w:tr>
      <w:tr w:rsidR="00700781" w:rsidRPr="00CC4A7E" w:rsidTr="00700781">
        <w:tc>
          <w:tcPr>
            <w:tcW w:w="1998" w:type="dxa"/>
            <w:vAlign w:val="bottom"/>
          </w:tcPr>
          <w:p w:rsidR="00700781" w:rsidRDefault="00700781" w:rsidP="00700781">
            <w:pPr>
              <w:keepNext/>
              <w:keepLines/>
              <w:tabs>
                <w:tab w:val="left" w:pos="720"/>
                <w:tab w:val="left" w:pos="1440"/>
              </w:tabs>
              <w:spacing w:before="120"/>
            </w:pPr>
            <w:r>
              <w:t>Jack</w:t>
            </w:r>
          </w:p>
        </w:tc>
        <w:tc>
          <w:tcPr>
            <w:tcW w:w="2430" w:type="dxa"/>
          </w:tcPr>
          <w:p w:rsidR="00700781" w:rsidRDefault="00700781" w:rsidP="00700781">
            <w:pPr>
              <w:keepNext/>
              <w:keepLines/>
              <w:tabs>
                <w:tab w:val="left" w:pos="720"/>
                <w:tab w:val="left" w:pos="1440"/>
              </w:tabs>
              <w:spacing w:before="120"/>
            </w:pPr>
            <w:r>
              <w:t>Armstrong</w:t>
            </w:r>
          </w:p>
        </w:tc>
        <w:tc>
          <w:tcPr>
            <w:tcW w:w="2970" w:type="dxa"/>
            <w:vAlign w:val="bottom"/>
          </w:tcPr>
          <w:p w:rsidR="00700781" w:rsidRDefault="00700781" w:rsidP="00700781">
            <w:pPr>
              <w:keepNext/>
              <w:keepLines/>
              <w:tabs>
                <w:tab w:val="left" w:pos="720"/>
                <w:tab w:val="left" w:pos="1440"/>
              </w:tabs>
              <w:spacing w:before="120"/>
              <w:rPr>
                <w:bCs/>
              </w:rPr>
            </w:pPr>
            <w:r>
              <w:rPr>
                <w:bCs/>
              </w:rPr>
              <w:t>Progress Energy</w:t>
            </w:r>
          </w:p>
        </w:tc>
        <w:tc>
          <w:tcPr>
            <w:tcW w:w="2970" w:type="dxa"/>
          </w:tcPr>
          <w:p w:rsidR="00700781"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t>Daryn</w:t>
            </w:r>
          </w:p>
        </w:tc>
        <w:tc>
          <w:tcPr>
            <w:tcW w:w="2430" w:type="dxa"/>
          </w:tcPr>
          <w:p w:rsidR="00700781" w:rsidRPr="00CC4A7E" w:rsidRDefault="00700781" w:rsidP="00700781">
            <w:pPr>
              <w:keepNext/>
              <w:keepLines/>
              <w:tabs>
                <w:tab w:val="left" w:pos="720"/>
                <w:tab w:val="left" w:pos="1440"/>
              </w:tabs>
              <w:spacing w:before="120"/>
            </w:pPr>
            <w:r>
              <w:t>Barker</w:t>
            </w:r>
          </w:p>
        </w:tc>
        <w:tc>
          <w:tcPr>
            <w:tcW w:w="2970" w:type="dxa"/>
            <w:vAlign w:val="bottom"/>
          </w:tcPr>
          <w:p w:rsidR="00700781" w:rsidRPr="00CC4A7E" w:rsidRDefault="00700781" w:rsidP="00700781">
            <w:pPr>
              <w:keepNext/>
              <w:keepLines/>
              <w:tabs>
                <w:tab w:val="left" w:pos="720"/>
                <w:tab w:val="left" w:pos="1440"/>
              </w:tabs>
              <w:spacing w:before="120"/>
              <w:rPr>
                <w:bCs/>
              </w:rPr>
            </w:pPr>
            <w:r w:rsidRPr="001D0018">
              <w:rPr>
                <w:bCs/>
              </w:rPr>
              <w:t>LG&amp;E and KU Services</w:t>
            </w:r>
          </w:p>
        </w:tc>
        <w:tc>
          <w:tcPr>
            <w:tcW w:w="2970" w:type="dxa"/>
          </w:tcPr>
          <w:p w:rsidR="00700781" w:rsidRPr="001D0018"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rsidRPr="00CC4A7E">
              <w:t>Bert</w:t>
            </w:r>
          </w:p>
        </w:tc>
        <w:tc>
          <w:tcPr>
            <w:tcW w:w="2430" w:type="dxa"/>
          </w:tcPr>
          <w:p w:rsidR="00700781" w:rsidRPr="00CC4A7E" w:rsidRDefault="00700781" w:rsidP="00700781">
            <w:pPr>
              <w:keepNext/>
              <w:keepLines/>
              <w:tabs>
                <w:tab w:val="left" w:pos="720"/>
                <w:tab w:val="left" w:pos="1440"/>
              </w:tabs>
              <w:spacing w:before="120"/>
            </w:pPr>
            <w:r w:rsidRPr="00CC4A7E">
              <w:t>Bressers</w:t>
            </w:r>
          </w:p>
        </w:tc>
        <w:tc>
          <w:tcPr>
            <w:tcW w:w="2970" w:type="dxa"/>
            <w:vAlign w:val="bottom"/>
          </w:tcPr>
          <w:p w:rsidR="00700781" w:rsidRPr="00CC4A7E" w:rsidRDefault="00700781" w:rsidP="00700781">
            <w:pPr>
              <w:keepNext/>
              <w:keepLines/>
              <w:tabs>
                <w:tab w:val="left" w:pos="720"/>
                <w:tab w:val="left" w:pos="1440"/>
              </w:tabs>
              <w:spacing w:before="120"/>
              <w:rPr>
                <w:bCs/>
              </w:rPr>
            </w:pPr>
            <w:r w:rsidRPr="00CC4A7E">
              <w:rPr>
                <w:bCs/>
              </w:rPr>
              <w:t>SPP</w:t>
            </w:r>
          </w:p>
        </w:tc>
        <w:tc>
          <w:tcPr>
            <w:tcW w:w="2970" w:type="dxa"/>
          </w:tcPr>
          <w:p w:rsidR="00700781" w:rsidRPr="00CC4A7E"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rsidRPr="00CC4A7E">
              <w:t>Ernie</w:t>
            </w:r>
          </w:p>
        </w:tc>
        <w:tc>
          <w:tcPr>
            <w:tcW w:w="2430" w:type="dxa"/>
          </w:tcPr>
          <w:p w:rsidR="00700781" w:rsidRPr="00CC4A7E" w:rsidRDefault="00700781" w:rsidP="00700781">
            <w:pPr>
              <w:keepNext/>
              <w:keepLines/>
              <w:tabs>
                <w:tab w:val="left" w:pos="720"/>
                <w:tab w:val="left" w:pos="1440"/>
              </w:tabs>
              <w:spacing w:before="120"/>
            </w:pPr>
            <w:r w:rsidRPr="00CC4A7E">
              <w:t>Cardone</w:t>
            </w:r>
          </w:p>
        </w:tc>
        <w:tc>
          <w:tcPr>
            <w:tcW w:w="2970" w:type="dxa"/>
            <w:vAlign w:val="bottom"/>
          </w:tcPr>
          <w:p w:rsidR="00700781" w:rsidRPr="00CC4A7E" w:rsidRDefault="00700781" w:rsidP="00700781">
            <w:pPr>
              <w:keepNext/>
              <w:keepLines/>
              <w:tabs>
                <w:tab w:val="left" w:pos="720"/>
                <w:tab w:val="left" w:pos="1440"/>
              </w:tabs>
              <w:spacing w:before="120"/>
              <w:rPr>
                <w:bCs/>
              </w:rPr>
            </w:pPr>
            <w:r w:rsidRPr="00CC4A7E">
              <w:rPr>
                <w:bCs/>
              </w:rPr>
              <w:t>NYISO</w:t>
            </w:r>
          </w:p>
        </w:tc>
        <w:tc>
          <w:tcPr>
            <w:tcW w:w="2970" w:type="dxa"/>
          </w:tcPr>
          <w:p w:rsidR="00700781" w:rsidRPr="00CC4A7E"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rPr>
                <w:bCs/>
              </w:rPr>
            </w:pPr>
            <w:r>
              <w:t>Mike</w:t>
            </w:r>
          </w:p>
        </w:tc>
        <w:tc>
          <w:tcPr>
            <w:tcW w:w="2430" w:type="dxa"/>
          </w:tcPr>
          <w:p w:rsidR="00700781" w:rsidRPr="00CC4A7E" w:rsidRDefault="00700781" w:rsidP="00700781">
            <w:pPr>
              <w:keepNext/>
              <w:keepLines/>
              <w:tabs>
                <w:tab w:val="left" w:pos="720"/>
                <w:tab w:val="left" w:pos="1440"/>
              </w:tabs>
              <w:spacing w:before="120"/>
            </w:pPr>
            <w:r>
              <w:t>Colby</w:t>
            </w:r>
          </w:p>
        </w:tc>
        <w:tc>
          <w:tcPr>
            <w:tcW w:w="2970" w:type="dxa"/>
            <w:vAlign w:val="bottom"/>
          </w:tcPr>
          <w:p w:rsidR="00700781" w:rsidRPr="00CC4A7E" w:rsidRDefault="00700781" w:rsidP="00700781">
            <w:pPr>
              <w:keepNext/>
              <w:keepLines/>
              <w:tabs>
                <w:tab w:val="left" w:pos="720"/>
                <w:tab w:val="left" w:pos="1440"/>
              </w:tabs>
              <w:spacing w:before="120"/>
              <w:rPr>
                <w:bCs/>
              </w:rPr>
            </w:pPr>
            <w:r>
              <w:t>PJM</w:t>
            </w:r>
          </w:p>
        </w:tc>
        <w:tc>
          <w:tcPr>
            <w:tcW w:w="2970" w:type="dxa"/>
          </w:tcPr>
          <w:p w:rsidR="00700781" w:rsidRDefault="00700781" w:rsidP="00700781">
            <w:pPr>
              <w:keepNext/>
              <w:keepLines/>
              <w:tabs>
                <w:tab w:val="left" w:pos="720"/>
                <w:tab w:val="left" w:pos="1440"/>
              </w:tabs>
              <w:spacing w:before="120"/>
            </w:pPr>
            <w:r>
              <w:t>In Person</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t>Cory</w:t>
            </w:r>
          </w:p>
        </w:tc>
        <w:tc>
          <w:tcPr>
            <w:tcW w:w="2430" w:type="dxa"/>
          </w:tcPr>
          <w:p w:rsidR="00700781" w:rsidRPr="00CC4A7E" w:rsidRDefault="00700781" w:rsidP="00700781">
            <w:pPr>
              <w:keepNext/>
              <w:keepLines/>
              <w:tabs>
                <w:tab w:val="left" w:pos="720"/>
                <w:tab w:val="left" w:pos="1440"/>
              </w:tabs>
              <w:spacing w:before="120"/>
            </w:pPr>
            <w:r>
              <w:t>Cummings</w:t>
            </w:r>
          </w:p>
        </w:tc>
        <w:tc>
          <w:tcPr>
            <w:tcW w:w="2970" w:type="dxa"/>
            <w:vAlign w:val="bottom"/>
          </w:tcPr>
          <w:p w:rsidR="00700781" w:rsidRPr="00CC4A7E" w:rsidRDefault="00700781" w:rsidP="00700781">
            <w:pPr>
              <w:keepNext/>
              <w:keepLines/>
              <w:tabs>
                <w:tab w:val="left" w:pos="720"/>
                <w:tab w:val="left" w:pos="1440"/>
              </w:tabs>
              <w:spacing w:before="120"/>
              <w:rPr>
                <w:bCs/>
              </w:rPr>
            </w:pPr>
            <w:r>
              <w:rPr>
                <w:bCs/>
              </w:rPr>
              <w:t>NAESB</w:t>
            </w:r>
          </w:p>
        </w:tc>
        <w:tc>
          <w:tcPr>
            <w:tcW w:w="2970" w:type="dxa"/>
          </w:tcPr>
          <w:p w:rsidR="00700781"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rsidRPr="00CC4A7E">
              <w:t>Blaine</w:t>
            </w:r>
          </w:p>
        </w:tc>
        <w:tc>
          <w:tcPr>
            <w:tcW w:w="2430" w:type="dxa"/>
          </w:tcPr>
          <w:p w:rsidR="00700781" w:rsidRPr="00CC4A7E" w:rsidRDefault="00700781" w:rsidP="00700781">
            <w:pPr>
              <w:keepNext/>
              <w:keepLines/>
              <w:tabs>
                <w:tab w:val="left" w:pos="720"/>
                <w:tab w:val="left" w:pos="1440"/>
              </w:tabs>
              <w:spacing w:before="120"/>
            </w:pPr>
            <w:r w:rsidRPr="00CC4A7E">
              <w:t>Erhardt</w:t>
            </w:r>
          </w:p>
        </w:tc>
        <w:tc>
          <w:tcPr>
            <w:tcW w:w="2970" w:type="dxa"/>
            <w:vAlign w:val="bottom"/>
          </w:tcPr>
          <w:p w:rsidR="00700781" w:rsidRPr="00CC4A7E" w:rsidRDefault="00700781" w:rsidP="00700781">
            <w:pPr>
              <w:keepNext/>
              <w:keepLines/>
              <w:tabs>
                <w:tab w:val="left" w:pos="720"/>
                <w:tab w:val="left" w:pos="1440"/>
              </w:tabs>
              <w:spacing w:before="120"/>
              <w:rPr>
                <w:bCs/>
              </w:rPr>
            </w:pPr>
            <w:r w:rsidRPr="00CC4A7E">
              <w:rPr>
                <w:bCs/>
              </w:rPr>
              <w:t>Basin Electric</w:t>
            </w:r>
          </w:p>
        </w:tc>
        <w:tc>
          <w:tcPr>
            <w:tcW w:w="2970" w:type="dxa"/>
          </w:tcPr>
          <w:p w:rsidR="00700781" w:rsidRPr="00CC4A7E"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Default="00700781" w:rsidP="00700781">
            <w:pPr>
              <w:keepNext/>
              <w:keepLines/>
              <w:tabs>
                <w:tab w:val="left" w:pos="720"/>
                <w:tab w:val="left" w:pos="1440"/>
              </w:tabs>
              <w:spacing w:before="120"/>
            </w:pPr>
            <w:r>
              <w:t>Shah</w:t>
            </w:r>
          </w:p>
        </w:tc>
        <w:tc>
          <w:tcPr>
            <w:tcW w:w="2430" w:type="dxa"/>
          </w:tcPr>
          <w:p w:rsidR="00700781" w:rsidRDefault="00700781" w:rsidP="00700781">
            <w:pPr>
              <w:keepNext/>
              <w:keepLines/>
              <w:tabs>
                <w:tab w:val="left" w:pos="720"/>
                <w:tab w:val="left" w:pos="1440"/>
              </w:tabs>
              <w:spacing w:before="120"/>
            </w:pPr>
            <w:r>
              <w:t>Hossain</w:t>
            </w:r>
          </w:p>
        </w:tc>
        <w:tc>
          <w:tcPr>
            <w:tcW w:w="2970" w:type="dxa"/>
            <w:vAlign w:val="bottom"/>
          </w:tcPr>
          <w:p w:rsidR="00700781" w:rsidRDefault="00700781" w:rsidP="00700781">
            <w:pPr>
              <w:keepNext/>
              <w:keepLines/>
              <w:tabs>
                <w:tab w:val="left" w:pos="720"/>
                <w:tab w:val="left" w:pos="1440"/>
              </w:tabs>
              <w:spacing w:before="120"/>
              <w:rPr>
                <w:bCs/>
              </w:rPr>
            </w:pPr>
            <w:r>
              <w:rPr>
                <w:bCs/>
              </w:rPr>
              <w:t>Westar Energy</w:t>
            </w:r>
          </w:p>
        </w:tc>
        <w:tc>
          <w:tcPr>
            <w:tcW w:w="2970" w:type="dxa"/>
          </w:tcPr>
          <w:p w:rsidR="00700781"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Default="00700781" w:rsidP="00700781">
            <w:pPr>
              <w:keepNext/>
              <w:keepLines/>
              <w:tabs>
                <w:tab w:val="left" w:pos="720"/>
                <w:tab w:val="left" w:pos="1440"/>
              </w:tabs>
              <w:spacing w:before="120"/>
            </w:pPr>
            <w:r>
              <w:t>Alan</w:t>
            </w:r>
          </w:p>
        </w:tc>
        <w:tc>
          <w:tcPr>
            <w:tcW w:w="2430" w:type="dxa"/>
          </w:tcPr>
          <w:p w:rsidR="00700781" w:rsidRDefault="00700781" w:rsidP="00700781">
            <w:pPr>
              <w:keepNext/>
              <w:keepLines/>
              <w:tabs>
                <w:tab w:val="left" w:pos="720"/>
                <w:tab w:val="left" w:pos="1440"/>
              </w:tabs>
              <w:spacing w:before="120"/>
            </w:pPr>
            <w:r>
              <w:t>Johnson</w:t>
            </w:r>
          </w:p>
        </w:tc>
        <w:tc>
          <w:tcPr>
            <w:tcW w:w="2970" w:type="dxa"/>
            <w:vAlign w:val="bottom"/>
          </w:tcPr>
          <w:p w:rsidR="00700781" w:rsidRDefault="00700781" w:rsidP="00700781">
            <w:pPr>
              <w:keepNext/>
              <w:keepLines/>
              <w:tabs>
                <w:tab w:val="left" w:pos="720"/>
                <w:tab w:val="left" w:pos="1440"/>
              </w:tabs>
              <w:spacing w:before="120"/>
              <w:rPr>
                <w:bCs/>
              </w:rPr>
            </w:pPr>
            <w:r>
              <w:rPr>
                <w:bCs/>
              </w:rPr>
              <w:t>NRG</w:t>
            </w:r>
          </w:p>
        </w:tc>
        <w:tc>
          <w:tcPr>
            <w:tcW w:w="2970" w:type="dxa"/>
          </w:tcPr>
          <w:p w:rsidR="00700781"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Default="00700781" w:rsidP="00700781">
            <w:pPr>
              <w:keepNext/>
              <w:keepLines/>
              <w:tabs>
                <w:tab w:val="left" w:pos="720"/>
                <w:tab w:val="left" w:pos="1440"/>
              </w:tabs>
              <w:spacing w:before="120"/>
            </w:pPr>
            <w:r>
              <w:t>Shannon</w:t>
            </w:r>
          </w:p>
        </w:tc>
        <w:tc>
          <w:tcPr>
            <w:tcW w:w="2430" w:type="dxa"/>
          </w:tcPr>
          <w:p w:rsidR="00700781" w:rsidRDefault="00700781" w:rsidP="00700781">
            <w:pPr>
              <w:keepNext/>
              <w:keepLines/>
              <w:tabs>
                <w:tab w:val="left" w:pos="720"/>
                <w:tab w:val="left" w:pos="1440"/>
              </w:tabs>
              <w:spacing w:before="120"/>
            </w:pPr>
            <w:r>
              <w:t>Jones</w:t>
            </w:r>
          </w:p>
        </w:tc>
        <w:tc>
          <w:tcPr>
            <w:tcW w:w="2970" w:type="dxa"/>
            <w:vAlign w:val="bottom"/>
          </w:tcPr>
          <w:p w:rsidR="00700781" w:rsidRDefault="00700781" w:rsidP="00700781">
            <w:pPr>
              <w:keepNext/>
              <w:keepLines/>
              <w:tabs>
                <w:tab w:val="left" w:pos="720"/>
                <w:tab w:val="left" w:pos="1440"/>
              </w:tabs>
              <w:spacing w:before="120"/>
              <w:rPr>
                <w:bCs/>
              </w:rPr>
            </w:pPr>
            <w:r>
              <w:rPr>
                <w:bCs/>
              </w:rPr>
              <w:t>Manitoba Hydro</w:t>
            </w:r>
          </w:p>
        </w:tc>
        <w:tc>
          <w:tcPr>
            <w:tcW w:w="2970" w:type="dxa"/>
          </w:tcPr>
          <w:p w:rsidR="00700781"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t>Larry</w:t>
            </w:r>
          </w:p>
        </w:tc>
        <w:tc>
          <w:tcPr>
            <w:tcW w:w="2430" w:type="dxa"/>
          </w:tcPr>
          <w:p w:rsidR="00700781" w:rsidRPr="00CC4A7E" w:rsidRDefault="00700781" w:rsidP="00700781">
            <w:pPr>
              <w:keepNext/>
              <w:keepLines/>
              <w:tabs>
                <w:tab w:val="left" w:pos="720"/>
                <w:tab w:val="left" w:pos="1440"/>
              </w:tabs>
              <w:spacing w:before="120"/>
            </w:pPr>
            <w:r>
              <w:t>Kezele</w:t>
            </w:r>
          </w:p>
        </w:tc>
        <w:tc>
          <w:tcPr>
            <w:tcW w:w="2970" w:type="dxa"/>
            <w:vAlign w:val="bottom"/>
          </w:tcPr>
          <w:p w:rsidR="00700781" w:rsidRDefault="00700781" w:rsidP="00700781">
            <w:pPr>
              <w:keepNext/>
              <w:keepLines/>
              <w:tabs>
                <w:tab w:val="left" w:pos="720"/>
                <w:tab w:val="left" w:pos="1440"/>
              </w:tabs>
              <w:spacing w:before="120"/>
            </w:pPr>
            <w:r>
              <w:t>NERC</w:t>
            </w:r>
          </w:p>
        </w:tc>
        <w:tc>
          <w:tcPr>
            <w:tcW w:w="2970" w:type="dxa"/>
          </w:tcPr>
          <w:p w:rsidR="00700781" w:rsidRDefault="00700781" w:rsidP="00700781">
            <w:pPr>
              <w:keepNext/>
              <w:keepLines/>
              <w:tabs>
                <w:tab w:val="left" w:pos="720"/>
                <w:tab w:val="left" w:pos="1440"/>
              </w:tabs>
              <w:spacing w:before="120"/>
            </w:pPr>
            <w: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rsidRPr="00CC4A7E">
              <w:t>Tom</w:t>
            </w:r>
          </w:p>
        </w:tc>
        <w:tc>
          <w:tcPr>
            <w:tcW w:w="2430" w:type="dxa"/>
          </w:tcPr>
          <w:p w:rsidR="00700781" w:rsidRPr="00CC4A7E" w:rsidRDefault="00700781" w:rsidP="00700781">
            <w:pPr>
              <w:keepNext/>
              <w:keepLines/>
              <w:tabs>
                <w:tab w:val="left" w:pos="720"/>
                <w:tab w:val="left" w:pos="1440"/>
              </w:tabs>
              <w:spacing w:before="120"/>
            </w:pPr>
            <w:r w:rsidRPr="00CC4A7E">
              <w:t>Mallinger</w:t>
            </w:r>
          </w:p>
        </w:tc>
        <w:tc>
          <w:tcPr>
            <w:tcW w:w="2970" w:type="dxa"/>
            <w:vAlign w:val="bottom"/>
          </w:tcPr>
          <w:p w:rsidR="00700781" w:rsidRPr="00CC4A7E" w:rsidRDefault="00700781" w:rsidP="00700781">
            <w:pPr>
              <w:keepNext/>
              <w:keepLines/>
              <w:tabs>
                <w:tab w:val="left" w:pos="720"/>
                <w:tab w:val="left" w:pos="1440"/>
              </w:tabs>
              <w:spacing w:before="120"/>
            </w:pPr>
            <w:r>
              <w:t>M</w:t>
            </w:r>
            <w:r w:rsidRPr="00CC4A7E">
              <w:t>ISO</w:t>
            </w:r>
          </w:p>
        </w:tc>
        <w:tc>
          <w:tcPr>
            <w:tcW w:w="2970" w:type="dxa"/>
          </w:tcPr>
          <w:p w:rsidR="00700781" w:rsidRDefault="00700781" w:rsidP="00700781">
            <w:pPr>
              <w:keepNext/>
              <w:keepLines/>
              <w:tabs>
                <w:tab w:val="left" w:pos="720"/>
                <w:tab w:val="left" w:pos="1440"/>
              </w:tabs>
              <w:spacing w:before="120"/>
            </w:pPr>
            <w:r>
              <w:t>In Person</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rPr>
                <w:bCs/>
              </w:rPr>
            </w:pPr>
            <w:r w:rsidRPr="00CC4A7E">
              <w:rPr>
                <w:bCs/>
              </w:rPr>
              <w:t>James</w:t>
            </w:r>
          </w:p>
        </w:tc>
        <w:tc>
          <w:tcPr>
            <w:tcW w:w="2430" w:type="dxa"/>
          </w:tcPr>
          <w:p w:rsidR="00700781" w:rsidRPr="00CC4A7E" w:rsidRDefault="00700781" w:rsidP="00700781">
            <w:pPr>
              <w:keepNext/>
              <w:keepLines/>
              <w:tabs>
                <w:tab w:val="left" w:pos="720"/>
                <w:tab w:val="left" w:pos="1440"/>
              </w:tabs>
              <w:spacing w:before="120"/>
              <w:rPr>
                <w:bCs/>
              </w:rPr>
            </w:pPr>
            <w:r w:rsidRPr="00CC4A7E">
              <w:rPr>
                <w:bCs/>
              </w:rPr>
              <w:t>Manning</w:t>
            </w:r>
          </w:p>
        </w:tc>
        <w:tc>
          <w:tcPr>
            <w:tcW w:w="2970" w:type="dxa"/>
            <w:vAlign w:val="bottom"/>
          </w:tcPr>
          <w:p w:rsidR="00700781" w:rsidRPr="00CC4A7E" w:rsidRDefault="00700781" w:rsidP="00700781">
            <w:pPr>
              <w:keepNext/>
              <w:keepLines/>
              <w:tabs>
                <w:tab w:val="left" w:pos="720"/>
                <w:tab w:val="left" w:pos="1440"/>
              </w:tabs>
              <w:spacing w:before="120"/>
              <w:rPr>
                <w:bCs/>
              </w:rPr>
            </w:pPr>
            <w:r w:rsidRPr="00CC4A7E">
              <w:rPr>
                <w:bCs/>
              </w:rPr>
              <w:t>NCEMC</w:t>
            </w:r>
          </w:p>
        </w:tc>
        <w:tc>
          <w:tcPr>
            <w:tcW w:w="2970" w:type="dxa"/>
          </w:tcPr>
          <w:p w:rsidR="00700781" w:rsidRPr="00CC4A7E"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rsidRPr="00CC4A7E">
              <w:t xml:space="preserve">Nelson </w:t>
            </w:r>
          </w:p>
        </w:tc>
        <w:tc>
          <w:tcPr>
            <w:tcW w:w="2430" w:type="dxa"/>
          </w:tcPr>
          <w:p w:rsidR="00700781" w:rsidRPr="00CC4A7E" w:rsidRDefault="00700781" w:rsidP="00700781">
            <w:pPr>
              <w:keepNext/>
              <w:keepLines/>
              <w:tabs>
                <w:tab w:val="left" w:pos="720"/>
                <w:tab w:val="left" w:pos="1440"/>
              </w:tabs>
              <w:spacing w:before="120"/>
            </w:pPr>
            <w:r w:rsidRPr="00CC4A7E">
              <w:t>Muller</w:t>
            </w:r>
          </w:p>
        </w:tc>
        <w:tc>
          <w:tcPr>
            <w:tcW w:w="2970" w:type="dxa"/>
            <w:vAlign w:val="bottom"/>
          </w:tcPr>
          <w:p w:rsidR="00700781" w:rsidRPr="00CC4A7E" w:rsidRDefault="00700781" w:rsidP="00700781">
            <w:pPr>
              <w:keepNext/>
              <w:keepLines/>
              <w:tabs>
                <w:tab w:val="left" w:pos="720"/>
                <w:tab w:val="left" w:pos="1440"/>
              </w:tabs>
              <w:spacing w:before="120"/>
              <w:rPr>
                <w:bCs/>
              </w:rPr>
            </w:pPr>
            <w:r w:rsidRPr="00CC4A7E">
              <w:rPr>
                <w:bCs/>
              </w:rPr>
              <w:t>OATI</w:t>
            </w:r>
          </w:p>
        </w:tc>
        <w:tc>
          <w:tcPr>
            <w:tcW w:w="2970" w:type="dxa"/>
          </w:tcPr>
          <w:p w:rsidR="00700781" w:rsidRPr="00CC4A7E" w:rsidRDefault="00700781" w:rsidP="00700781">
            <w:pPr>
              <w:keepNext/>
              <w:keepLines/>
              <w:tabs>
                <w:tab w:val="left" w:pos="720"/>
                <w:tab w:val="left" w:pos="1440"/>
              </w:tabs>
              <w:spacing w:before="120"/>
              <w:rPr>
                <w:bCs/>
              </w:rPr>
            </w:pPr>
            <w:r>
              <w:rPr>
                <w:bCs/>
              </w:rPr>
              <w:t>In Person</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t>Gail</w:t>
            </w:r>
          </w:p>
        </w:tc>
        <w:tc>
          <w:tcPr>
            <w:tcW w:w="2430" w:type="dxa"/>
          </w:tcPr>
          <w:p w:rsidR="00700781" w:rsidRPr="00CC4A7E" w:rsidRDefault="00700781" w:rsidP="00700781">
            <w:pPr>
              <w:keepNext/>
              <w:keepLines/>
              <w:tabs>
                <w:tab w:val="left" w:pos="720"/>
                <w:tab w:val="left" w:pos="1440"/>
              </w:tabs>
              <w:spacing w:before="120"/>
            </w:pPr>
            <w:r>
              <w:t>Parker</w:t>
            </w:r>
          </w:p>
        </w:tc>
        <w:tc>
          <w:tcPr>
            <w:tcW w:w="2970" w:type="dxa"/>
            <w:vAlign w:val="bottom"/>
          </w:tcPr>
          <w:p w:rsidR="00700781" w:rsidRPr="00CC4A7E" w:rsidRDefault="00700781" w:rsidP="00700781">
            <w:pPr>
              <w:keepNext/>
              <w:keepLines/>
              <w:tabs>
                <w:tab w:val="left" w:pos="720"/>
                <w:tab w:val="left" w:pos="1440"/>
              </w:tabs>
              <w:spacing w:before="120"/>
            </w:pPr>
            <w:r>
              <w:t>MISO</w:t>
            </w:r>
          </w:p>
        </w:tc>
        <w:tc>
          <w:tcPr>
            <w:tcW w:w="2970" w:type="dxa"/>
          </w:tcPr>
          <w:p w:rsidR="00700781" w:rsidRDefault="00700781" w:rsidP="00700781">
            <w:pPr>
              <w:keepNext/>
              <w:keepLines/>
              <w:tabs>
                <w:tab w:val="left" w:pos="720"/>
                <w:tab w:val="left" w:pos="1440"/>
              </w:tabs>
              <w:spacing w:before="120"/>
            </w:pPr>
            <w: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rsidRPr="00CC4A7E">
              <w:t>Alan</w:t>
            </w:r>
          </w:p>
        </w:tc>
        <w:tc>
          <w:tcPr>
            <w:tcW w:w="2430" w:type="dxa"/>
          </w:tcPr>
          <w:p w:rsidR="00700781" w:rsidRPr="00CC4A7E" w:rsidRDefault="00700781" w:rsidP="00700781">
            <w:pPr>
              <w:keepNext/>
              <w:keepLines/>
              <w:tabs>
                <w:tab w:val="left" w:pos="720"/>
                <w:tab w:val="left" w:pos="1440"/>
              </w:tabs>
              <w:spacing w:before="120"/>
            </w:pPr>
            <w:r w:rsidRPr="00CC4A7E">
              <w:t>Pritchard</w:t>
            </w:r>
          </w:p>
        </w:tc>
        <w:tc>
          <w:tcPr>
            <w:tcW w:w="2970" w:type="dxa"/>
            <w:vAlign w:val="bottom"/>
          </w:tcPr>
          <w:p w:rsidR="00700781" w:rsidRPr="00CC4A7E" w:rsidRDefault="00700781" w:rsidP="00700781">
            <w:pPr>
              <w:keepNext/>
              <w:keepLines/>
              <w:tabs>
                <w:tab w:val="left" w:pos="720"/>
                <w:tab w:val="left" w:pos="1440"/>
              </w:tabs>
              <w:spacing w:before="120"/>
            </w:pPr>
            <w:r w:rsidRPr="00CC4A7E">
              <w:t>Duke Energy</w:t>
            </w:r>
          </w:p>
        </w:tc>
        <w:tc>
          <w:tcPr>
            <w:tcW w:w="2970" w:type="dxa"/>
          </w:tcPr>
          <w:p w:rsidR="00700781" w:rsidRPr="00CC4A7E" w:rsidRDefault="00700781" w:rsidP="00700781">
            <w:pPr>
              <w:keepNext/>
              <w:keepLines/>
              <w:tabs>
                <w:tab w:val="left" w:pos="720"/>
                <w:tab w:val="left" w:pos="1440"/>
              </w:tabs>
              <w:spacing w:before="120"/>
            </w:pPr>
            <w: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rPr>
                <w:bCs/>
              </w:rPr>
            </w:pPr>
            <w:r>
              <w:rPr>
                <w:bCs/>
              </w:rPr>
              <w:t>Don</w:t>
            </w:r>
          </w:p>
        </w:tc>
        <w:tc>
          <w:tcPr>
            <w:tcW w:w="2430" w:type="dxa"/>
          </w:tcPr>
          <w:p w:rsidR="00700781" w:rsidRPr="00CC4A7E" w:rsidRDefault="00700781" w:rsidP="00700781">
            <w:pPr>
              <w:keepNext/>
              <w:keepLines/>
              <w:tabs>
                <w:tab w:val="left" w:pos="720"/>
                <w:tab w:val="left" w:pos="1440"/>
              </w:tabs>
              <w:spacing w:before="120"/>
              <w:rPr>
                <w:bCs/>
              </w:rPr>
            </w:pPr>
            <w:r>
              <w:rPr>
                <w:bCs/>
              </w:rPr>
              <w:t>Reichenbach</w:t>
            </w:r>
          </w:p>
        </w:tc>
        <w:tc>
          <w:tcPr>
            <w:tcW w:w="2970" w:type="dxa"/>
            <w:vAlign w:val="bottom"/>
          </w:tcPr>
          <w:p w:rsidR="00700781" w:rsidRPr="00CC4A7E" w:rsidRDefault="00700781" w:rsidP="00700781">
            <w:pPr>
              <w:keepNext/>
              <w:keepLines/>
              <w:tabs>
                <w:tab w:val="left" w:pos="720"/>
                <w:tab w:val="left" w:pos="1440"/>
              </w:tabs>
              <w:spacing w:before="120"/>
              <w:rPr>
                <w:bCs/>
              </w:rPr>
            </w:pPr>
            <w:r>
              <w:rPr>
                <w:bCs/>
              </w:rPr>
              <w:t>Duke Energy</w:t>
            </w:r>
          </w:p>
        </w:tc>
        <w:tc>
          <w:tcPr>
            <w:tcW w:w="2970" w:type="dxa"/>
          </w:tcPr>
          <w:p w:rsidR="00700781" w:rsidRDefault="00700781" w:rsidP="00700781">
            <w:pPr>
              <w:keepNext/>
              <w:keepLines/>
              <w:tabs>
                <w:tab w:val="left" w:pos="720"/>
                <w:tab w:val="left" w:pos="1440"/>
              </w:tabs>
              <w:spacing w:before="120"/>
              <w:rPr>
                <w:bCs/>
              </w:rPr>
            </w:pPr>
            <w:r>
              <w:rPr>
                <w:bCs/>
              </w:rPr>
              <w:t>By Phone</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t>Narinder</w:t>
            </w:r>
          </w:p>
        </w:tc>
        <w:tc>
          <w:tcPr>
            <w:tcW w:w="2430" w:type="dxa"/>
          </w:tcPr>
          <w:p w:rsidR="00700781" w:rsidRPr="00CC4A7E" w:rsidRDefault="00700781" w:rsidP="00700781">
            <w:pPr>
              <w:keepNext/>
              <w:keepLines/>
              <w:tabs>
                <w:tab w:val="left" w:pos="720"/>
                <w:tab w:val="left" w:pos="1440"/>
              </w:tabs>
              <w:spacing w:before="120"/>
            </w:pPr>
            <w:r>
              <w:t>Saini</w:t>
            </w:r>
          </w:p>
        </w:tc>
        <w:tc>
          <w:tcPr>
            <w:tcW w:w="2970" w:type="dxa"/>
            <w:vAlign w:val="bottom"/>
          </w:tcPr>
          <w:p w:rsidR="00700781" w:rsidRDefault="00700781" w:rsidP="00700781">
            <w:pPr>
              <w:keepNext/>
              <w:keepLines/>
              <w:tabs>
                <w:tab w:val="left" w:pos="720"/>
                <w:tab w:val="left" w:pos="1440"/>
              </w:tabs>
              <w:spacing w:before="120"/>
            </w:pPr>
            <w:r>
              <w:t>Entergy</w:t>
            </w:r>
          </w:p>
        </w:tc>
        <w:tc>
          <w:tcPr>
            <w:tcW w:w="2970" w:type="dxa"/>
          </w:tcPr>
          <w:p w:rsidR="00700781" w:rsidRDefault="00700781" w:rsidP="00700781">
            <w:pPr>
              <w:keepNext/>
              <w:keepLines/>
              <w:tabs>
                <w:tab w:val="left" w:pos="720"/>
                <w:tab w:val="left" w:pos="1440"/>
              </w:tabs>
              <w:spacing w:before="120"/>
            </w:pPr>
            <w:r>
              <w:t>In Person</w:t>
            </w:r>
          </w:p>
        </w:tc>
      </w:tr>
      <w:tr w:rsidR="00700781" w:rsidRPr="00CC4A7E" w:rsidTr="00700781">
        <w:tc>
          <w:tcPr>
            <w:tcW w:w="1998" w:type="dxa"/>
            <w:vAlign w:val="bottom"/>
          </w:tcPr>
          <w:p w:rsidR="00700781" w:rsidRPr="00CC4A7E" w:rsidRDefault="00700781" w:rsidP="00700781">
            <w:pPr>
              <w:keepNext/>
              <w:keepLines/>
              <w:tabs>
                <w:tab w:val="left" w:pos="720"/>
                <w:tab w:val="left" w:pos="1440"/>
              </w:tabs>
              <w:spacing w:before="120"/>
            </w:pPr>
            <w:r w:rsidRPr="00CC4A7E">
              <w:t>Ed</w:t>
            </w:r>
          </w:p>
        </w:tc>
        <w:tc>
          <w:tcPr>
            <w:tcW w:w="2430" w:type="dxa"/>
          </w:tcPr>
          <w:p w:rsidR="00700781" w:rsidRPr="00CC4A7E" w:rsidRDefault="00700781" w:rsidP="00700781">
            <w:pPr>
              <w:keepNext/>
              <w:keepLines/>
              <w:tabs>
                <w:tab w:val="left" w:pos="720"/>
                <w:tab w:val="left" w:pos="1440"/>
              </w:tabs>
              <w:spacing w:before="120"/>
            </w:pPr>
            <w:r w:rsidRPr="00CC4A7E">
              <w:t>Skiba</w:t>
            </w:r>
          </w:p>
        </w:tc>
        <w:tc>
          <w:tcPr>
            <w:tcW w:w="2970" w:type="dxa"/>
            <w:vAlign w:val="bottom"/>
          </w:tcPr>
          <w:p w:rsidR="00700781" w:rsidRPr="00CC4A7E" w:rsidRDefault="00700781" w:rsidP="00700781">
            <w:pPr>
              <w:keepNext/>
              <w:keepLines/>
              <w:tabs>
                <w:tab w:val="left" w:pos="720"/>
                <w:tab w:val="left" w:pos="1440"/>
              </w:tabs>
              <w:spacing w:before="120"/>
            </w:pPr>
            <w:r>
              <w:t>M</w:t>
            </w:r>
            <w:r w:rsidRPr="00CC4A7E">
              <w:t>ISO</w:t>
            </w:r>
          </w:p>
        </w:tc>
        <w:tc>
          <w:tcPr>
            <w:tcW w:w="2970" w:type="dxa"/>
          </w:tcPr>
          <w:p w:rsidR="00700781" w:rsidRDefault="00700781" w:rsidP="00700781">
            <w:pPr>
              <w:keepNext/>
              <w:keepLines/>
              <w:tabs>
                <w:tab w:val="left" w:pos="720"/>
                <w:tab w:val="left" w:pos="1440"/>
              </w:tabs>
              <w:spacing w:before="120"/>
            </w:pPr>
            <w:r>
              <w:t>In Person</w:t>
            </w:r>
          </w:p>
        </w:tc>
      </w:tr>
      <w:tr w:rsidR="00700781" w:rsidRPr="00CC4A7E" w:rsidTr="00700781">
        <w:tc>
          <w:tcPr>
            <w:tcW w:w="1998" w:type="dxa"/>
            <w:vAlign w:val="bottom"/>
          </w:tcPr>
          <w:p w:rsidR="00700781" w:rsidRDefault="00700781" w:rsidP="00700781">
            <w:pPr>
              <w:keepNext/>
              <w:keepLines/>
              <w:tabs>
                <w:tab w:val="left" w:pos="720"/>
                <w:tab w:val="left" w:pos="1440"/>
              </w:tabs>
              <w:spacing w:before="120"/>
            </w:pPr>
            <w:r>
              <w:t>Caroline</w:t>
            </w:r>
          </w:p>
        </w:tc>
        <w:tc>
          <w:tcPr>
            <w:tcW w:w="2430" w:type="dxa"/>
          </w:tcPr>
          <w:p w:rsidR="00700781" w:rsidRDefault="00700781" w:rsidP="00700781">
            <w:pPr>
              <w:keepNext/>
              <w:keepLines/>
              <w:tabs>
                <w:tab w:val="left" w:pos="720"/>
                <w:tab w:val="left" w:pos="1440"/>
              </w:tabs>
              <w:spacing w:before="120"/>
            </w:pPr>
            <w:r>
              <w:t>Trum</w:t>
            </w:r>
          </w:p>
        </w:tc>
        <w:tc>
          <w:tcPr>
            <w:tcW w:w="2970" w:type="dxa"/>
            <w:vAlign w:val="bottom"/>
          </w:tcPr>
          <w:p w:rsidR="00700781" w:rsidRDefault="00700781" w:rsidP="00700781">
            <w:pPr>
              <w:keepNext/>
              <w:keepLines/>
              <w:tabs>
                <w:tab w:val="left" w:pos="720"/>
                <w:tab w:val="left" w:pos="1440"/>
              </w:tabs>
              <w:spacing w:before="120"/>
            </w:pPr>
            <w:r>
              <w:t>NAESB</w:t>
            </w:r>
          </w:p>
        </w:tc>
        <w:tc>
          <w:tcPr>
            <w:tcW w:w="2970" w:type="dxa"/>
          </w:tcPr>
          <w:p w:rsidR="00700781" w:rsidRDefault="00700781" w:rsidP="00700781">
            <w:pPr>
              <w:keepNext/>
              <w:keepLines/>
              <w:tabs>
                <w:tab w:val="left" w:pos="720"/>
                <w:tab w:val="left" w:pos="1440"/>
              </w:tabs>
              <w:spacing w:before="120"/>
            </w:pPr>
            <w:r>
              <w:t>In Person</w:t>
            </w:r>
          </w:p>
        </w:tc>
      </w:tr>
      <w:tr w:rsidR="00700781" w:rsidRPr="00CC4A7E" w:rsidTr="00700781">
        <w:tc>
          <w:tcPr>
            <w:tcW w:w="1998" w:type="dxa"/>
            <w:vAlign w:val="bottom"/>
          </w:tcPr>
          <w:p w:rsidR="00700781" w:rsidRDefault="00700781" w:rsidP="00700781">
            <w:pPr>
              <w:keepNext/>
              <w:keepLines/>
              <w:tabs>
                <w:tab w:val="left" w:pos="720"/>
                <w:tab w:val="left" w:pos="1440"/>
              </w:tabs>
              <w:spacing w:before="120"/>
            </w:pPr>
            <w:r>
              <w:t>JT</w:t>
            </w:r>
          </w:p>
        </w:tc>
        <w:tc>
          <w:tcPr>
            <w:tcW w:w="2430" w:type="dxa"/>
          </w:tcPr>
          <w:p w:rsidR="00700781" w:rsidRDefault="00700781" w:rsidP="00700781">
            <w:pPr>
              <w:keepNext/>
              <w:keepLines/>
              <w:tabs>
                <w:tab w:val="left" w:pos="720"/>
                <w:tab w:val="left" w:pos="1440"/>
              </w:tabs>
              <w:spacing w:before="120"/>
            </w:pPr>
            <w:r>
              <w:t>Wood</w:t>
            </w:r>
          </w:p>
        </w:tc>
        <w:tc>
          <w:tcPr>
            <w:tcW w:w="2970" w:type="dxa"/>
            <w:vAlign w:val="bottom"/>
          </w:tcPr>
          <w:p w:rsidR="00700781" w:rsidRDefault="00700781" w:rsidP="00700781">
            <w:pPr>
              <w:keepNext/>
              <w:keepLines/>
              <w:tabs>
                <w:tab w:val="left" w:pos="720"/>
                <w:tab w:val="left" w:pos="1440"/>
              </w:tabs>
              <w:spacing w:before="120"/>
            </w:pPr>
            <w:r>
              <w:t>Southern Company</w:t>
            </w:r>
          </w:p>
        </w:tc>
        <w:tc>
          <w:tcPr>
            <w:tcW w:w="2970" w:type="dxa"/>
          </w:tcPr>
          <w:p w:rsidR="00700781" w:rsidRDefault="00700781" w:rsidP="00700781">
            <w:pPr>
              <w:keepNext/>
              <w:keepLines/>
              <w:tabs>
                <w:tab w:val="left" w:pos="720"/>
                <w:tab w:val="left" w:pos="1440"/>
              </w:tabs>
              <w:spacing w:before="120"/>
            </w:pPr>
            <w:r>
              <w:t>By Phone</w:t>
            </w:r>
          </w:p>
        </w:tc>
      </w:tr>
    </w:tbl>
    <w:p w:rsidR="00C44C62" w:rsidRPr="000E5855" w:rsidRDefault="00C44C62" w:rsidP="00BF404B">
      <w:pPr>
        <w:tabs>
          <w:tab w:val="left" w:pos="1440"/>
        </w:tabs>
        <w:spacing w:before="120"/>
        <w:jc w:val="both"/>
      </w:pPr>
    </w:p>
    <w:sectPr w:rsidR="00C44C62" w:rsidRPr="000E5855" w:rsidSect="00BA3C01">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92" w:rsidRDefault="00C96992">
      <w:r>
        <w:separator/>
      </w:r>
    </w:p>
  </w:endnote>
  <w:endnote w:type="continuationSeparator" w:id="0">
    <w:p w:rsidR="00C96992" w:rsidRDefault="00C9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62" w:rsidRPr="00176FB9" w:rsidRDefault="00C44C62" w:rsidP="005E6421">
    <w:pPr>
      <w:pStyle w:val="Footer"/>
      <w:pBdr>
        <w:top w:val="single" w:sz="12" w:space="1" w:color="auto"/>
      </w:pBdr>
      <w:jc w:val="right"/>
      <w:rPr>
        <w:sz w:val="18"/>
        <w:szCs w:val="18"/>
      </w:rPr>
    </w:pPr>
    <w:r>
      <w:rPr>
        <w:sz w:val="18"/>
        <w:szCs w:val="18"/>
      </w:rPr>
      <w:t xml:space="preserve">WEQ BPS Meeting </w:t>
    </w:r>
    <w:r w:rsidR="00C50AF6">
      <w:rPr>
        <w:sz w:val="18"/>
        <w:szCs w:val="18"/>
      </w:rPr>
      <w:t>Draft</w:t>
    </w:r>
    <w:r w:rsidR="00090B36">
      <w:rPr>
        <w:sz w:val="18"/>
        <w:szCs w:val="18"/>
      </w:rPr>
      <w:t xml:space="preserve"> </w:t>
    </w:r>
    <w:r>
      <w:rPr>
        <w:sz w:val="18"/>
        <w:szCs w:val="18"/>
      </w:rPr>
      <w:t xml:space="preserve">Meeting Minutes </w:t>
    </w:r>
    <w:r w:rsidRPr="00176FB9">
      <w:rPr>
        <w:sz w:val="18"/>
        <w:szCs w:val="18"/>
      </w:rPr>
      <w:t>–</w:t>
    </w:r>
    <w:r>
      <w:rPr>
        <w:sz w:val="18"/>
        <w:szCs w:val="18"/>
      </w:rPr>
      <w:t xml:space="preserve"> </w:t>
    </w:r>
    <w:r w:rsidR="00A434FF">
      <w:rPr>
        <w:sz w:val="18"/>
        <w:szCs w:val="18"/>
      </w:rPr>
      <w:t>January 18-19, 2012</w:t>
    </w:r>
  </w:p>
  <w:p w:rsidR="00C44C62" w:rsidRPr="00176FB9" w:rsidRDefault="00C44C62" w:rsidP="005E6421">
    <w:pPr>
      <w:pStyle w:val="Footer"/>
      <w:pBdr>
        <w:top w:val="single" w:sz="12" w:space="1" w:color="auto"/>
      </w:pBdr>
      <w:jc w:val="right"/>
      <w:rPr>
        <w:sz w:val="18"/>
        <w:szCs w:val="18"/>
      </w:rPr>
    </w:pPr>
    <w:r w:rsidRPr="00176FB9">
      <w:rPr>
        <w:sz w:val="18"/>
        <w:szCs w:val="18"/>
      </w:rPr>
      <w:t xml:space="preserve">Page </w:t>
    </w:r>
    <w:r w:rsidR="003F4612" w:rsidRPr="00176FB9">
      <w:rPr>
        <w:sz w:val="18"/>
        <w:szCs w:val="18"/>
      </w:rPr>
      <w:fldChar w:fldCharType="begin"/>
    </w:r>
    <w:r w:rsidRPr="00176FB9">
      <w:rPr>
        <w:sz w:val="18"/>
        <w:szCs w:val="18"/>
      </w:rPr>
      <w:instrText xml:space="preserve"> PAGE </w:instrText>
    </w:r>
    <w:r w:rsidR="003F4612" w:rsidRPr="00176FB9">
      <w:rPr>
        <w:sz w:val="18"/>
        <w:szCs w:val="18"/>
      </w:rPr>
      <w:fldChar w:fldCharType="separate"/>
    </w:r>
    <w:r w:rsidR="006059F4">
      <w:rPr>
        <w:noProof/>
        <w:sz w:val="18"/>
        <w:szCs w:val="18"/>
      </w:rPr>
      <w:t>2</w:t>
    </w:r>
    <w:r w:rsidR="003F4612"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92" w:rsidRDefault="00C96992">
      <w:r>
        <w:separator/>
      </w:r>
    </w:p>
  </w:footnote>
  <w:footnote w:type="continuationSeparator" w:id="0">
    <w:p w:rsidR="00C96992" w:rsidRDefault="00C96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62" w:rsidRPr="00D65256" w:rsidRDefault="006059F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C62" w:rsidRDefault="00C44C62"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C44C62" w:rsidRDefault="00C44C62"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44C62" w:rsidRPr="00D65256" w:rsidRDefault="00C44C62" w:rsidP="005E6421">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rsidR="00C44C62" w:rsidRPr="00D65256" w:rsidRDefault="00C44C62" w:rsidP="005E642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C44C62" w:rsidRPr="00D65256" w:rsidRDefault="00C44C62" w:rsidP="005E6421">
    <w:pPr>
      <w:pStyle w:val="Header"/>
      <w:ind w:left="1800"/>
      <w:jc w:val="right"/>
    </w:pPr>
    <w:r w:rsidRPr="00D65256">
      <w:t>Phone:  (713) 356-0060, Fax:  (713) 356-0067, E-mail: naesb@naesb.org</w:t>
    </w:r>
  </w:p>
  <w:p w:rsidR="00C44C62" w:rsidRPr="00D65256" w:rsidRDefault="00C44C62"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rsidR="00C44C62" w:rsidRDefault="00C44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2">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3">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4">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4774EF8"/>
    <w:multiLevelType w:val="singleLevel"/>
    <w:tmpl w:val="095A1290"/>
    <w:lvl w:ilvl="0">
      <w:start w:val="1"/>
      <w:numFmt w:val="decimal"/>
      <w:lvlText w:val="%1."/>
      <w:lvlJc w:val="left"/>
      <w:pPr>
        <w:tabs>
          <w:tab w:val="num" w:pos="1620"/>
        </w:tabs>
        <w:ind w:left="1620" w:hanging="720"/>
      </w:pPr>
      <w:rPr>
        <w:rFonts w:ascii="Times New Roman" w:hAnsi="Times New Roman" w:cs="Times New Roman" w:hint="default"/>
        <w:b/>
        <w:bCs/>
      </w:rPr>
    </w:lvl>
  </w:abstractNum>
  <w:abstractNum w:abstractNumId="17">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18">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5">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9"/>
  </w:num>
  <w:num w:numId="4">
    <w:abstractNumId w:val="26"/>
  </w:num>
  <w:num w:numId="5">
    <w:abstractNumId w:val="5"/>
  </w:num>
  <w:num w:numId="6">
    <w:abstractNumId w:val="21"/>
  </w:num>
  <w:num w:numId="7">
    <w:abstractNumId w:val="4"/>
  </w:num>
  <w:num w:numId="8">
    <w:abstractNumId w:val="7"/>
  </w:num>
  <w:num w:numId="9">
    <w:abstractNumId w:val="8"/>
  </w:num>
  <w:num w:numId="10">
    <w:abstractNumId w:val="1"/>
  </w:num>
  <w:num w:numId="11">
    <w:abstractNumId w:val="16"/>
  </w:num>
  <w:num w:numId="12">
    <w:abstractNumId w:val="3"/>
  </w:num>
  <w:num w:numId="13">
    <w:abstractNumId w:val="9"/>
  </w:num>
  <w:num w:numId="14">
    <w:abstractNumId w:val="12"/>
  </w:num>
  <w:num w:numId="15">
    <w:abstractNumId w:val="6"/>
  </w:num>
  <w:num w:numId="16">
    <w:abstractNumId w:val="0"/>
  </w:num>
  <w:num w:numId="17">
    <w:abstractNumId w:val="29"/>
  </w:num>
  <w:num w:numId="18">
    <w:abstractNumId w:val="15"/>
  </w:num>
  <w:num w:numId="1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17"/>
  </w:num>
  <w:num w:numId="23">
    <w:abstractNumId w:val="23"/>
  </w:num>
  <w:num w:numId="24">
    <w:abstractNumId w:val="24"/>
  </w:num>
  <w:num w:numId="25">
    <w:abstractNumId w:val="13"/>
  </w:num>
  <w:num w:numId="26">
    <w:abstractNumId w:val="22"/>
  </w:num>
  <w:num w:numId="27">
    <w:abstractNumId w:val="14"/>
  </w:num>
  <w:num w:numId="28">
    <w:abstractNumId w:val="2"/>
  </w:num>
  <w:num w:numId="29">
    <w:abstractNumId w:val="18"/>
  </w:num>
  <w:num w:numId="30">
    <w:abstractNumId w:val="2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90A"/>
    <w:rsid w:val="00001E4D"/>
    <w:rsid w:val="0000218E"/>
    <w:rsid w:val="00002296"/>
    <w:rsid w:val="000024E3"/>
    <w:rsid w:val="00002E7A"/>
    <w:rsid w:val="000037A4"/>
    <w:rsid w:val="00003876"/>
    <w:rsid w:val="00003C82"/>
    <w:rsid w:val="00004070"/>
    <w:rsid w:val="000040B6"/>
    <w:rsid w:val="00004690"/>
    <w:rsid w:val="0000474B"/>
    <w:rsid w:val="00004C89"/>
    <w:rsid w:val="000052FC"/>
    <w:rsid w:val="000057BF"/>
    <w:rsid w:val="000058A2"/>
    <w:rsid w:val="00005BA6"/>
    <w:rsid w:val="00005C21"/>
    <w:rsid w:val="00006C11"/>
    <w:rsid w:val="000072ED"/>
    <w:rsid w:val="00007D51"/>
    <w:rsid w:val="000112D8"/>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41F"/>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338E"/>
    <w:rsid w:val="00043B01"/>
    <w:rsid w:val="0004445F"/>
    <w:rsid w:val="00044C68"/>
    <w:rsid w:val="00044D66"/>
    <w:rsid w:val="00045060"/>
    <w:rsid w:val="00045261"/>
    <w:rsid w:val="0004533E"/>
    <w:rsid w:val="000455E6"/>
    <w:rsid w:val="0004593A"/>
    <w:rsid w:val="00045A0D"/>
    <w:rsid w:val="0004671A"/>
    <w:rsid w:val="000469AD"/>
    <w:rsid w:val="0004796D"/>
    <w:rsid w:val="0005026A"/>
    <w:rsid w:val="0005039D"/>
    <w:rsid w:val="0005107C"/>
    <w:rsid w:val="00051699"/>
    <w:rsid w:val="00051C74"/>
    <w:rsid w:val="0005211D"/>
    <w:rsid w:val="000526F0"/>
    <w:rsid w:val="000527B9"/>
    <w:rsid w:val="0005322C"/>
    <w:rsid w:val="000533BB"/>
    <w:rsid w:val="00053B47"/>
    <w:rsid w:val="00053C1E"/>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A00"/>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223"/>
    <w:rsid w:val="0008455F"/>
    <w:rsid w:val="000845C1"/>
    <w:rsid w:val="00084C51"/>
    <w:rsid w:val="00085003"/>
    <w:rsid w:val="000851AA"/>
    <w:rsid w:val="00085628"/>
    <w:rsid w:val="0008587B"/>
    <w:rsid w:val="0008591E"/>
    <w:rsid w:val="00085CDA"/>
    <w:rsid w:val="00085F66"/>
    <w:rsid w:val="00086D7F"/>
    <w:rsid w:val="0008771D"/>
    <w:rsid w:val="000908B4"/>
    <w:rsid w:val="00090B36"/>
    <w:rsid w:val="00091AE3"/>
    <w:rsid w:val="00091BA9"/>
    <w:rsid w:val="00091BB0"/>
    <w:rsid w:val="00091FEF"/>
    <w:rsid w:val="000922F2"/>
    <w:rsid w:val="00092BAD"/>
    <w:rsid w:val="00092D5A"/>
    <w:rsid w:val="000930C1"/>
    <w:rsid w:val="00093C27"/>
    <w:rsid w:val="000941A7"/>
    <w:rsid w:val="000941CD"/>
    <w:rsid w:val="000941F1"/>
    <w:rsid w:val="00094215"/>
    <w:rsid w:val="00094BF5"/>
    <w:rsid w:val="00095160"/>
    <w:rsid w:val="000956E0"/>
    <w:rsid w:val="000961B4"/>
    <w:rsid w:val="000964D9"/>
    <w:rsid w:val="0009710D"/>
    <w:rsid w:val="0009781D"/>
    <w:rsid w:val="0009789E"/>
    <w:rsid w:val="000A0146"/>
    <w:rsid w:val="000A04B0"/>
    <w:rsid w:val="000A057E"/>
    <w:rsid w:val="000A0798"/>
    <w:rsid w:val="000A104E"/>
    <w:rsid w:val="000A143B"/>
    <w:rsid w:val="000A200B"/>
    <w:rsid w:val="000A23B0"/>
    <w:rsid w:val="000A2886"/>
    <w:rsid w:val="000A2AFE"/>
    <w:rsid w:val="000A2D8F"/>
    <w:rsid w:val="000A320C"/>
    <w:rsid w:val="000A3357"/>
    <w:rsid w:val="000A33FD"/>
    <w:rsid w:val="000A423A"/>
    <w:rsid w:val="000A42B4"/>
    <w:rsid w:val="000A4E66"/>
    <w:rsid w:val="000A5599"/>
    <w:rsid w:val="000A5EAD"/>
    <w:rsid w:val="000A65EC"/>
    <w:rsid w:val="000A687C"/>
    <w:rsid w:val="000A6F0A"/>
    <w:rsid w:val="000A733E"/>
    <w:rsid w:val="000A73B8"/>
    <w:rsid w:val="000A742A"/>
    <w:rsid w:val="000A748D"/>
    <w:rsid w:val="000A7C16"/>
    <w:rsid w:val="000B0109"/>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E0"/>
    <w:rsid w:val="000B5C32"/>
    <w:rsid w:val="000B5FF2"/>
    <w:rsid w:val="000B65DD"/>
    <w:rsid w:val="000B667C"/>
    <w:rsid w:val="000B7252"/>
    <w:rsid w:val="000B75B8"/>
    <w:rsid w:val="000B7E5D"/>
    <w:rsid w:val="000C0049"/>
    <w:rsid w:val="000C1380"/>
    <w:rsid w:val="000C1872"/>
    <w:rsid w:val="000C1C75"/>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66B"/>
    <w:rsid w:val="000D5749"/>
    <w:rsid w:val="000D5B0A"/>
    <w:rsid w:val="000D68F5"/>
    <w:rsid w:val="000D6E68"/>
    <w:rsid w:val="000D784F"/>
    <w:rsid w:val="000D7BD8"/>
    <w:rsid w:val="000D7C83"/>
    <w:rsid w:val="000D7E0F"/>
    <w:rsid w:val="000E01F5"/>
    <w:rsid w:val="000E04D0"/>
    <w:rsid w:val="000E062D"/>
    <w:rsid w:val="000E06DA"/>
    <w:rsid w:val="000E0AD3"/>
    <w:rsid w:val="000E0FF0"/>
    <w:rsid w:val="000E12EB"/>
    <w:rsid w:val="000E1CDD"/>
    <w:rsid w:val="000E27BD"/>
    <w:rsid w:val="000E2BEC"/>
    <w:rsid w:val="000E42B6"/>
    <w:rsid w:val="000E49B3"/>
    <w:rsid w:val="000E5855"/>
    <w:rsid w:val="000E5AEE"/>
    <w:rsid w:val="000E5D90"/>
    <w:rsid w:val="000E72D4"/>
    <w:rsid w:val="000E72EB"/>
    <w:rsid w:val="000E77F7"/>
    <w:rsid w:val="000F021F"/>
    <w:rsid w:val="000F038B"/>
    <w:rsid w:val="000F09C1"/>
    <w:rsid w:val="000F1112"/>
    <w:rsid w:val="000F1445"/>
    <w:rsid w:val="000F162B"/>
    <w:rsid w:val="000F1634"/>
    <w:rsid w:val="000F20BC"/>
    <w:rsid w:val="000F2138"/>
    <w:rsid w:val="000F21E4"/>
    <w:rsid w:val="000F2AAC"/>
    <w:rsid w:val="000F2E6C"/>
    <w:rsid w:val="000F42BA"/>
    <w:rsid w:val="000F4B6E"/>
    <w:rsid w:val="000F5001"/>
    <w:rsid w:val="000F564C"/>
    <w:rsid w:val="000F5D6E"/>
    <w:rsid w:val="000F5F4A"/>
    <w:rsid w:val="000F61E7"/>
    <w:rsid w:val="000F64C7"/>
    <w:rsid w:val="000F6592"/>
    <w:rsid w:val="000F6886"/>
    <w:rsid w:val="000F7D5B"/>
    <w:rsid w:val="000F7EF4"/>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FB"/>
    <w:rsid w:val="001101BC"/>
    <w:rsid w:val="0011031C"/>
    <w:rsid w:val="00110C97"/>
    <w:rsid w:val="00111155"/>
    <w:rsid w:val="0011160F"/>
    <w:rsid w:val="00111642"/>
    <w:rsid w:val="001116A0"/>
    <w:rsid w:val="00111703"/>
    <w:rsid w:val="00111CB8"/>
    <w:rsid w:val="001122B0"/>
    <w:rsid w:val="001128ED"/>
    <w:rsid w:val="00112ADB"/>
    <w:rsid w:val="00112FA0"/>
    <w:rsid w:val="001133EC"/>
    <w:rsid w:val="00113809"/>
    <w:rsid w:val="00113954"/>
    <w:rsid w:val="00113AFB"/>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3D57"/>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E00"/>
    <w:rsid w:val="001312BB"/>
    <w:rsid w:val="00131731"/>
    <w:rsid w:val="00131AE7"/>
    <w:rsid w:val="001320D0"/>
    <w:rsid w:val="001320D1"/>
    <w:rsid w:val="00132334"/>
    <w:rsid w:val="00132347"/>
    <w:rsid w:val="0013256A"/>
    <w:rsid w:val="00132C51"/>
    <w:rsid w:val="00133CA5"/>
    <w:rsid w:val="00134BD7"/>
    <w:rsid w:val="001356A0"/>
    <w:rsid w:val="00135AE5"/>
    <w:rsid w:val="00135B46"/>
    <w:rsid w:val="001361EF"/>
    <w:rsid w:val="00136446"/>
    <w:rsid w:val="00137671"/>
    <w:rsid w:val="0013775F"/>
    <w:rsid w:val="00137913"/>
    <w:rsid w:val="0014011C"/>
    <w:rsid w:val="001404CC"/>
    <w:rsid w:val="001404F6"/>
    <w:rsid w:val="00141135"/>
    <w:rsid w:val="00141399"/>
    <w:rsid w:val="00141581"/>
    <w:rsid w:val="00141831"/>
    <w:rsid w:val="00141874"/>
    <w:rsid w:val="00141A05"/>
    <w:rsid w:val="00142494"/>
    <w:rsid w:val="0014337B"/>
    <w:rsid w:val="001437FA"/>
    <w:rsid w:val="00144C65"/>
    <w:rsid w:val="001452D0"/>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6D49"/>
    <w:rsid w:val="001576D9"/>
    <w:rsid w:val="00157A4C"/>
    <w:rsid w:val="001600B9"/>
    <w:rsid w:val="00160360"/>
    <w:rsid w:val="00160447"/>
    <w:rsid w:val="00160F0B"/>
    <w:rsid w:val="001610BF"/>
    <w:rsid w:val="001611C6"/>
    <w:rsid w:val="00161A17"/>
    <w:rsid w:val="00161BF4"/>
    <w:rsid w:val="0016203E"/>
    <w:rsid w:val="0016303D"/>
    <w:rsid w:val="00163484"/>
    <w:rsid w:val="001648EF"/>
    <w:rsid w:val="00165747"/>
    <w:rsid w:val="00165B42"/>
    <w:rsid w:val="00165F0C"/>
    <w:rsid w:val="001663A2"/>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238"/>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006"/>
    <w:rsid w:val="0018213C"/>
    <w:rsid w:val="0018268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C5"/>
    <w:rsid w:val="00190EF9"/>
    <w:rsid w:val="00190FC1"/>
    <w:rsid w:val="001911D4"/>
    <w:rsid w:val="00191213"/>
    <w:rsid w:val="001918AB"/>
    <w:rsid w:val="001918EB"/>
    <w:rsid w:val="001921E7"/>
    <w:rsid w:val="00192B17"/>
    <w:rsid w:val="00192F91"/>
    <w:rsid w:val="001932DE"/>
    <w:rsid w:val="00193D90"/>
    <w:rsid w:val="00194506"/>
    <w:rsid w:val="00194B85"/>
    <w:rsid w:val="00194F14"/>
    <w:rsid w:val="00195082"/>
    <w:rsid w:val="00195286"/>
    <w:rsid w:val="00195A3B"/>
    <w:rsid w:val="00196B92"/>
    <w:rsid w:val="00196CAB"/>
    <w:rsid w:val="00196EBC"/>
    <w:rsid w:val="00197323"/>
    <w:rsid w:val="001A0087"/>
    <w:rsid w:val="001A00CC"/>
    <w:rsid w:val="001A0ACF"/>
    <w:rsid w:val="001A0B47"/>
    <w:rsid w:val="001A0EE5"/>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463"/>
    <w:rsid w:val="001B0785"/>
    <w:rsid w:val="001B0F25"/>
    <w:rsid w:val="001B1224"/>
    <w:rsid w:val="001B1DA4"/>
    <w:rsid w:val="001B2067"/>
    <w:rsid w:val="001B22BA"/>
    <w:rsid w:val="001B278F"/>
    <w:rsid w:val="001B29BC"/>
    <w:rsid w:val="001B2F75"/>
    <w:rsid w:val="001B301E"/>
    <w:rsid w:val="001B314E"/>
    <w:rsid w:val="001B378E"/>
    <w:rsid w:val="001B382E"/>
    <w:rsid w:val="001B3EBA"/>
    <w:rsid w:val="001B51B4"/>
    <w:rsid w:val="001B57F0"/>
    <w:rsid w:val="001B5957"/>
    <w:rsid w:val="001B5BCE"/>
    <w:rsid w:val="001B65B8"/>
    <w:rsid w:val="001B678D"/>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3FC"/>
    <w:rsid w:val="001C67C6"/>
    <w:rsid w:val="001C6D2B"/>
    <w:rsid w:val="001C6E91"/>
    <w:rsid w:val="001C7069"/>
    <w:rsid w:val="001C742B"/>
    <w:rsid w:val="001C762F"/>
    <w:rsid w:val="001C783E"/>
    <w:rsid w:val="001D0018"/>
    <w:rsid w:val="001D084D"/>
    <w:rsid w:val="001D0FE6"/>
    <w:rsid w:val="001D1207"/>
    <w:rsid w:val="001D18CA"/>
    <w:rsid w:val="001D1E3D"/>
    <w:rsid w:val="001D23A3"/>
    <w:rsid w:val="001D29AC"/>
    <w:rsid w:val="001D32D0"/>
    <w:rsid w:val="001D333B"/>
    <w:rsid w:val="001D3639"/>
    <w:rsid w:val="001D36D2"/>
    <w:rsid w:val="001D3AAF"/>
    <w:rsid w:val="001D401E"/>
    <w:rsid w:val="001D4144"/>
    <w:rsid w:val="001D452A"/>
    <w:rsid w:val="001D45A7"/>
    <w:rsid w:val="001D5136"/>
    <w:rsid w:val="001D5CDE"/>
    <w:rsid w:val="001D72BE"/>
    <w:rsid w:val="001D79FA"/>
    <w:rsid w:val="001E03D0"/>
    <w:rsid w:val="001E2744"/>
    <w:rsid w:val="001E28E6"/>
    <w:rsid w:val="001E2D68"/>
    <w:rsid w:val="001E2F4B"/>
    <w:rsid w:val="001E2FD7"/>
    <w:rsid w:val="001E337E"/>
    <w:rsid w:val="001E349C"/>
    <w:rsid w:val="001E364D"/>
    <w:rsid w:val="001E3B1A"/>
    <w:rsid w:val="001E44D2"/>
    <w:rsid w:val="001E474B"/>
    <w:rsid w:val="001E4CBD"/>
    <w:rsid w:val="001E4E8F"/>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D72"/>
    <w:rsid w:val="001F4F12"/>
    <w:rsid w:val="001F55A4"/>
    <w:rsid w:val="001F5A2B"/>
    <w:rsid w:val="001F745D"/>
    <w:rsid w:val="001F7596"/>
    <w:rsid w:val="001F75B8"/>
    <w:rsid w:val="001F777C"/>
    <w:rsid w:val="00200904"/>
    <w:rsid w:val="00200BDB"/>
    <w:rsid w:val="00200CB0"/>
    <w:rsid w:val="00201E2F"/>
    <w:rsid w:val="00202492"/>
    <w:rsid w:val="00202623"/>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73E6"/>
    <w:rsid w:val="00207DF7"/>
    <w:rsid w:val="00210279"/>
    <w:rsid w:val="00210BF3"/>
    <w:rsid w:val="00210C59"/>
    <w:rsid w:val="00210C72"/>
    <w:rsid w:val="00210E58"/>
    <w:rsid w:val="00211936"/>
    <w:rsid w:val="0021195C"/>
    <w:rsid w:val="0021210E"/>
    <w:rsid w:val="002122D3"/>
    <w:rsid w:val="00212810"/>
    <w:rsid w:val="00212C0A"/>
    <w:rsid w:val="0021300A"/>
    <w:rsid w:val="002133B3"/>
    <w:rsid w:val="002138EF"/>
    <w:rsid w:val="00213959"/>
    <w:rsid w:val="00213A73"/>
    <w:rsid w:val="002142B3"/>
    <w:rsid w:val="00214860"/>
    <w:rsid w:val="00214D58"/>
    <w:rsid w:val="00215859"/>
    <w:rsid w:val="00216859"/>
    <w:rsid w:val="00216C56"/>
    <w:rsid w:val="00217156"/>
    <w:rsid w:val="002174E8"/>
    <w:rsid w:val="00217550"/>
    <w:rsid w:val="00217BD4"/>
    <w:rsid w:val="00220230"/>
    <w:rsid w:val="00220310"/>
    <w:rsid w:val="002207B3"/>
    <w:rsid w:val="00220860"/>
    <w:rsid w:val="002208C5"/>
    <w:rsid w:val="00220930"/>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6E6"/>
    <w:rsid w:val="00230E93"/>
    <w:rsid w:val="00231171"/>
    <w:rsid w:val="002315BF"/>
    <w:rsid w:val="00231B35"/>
    <w:rsid w:val="00231C87"/>
    <w:rsid w:val="0023227F"/>
    <w:rsid w:val="00232A09"/>
    <w:rsid w:val="00232FEC"/>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1BB"/>
    <w:rsid w:val="002404B0"/>
    <w:rsid w:val="00240671"/>
    <w:rsid w:val="002407D1"/>
    <w:rsid w:val="00240E48"/>
    <w:rsid w:val="00240FC9"/>
    <w:rsid w:val="0024120E"/>
    <w:rsid w:val="0024146C"/>
    <w:rsid w:val="00241FE6"/>
    <w:rsid w:val="00242586"/>
    <w:rsid w:val="0024258A"/>
    <w:rsid w:val="0024276A"/>
    <w:rsid w:val="002427AD"/>
    <w:rsid w:val="0024385A"/>
    <w:rsid w:val="00243D62"/>
    <w:rsid w:val="002443E8"/>
    <w:rsid w:val="002445F1"/>
    <w:rsid w:val="00244637"/>
    <w:rsid w:val="0024467D"/>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747"/>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C95"/>
    <w:rsid w:val="00264D69"/>
    <w:rsid w:val="00264E30"/>
    <w:rsid w:val="00264FD6"/>
    <w:rsid w:val="002651AF"/>
    <w:rsid w:val="0026552E"/>
    <w:rsid w:val="00265A2C"/>
    <w:rsid w:val="00270678"/>
    <w:rsid w:val="00270953"/>
    <w:rsid w:val="00270A9A"/>
    <w:rsid w:val="00270BC1"/>
    <w:rsid w:val="00270C0A"/>
    <w:rsid w:val="0027145D"/>
    <w:rsid w:val="002717C0"/>
    <w:rsid w:val="0027181B"/>
    <w:rsid w:val="002737AB"/>
    <w:rsid w:val="00274529"/>
    <w:rsid w:val="00274747"/>
    <w:rsid w:val="002747AA"/>
    <w:rsid w:val="0027485C"/>
    <w:rsid w:val="00275EFA"/>
    <w:rsid w:val="002768FF"/>
    <w:rsid w:val="00276FEF"/>
    <w:rsid w:val="00277328"/>
    <w:rsid w:val="00277DA5"/>
    <w:rsid w:val="00277F0F"/>
    <w:rsid w:val="002802B5"/>
    <w:rsid w:val="002804E6"/>
    <w:rsid w:val="002805CC"/>
    <w:rsid w:val="00280BEF"/>
    <w:rsid w:val="00280F65"/>
    <w:rsid w:val="00281705"/>
    <w:rsid w:val="00281762"/>
    <w:rsid w:val="00281EBE"/>
    <w:rsid w:val="00282785"/>
    <w:rsid w:val="00282814"/>
    <w:rsid w:val="00282EB5"/>
    <w:rsid w:val="00283155"/>
    <w:rsid w:val="00283686"/>
    <w:rsid w:val="00283E62"/>
    <w:rsid w:val="00284AC3"/>
    <w:rsid w:val="00284BE6"/>
    <w:rsid w:val="00286441"/>
    <w:rsid w:val="00286D54"/>
    <w:rsid w:val="0028737B"/>
    <w:rsid w:val="002873E8"/>
    <w:rsid w:val="0028793F"/>
    <w:rsid w:val="00287B52"/>
    <w:rsid w:val="00287D17"/>
    <w:rsid w:val="002906D7"/>
    <w:rsid w:val="0029078A"/>
    <w:rsid w:val="002908C8"/>
    <w:rsid w:val="00291599"/>
    <w:rsid w:val="002916EF"/>
    <w:rsid w:val="00293A4F"/>
    <w:rsid w:val="002943BC"/>
    <w:rsid w:val="00295506"/>
    <w:rsid w:val="0029554B"/>
    <w:rsid w:val="002960D5"/>
    <w:rsid w:val="00296266"/>
    <w:rsid w:val="00296A15"/>
    <w:rsid w:val="00296B7B"/>
    <w:rsid w:val="002970DF"/>
    <w:rsid w:val="00297B63"/>
    <w:rsid w:val="00297C71"/>
    <w:rsid w:val="00297E80"/>
    <w:rsid w:val="002A09FB"/>
    <w:rsid w:val="002A15E0"/>
    <w:rsid w:val="002A1BE5"/>
    <w:rsid w:val="002A226A"/>
    <w:rsid w:val="002A2A19"/>
    <w:rsid w:val="002A3C39"/>
    <w:rsid w:val="002A417B"/>
    <w:rsid w:val="002A53F0"/>
    <w:rsid w:val="002A566C"/>
    <w:rsid w:val="002A58D1"/>
    <w:rsid w:val="002A5E83"/>
    <w:rsid w:val="002A62BD"/>
    <w:rsid w:val="002A62FD"/>
    <w:rsid w:val="002A7168"/>
    <w:rsid w:val="002A7385"/>
    <w:rsid w:val="002A77AA"/>
    <w:rsid w:val="002A7A90"/>
    <w:rsid w:val="002B0010"/>
    <w:rsid w:val="002B00DD"/>
    <w:rsid w:val="002B0872"/>
    <w:rsid w:val="002B0FCB"/>
    <w:rsid w:val="002B2058"/>
    <w:rsid w:val="002B28E1"/>
    <w:rsid w:val="002B2AB1"/>
    <w:rsid w:val="002B2D7E"/>
    <w:rsid w:val="002B2E58"/>
    <w:rsid w:val="002B2EC6"/>
    <w:rsid w:val="002B3AE2"/>
    <w:rsid w:val="002B3B21"/>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FAA"/>
    <w:rsid w:val="002C236D"/>
    <w:rsid w:val="002C2550"/>
    <w:rsid w:val="002C31D5"/>
    <w:rsid w:val="002C3A17"/>
    <w:rsid w:val="002C427D"/>
    <w:rsid w:val="002C4A78"/>
    <w:rsid w:val="002C4DE1"/>
    <w:rsid w:val="002C4E59"/>
    <w:rsid w:val="002C5161"/>
    <w:rsid w:val="002C5825"/>
    <w:rsid w:val="002C587B"/>
    <w:rsid w:val="002C5906"/>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3BC4"/>
    <w:rsid w:val="002D5FA7"/>
    <w:rsid w:val="002D6434"/>
    <w:rsid w:val="002D65C0"/>
    <w:rsid w:val="002D66D4"/>
    <w:rsid w:val="002D68B4"/>
    <w:rsid w:val="002D68C0"/>
    <w:rsid w:val="002D699E"/>
    <w:rsid w:val="002D69BB"/>
    <w:rsid w:val="002D6B08"/>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03"/>
    <w:rsid w:val="002E4535"/>
    <w:rsid w:val="002E4A70"/>
    <w:rsid w:val="002E4D77"/>
    <w:rsid w:val="002E59A1"/>
    <w:rsid w:val="002E5A53"/>
    <w:rsid w:val="002E5F52"/>
    <w:rsid w:val="002E67F1"/>
    <w:rsid w:val="002E6BF7"/>
    <w:rsid w:val="002E7615"/>
    <w:rsid w:val="002E7A45"/>
    <w:rsid w:val="002F0474"/>
    <w:rsid w:val="002F0FD8"/>
    <w:rsid w:val="002F1D7C"/>
    <w:rsid w:val="002F26FB"/>
    <w:rsid w:val="002F2853"/>
    <w:rsid w:val="002F299E"/>
    <w:rsid w:val="002F3A0C"/>
    <w:rsid w:val="002F3D0F"/>
    <w:rsid w:val="002F4210"/>
    <w:rsid w:val="002F4E70"/>
    <w:rsid w:val="002F5A06"/>
    <w:rsid w:val="002F6DCE"/>
    <w:rsid w:val="002F709E"/>
    <w:rsid w:val="002F75B3"/>
    <w:rsid w:val="0030089B"/>
    <w:rsid w:val="00300BD7"/>
    <w:rsid w:val="00301902"/>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CBB"/>
    <w:rsid w:val="0031176C"/>
    <w:rsid w:val="00311967"/>
    <w:rsid w:val="00311B1A"/>
    <w:rsid w:val="00311F03"/>
    <w:rsid w:val="00311FE9"/>
    <w:rsid w:val="003122DE"/>
    <w:rsid w:val="00312C9B"/>
    <w:rsid w:val="00312D95"/>
    <w:rsid w:val="00313065"/>
    <w:rsid w:val="0031350F"/>
    <w:rsid w:val="003137D3"/>
    <w:rsid w:val="0031389F"/>
    <w:rsid w:val="00313DB1"/>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4AA"/>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05C"/>
    <w:rsid w:val="003506DB"/>
    <w:rsid w:val="00350C1B"/>
    <w:rsid w:val="00350C63"/>
    <w:rsid w:val="00351030"/>
    <w:rsid w:val="00351B22"/>
    <w:rsid w:val="00351D98"/>
    <w:rsid w:val="003538A7"/>
    <w:rsid w:val="00353CC5"/>
    <w:rsid w:val="00353D3F"/>
    <w:rsid w:val="00354701"/>
    <w:rsid w:val="0035478A"/>
    <w:rsid w:val="00354B19"/>
    <w:rsid w:val="00355374"/>
    <w:rsid w:val="003553EC"/>
    <w:rsid w:val="00355FB3"/>
    <w:rsid w:val="00356D46"/>
    <w:rsid w:val="00357FEB"/>
    <w:rsid w:val="0036013C"/>
    <w:rsid w:val="0036034F"/>
    <w:rsid w:val="003607D5"/>
    <w:rsid w:val="00360DA1"/>
    <w:rsid w:val="00360F29"/>
    <w:rsid w:val="00361071"/>
    <w:rsid w:val="0036253B"/>
    <w:rsid w:val="00362D20"/>
    <w:rsid w:val="00362E52"/>
    <w:rsid w:val="00362F77"/>
    <w:rsid w:val="003632A7"/>
    <w:rsid w:val="00363421"/>
    <w:rsid w:val="00363939"/>
    <w:rsid w:val="00364136"/>
    <w:rsid w:val="00364395"/>
    <w:rsid w:val="00364601"/>
    <w:rsid w:val="0036483A"/>
    <w:rsid w:val="00364D1F"/>
    <w:rsid w:val="003658B1"/>
    <w:rsid w:val="00365E33"/>
    <w:rsid w:val="003670D4"/>
    <w:rsid w:val="003678D2"/>
    <w:rsid w:val="00367A4A"/>
    <w:rsid w:val="00370BFF"/>
    <w:rsid w:val="00370FED"/>
    <w:rsid w:val="00370FEF"/>
    <w:rsid w:val="003717BA"/>
    <w:rsid w:val="00371C4B"/>
    <w:rsid w:val="00372234"/>
    <w:rsid w:val="0037239E"/>
    <w:rsid w:val="00372AC9"/>
    <w:rsid w:val="00372AE1"/>
    <w:rsid w:val="00372AF3"/>
    <w:rsid w:val="00373129"/>
    <w:rsid w:val="0037364B"/>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11E"/>
    <w:rsid w:val="003A47AB"/>
    <w:rsid w:val="003A5004"/>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6C2"/>
    <w:rsid w:val="003B2708"/>
    <w:rsid w:val="003B3B60"/>
    <w:rsid w:val="003B4135"/>
    <w:rsid w:val="003B447A"/>
    <w:rsid w:val="003B44A2"/>
    <w:rsid w:val="003B4552"/>
    <w:rsid w:val="003B50F3"/>
    <w:rsid w:val="003B5474"/>
    <w:rsid w:val="003B5D77"/>
    <w:rsid w:val="003B677A"/>
    <w:rsid w:val="003B67DA"/>
    <w:rsid w:val="003B6D9D"/>
    <w:rsid w:val="003B6F7A"/>
    <w:rsid w:val="003B71EE"/>
    <w:rsid w:val="003B743E"/>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387C"/>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018"/>
    <w:rsid w:val="003D221A"/>
    <w:rsid w:val="003D2752"/>
    <w:rsid w:val="003D3453"/>
    <w:rsid w:val="003D4125"/>
    <w:rsid w:val="003D4480"/>
    <w:rsid w:val="003D4EAC"/>
    <w:rsid w:val="003D5062"/>
    <w:rsid w:val="003D5198"/>
    <w:rsid w:val="003D5B4B"/>
    <w:rsid w:val="003D5C25"/>
    <w:rsid w:val="003D5FD2"/>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6E"/>
    <w:rsid w:val="003E4E90"/>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1CA9"/>
    <w:rsid w:val="003F22DB"/>
    <w:rsid w:val="003F2480"/>
    <w:rsid w:val="003F2729"/>
    <w:rsid w:val="003F310C"/>
    <w:rsid w:val="003F3AD6"/>
    <w:rsid w:val="003F3E61"/>
    <w:rsid w:val="003F3F67"/>
    <w:rsid w:val="003F4612"/>
    <w:rsid w:val="003F4921"/>
    <w:rsid w:val="003F501C"/>
    <w:rsid w:val="003F61E4"/>
    <w:rsid w:val="003F62C5"/>
    <w:rsid w:val="003F66C8"/>
    <w:rsid w:val="003F6A30"/>
    <w:rsid w:val="003F6FD1"/>
    <w:rsid w:val="003F71E7"/>
    <w:rsid w:val="003F7C1C"/>
    <w:rsid w:val="003F7F44"/>
    <w:rsid w:val="004000D2"/>
    <w:rsid w:val="00400687"/>
    <w:rsid w:val="004008D3"/>
    <w:rsid w:val="00400C81"/>
    <w:rsid w:val="004012FF"/>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950"/>
    <w:rsid w:val="00426E32"/>
    <w:rsid w:val="00427228"/>
    <w:rsid w:val="004273A6"/>
    <w:rsid w:val="00427724"/>
    <w:rsid w:val="00427BF2"/>
    <w:rsid w:val="00430400"/>
    <w:rsid w:val="004308FC"/>
    <w:rsid w:val="00431422"/>
    <w:rsid w:val="00431B75"/>
    <w:rsid w:val="004320A8"/>
    <w:rsid w:val="004324A8"/>
    <w:rsid w:val="004325E1"/>
    <w:rsid w:val="00432E28"/>
    <w:rsid w:val="00432FE0"/>
    <w:rsid w:val="004330DC"/>
    <w:rsid w:val="004330F6"/>
    <w:rsid w:val="004336FC"/>
    <w:rsid w:val="0043383F"/>
    <w:rsid w:val="004338EC"/>
    <w:rsid w:val="00433A00"/>
    <w:rsid w:val="004341F4"/>
    <w:rsid w:val="00434A7B"/>
    <w:rsid w:val="00434F62"/>
    <w:rsid w:val="00435A05"/>
    <w:rsid w:val="00435C5B"/>
    <w:rsid w:val="00435D2C"/>
    <w:rsid w:val="004365E4"/>
    <w:rsid w:val="00436F21"/>
    <w:rsid w:val="0043787C"/>
    <w:rsid w:val="00440070"/>
    <w:rsid w:val="00440BD1"/>
    <w:rsid w:val="00440F0D"/>
    <w:rsid w:val="00441251"/>
    <w:rsid w:val="004412C7"/>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707"/>
    <w:rsid w:val="00447F1F"/>
    <w:rsid w:val="00450574"/>
    <w:rsid w:val="004514C8"/>
    <w:rsid w:val="004518E9"/>
    <w:rsid w:val="00451E1C"/>
    <w:rsid w:val="0045288D"/>
    <w:rsid w:val="00452A85"/>
    <w:rsid w:val="00452C81"/>
    <w:rsid w:val="00453CA6"/>
    <w:rsid w:val="00453D4E"/>
    <w:rsid w:val="00453DF8"/>
    <w:rsid w:val="00454400"/>
    <w:rsid w:val="0045466B"/>
    <w:rsid w:val="004546A6"/>
    <w:rsid w:val="0045505E"/>
    <w:rsid w:val="00455855"/>
    <w:rsid w:val="00455964"/>
    <w:rsid w:val="00456095"/>
    <w:rsid w:val="00456AD3"/>
    <w:rsid w:val="00456D75"/>
    <w:rsid w:val="0045714E"/>
    <w:rsid w:val="004576BE"/>
    <w:rsid w:val="00460369"/>
    <w:rsid w:val="00460F9D"/>
    <w:rsid w:val="004616C7"/>
    <w:rsid w:val="00461BFB"/>
    <w:rsid w:val="0046205C"/>
    <w:rsid w:val="00462391"/>
    <w:rsid w:val="00462531"/>
    <w:rsid w:val="004625EF"/>
    <w:rsid w:val="004626F4"/>
    <w:rsid w:val="00462E95"/>
    <w:rsid w:val="004634E0"/>
    <w:rsid w:val="004634E7"/>
    <w:rsid w:val="00463850"/>
    <w:rsid w:val="00463DC9"/>
    <w:rsid w:val="004640BC"/>
    <w:rsid w:val="00464827"/>
    <w:rsid w:val="00465898"/>
    <w:rsid w:val="00465E0A"/>
    <w:rsid w:val="004665FE"/>
    <w:rsid w:val="00466F5E"/>
    <w:rsid w:val="00467234"/>
    <w:rsid w:val="00467D7B"/>
    <w:rsid w:val="004701E2"/>
    <w:rsid w:val="0047047F"/>
    <w:rsid w:val="004717A4"/>
    <w:rsid w:val="004717DA"/>
    <w:rsid w:val="00472207"/>
    <w:rsid w:val="004723B3"/>
    <w:rsid w:val="0047306A"/>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D17"/>
    <w:rsid w:val="00482FCF"/>
    <w:rsid w:val="004832C5"/>
    <w:rsid w:val="00483808"/>
    <w:rsid w:val="004845E4"/>
    <w:rsid w:val="00484DF9"/>
    <w:rsid w:val="004852E0"/>
    <w:rsid w:val="004854A5"/>
    <w:rsid w:val="00485BA5"/>
    <w:rsid w:val="004863E6"/>
    <w:rsid w:val="004865CC"/>
    <w:rsid w:val="004866B2"/>
    <w:rsid w:val="00486E13"/>
    <w:rsid w:val="00486FCF"/>
    <w:rsid w:val="004870E2"/>
    <w:rsid w:val="004871B7"/>
    <w:rsid w:val="00487322"/>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69"/>
    <w:rsid w:val="00493088"/>
    <w:rsid w:val="00493280"/>
    <w:rsid w:val="0049359E"/>
    <w:rsid w:val="004945AB"/>
    <w:rsid w:val="00494A13"/>
    <w:rsid w:val="00494A14"/>
    <w:rsid w:val="0049536E"/>
    <w:rsid w:val="00495BA3"/>
    <w:rsid w:val="00496029"/>
    <w:rsid w:val="004965BC"/>
    <w:rsid w:val="004973FF"/>
    <w:rsid w:val="004974B7"/>
    <w:rsid w:val="00497BB2"/>
    <w:rsid w:val="004A00C8"/>
    <w:rsid w:val="004A0232"/>
    <w:rsid w:val="004A0410"/>
    <w:rsid w:val="004A079D"/>
    <w:rsid w:val="004A0867"/>
    <w:rsid w:val="004A0AFD"/>
    <w:rsid w:val="004A0BC5"/>
    <w:rsid w:val="004A0CB6"/>
    <w:rsid w:val="004A0E43"/>
    <w:rsid w:val="004A1469"/>
    <w:rsid w:val="004A19D6"/>
    <w:rsid w:val="004A2276"/>
    <w:rsid w:val="004A3452"/>
    <w:rsid w:val="004A35E8"/>
    <w:rsid w:val="004A387F"/>
    <w:rsid w:val="004A39EA"/>
    <w:rsid w:val="004A44B2"/>
    <w:rsid w:val="004A4E6A"/>
    <w:rsid w:val="004A4EAB"/>
    <w:rsid w:val="004A57A5"/>
    <w:rsid w:val="004A5CC9"/>
    <w:rsid w:val="004A6EAF"/>
    <w:rsid w:val="004A70DF"/>
    <w:rsid w:val="004A73BB"/>
    <w:rsid w:val="004A73EE"/>
    <w:rsid w:val="004A77B6"/>
    <w:rsid w:val="004A7FD1"/>
    <w:rsid w:val="004B0456"/>
    <w:rsid w:val="004B06D2"/>
    <w:rsid w:val="004B0B99"/>
    <w:rsid w:val="004B1049"/>
    <w:rsid w:val="004B1CFC"/>
    <w:rsid w:val="004B2349"/>
    <w:rsid w:val="004B23B4"/>
    <w:rsid w:val="004B27DF"/>
    <w:rsid w:val="004B3345"/>
    <w:rsid w:val="004B475A"/>
    <w:rsid w:val="004B4CA1"/>
    <w:rsid w:val="004B5041"/>
    <w:rsid w:val="004B5111"/>
    <w:rsid w:val="004B5144"/>
    <w:rsid w:val="004B5D8F"/>
    <w:rsid w:val="004B7624"/>
    <w:rsid w:val="004B78A0"/>
    <w:rsid w:val="004B7982"/>
    <w:rsid w:val="004B79F7"/>
    <w:rsid w:val="004B7BC6"/>
    <w:rsid w:val="004B7DB1"/>
    <w:rsid w:val="004C0142"/>
    <w:rsid w:val="004C01EF"/>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420A"/>
    <w:rsid w:val="004D431C"/>
    <w:rsid w:val="004D45EF"/>
    <w:rsid w:val="004D4886"/>
    <w:rsid w:val="004D50BA"/>
    <w:rsid w:val="004D51EF"/>
    <w:rsid w:val="004D5275"/>
    <w:rsid w:val="004D5FC1"/>
    <w:rsid w:val="004D6681"/>
    <w:rsid w:val="004D6C38"/>
    <w:rsid w:val="004E01AE"/>
    <w:rsid w:val="004E08A1"/>
    <w:rsid w:val="004E11F7"/>
    <w:rsid w:val="004E1268"/>
    <w:rsid w:val="004E26A9"/>
    <w:rsid w:val="004E4059"/>
    <w:rsid w:val="004E4666"/>
    <w:rsid w:val="004E4CC6"/>
    <w:rsid w:val="004E4FB3"/>
    <w:rsid w:val="004E53A5"/>
    <w:rsid w:val="004E54AE"/>
    <w:rsid w:val="004E5F87"/>
    <w:rsid w:val="004E6114"/>
    <w:rsid w:val="004E6D26"/>
    <w:rsid w:val="004E6DCC"/>
    <w:rsid w:val="004E7239"/>
    <w:rsid w:val="004E77DA"/>
    <w:rsid w:val="004E7A29"/>
    <w:rsid w:val="004F03F8"/>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923"/>
    <w:rsid w:val="004F7A35"/>
    <w:rsid w:val="00500302"/>
    <w:rsid w:val="0050041A"/>
    <w:rsid w:val="005007B9"/>
    <w:rsid w:val="0050084B"/>
    <w:rsid w:val="00500D61"/>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2D6"/>
    <w:rsid w:val="00505DB2"/>
    <w:rsid w:val="00505FDF"/>
    <w:rsid w:val="005063DA"/>
    <w:rsid w:val="00506B77"/>
    <w:rsid w:val="00507130"/>
    <w:rsid w:val="005072C1"/>
    <w:rsid w:val="005077F7"/>
    <w:rsid w:val="00507A24"/>
    <w:rsid w:val="00507AEF"/>
    <w:rsid w:val="00507D3A"/>
    <w:rsid w:val="005107A3"/>
    <w:rsid w:val="005115F7"/>
    <w:rsid w:val="0051188B"/>
    <w:rsid w:val="00511A58"/>
    <w:rsid w:val="00511B38"/>
    <w:rsid w:val="00512348"/>
    <w:rsid w:val="005124F7"/>
    <w:rsid w:val="00512A9E"/>
    <w:rsid w:val="00512C9F"/>
    <w:rsid w:val="00512E1E"/>
    <w:rsid w:val="00512F37"/>
    <w:rsid w:val="00513ABD"/>
    <w:rsid w:val="00513B39"/>
    <w:rsid w:val="00513E3E"/>
    <w:rsid w:val="005143A9"/>
    <w:rsid w:val="00514B96"/>
    <w:rsid w:val="00515D54"/>
    <w:rsid w:val="0051603A"/>
    <w:rsid w:val="005169C8"/>
    <w:rsid w:val="00516ED8"/>
    <w:rsid w:val="00521038"/>
    <w:rsid w:val="00521295"/>
    <w:rsid w:val="00521BDB"/>
    <w:rsid w:val="00522F9C"/>
    <w:rsid w:val="00522FCA"/>
    <w:rsid w:val="005236E8"/>
    <w:rsid w:val="00523B77"/>
    <w:rsid w:val="00523C23"/>
    <w:rsid w:val="00524B50"/>
    <w:rsid w:val="00524D63"/>
    <w:rsid w:val="005255BD"/>
    <w:rsid w:val="00525A71"/>
    <w:rsid w:val="00525D5B"/>
    <w:rsid w:val="0052625F"/>
    <w:rsid w:val="0052643E"/>
    <w:rsid w:val="005266BC"/>
    <w:rsid w:val="005274F5"/>
    <w:rsid w:val="00527BB6"/>
    <w:rsid w:val="0053049F"/>
    <w:rsid w:val="005309D3"/>
    <w:rsid w:val="005314A0"/>
    <w:rsid w:val="00531A12"/>
    <w:rsid w:val="00531C24"/>
    <w:rsid w:val="00532207"/>
    <w:rsid w:val="00532ADB"/>
    <w:rsid w:val="005336E5"/>
    <w:rsid w:val="005344F0"/>
    <w:rsid w:val="0053482E"/>
    <w:rsid w:val="00534B2F"/>
    <w:rsid w:val="00534E00"/>
    <w:rsid w:val="005362C7"/>
    <w:rsid w:val="005362FB"/>
    <w:rsid w:val="00536C67"/>
    <w:rsid w:val="005370CA"/>
    <w:rsid w:val="00537428"/>
    <w:rsid w:val="00537930"/>
    <w:rsid w:val="0053794B"/>
    <w:rsid w:val="00537D5B"/>
    <w:rsid w:val="00540416"/>
    <w:rsid w:val="005410AB"/>
    <w:rsid w:val="00541AD8"/>
    <w:rsid w:val="00541D53"/>
    <w:rsid w:val="005422B4"/>
    <w:rsid w:val="005433CF"/>
    <w:rsid w:val="0054370C"/>
    <w:rsid w:val="005443F7"/>
    <w:rsid w:val="005446A3"/>
    <w:rsid w:val="00544D1D"/>
    <w:rsid w:val="00544E29"/>
    <w:rsid w:val="00544EF5"/>
    <w:rsid w:val="005454CA"/>
    <w:rsid w:val="005462B5"/>
    <w:rsid w:val="00546315"/>
    <w:rsid w:val="005465A1"/>
    <w:rsid w:val="00546B08"/>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50F0"/>
    <w:rsid w:val="005551BA"/>
    <w:rsid w:val="005551D7"/>
    <w:rsid w:val="00555617"/>
    <w:rsid w:val="00555783"/>
    <w:rsid w:val="005560E8"/>
    <w:rsid w:val="0055621F"/>
    <w:rsid w:val="0055665B"/>
    <w:rsid w:val="00556DBD"/>
    <w:rsid w:val="00556F08"/>
    <w:rsid w:val="0055762F"/>
    <w:rsid w:val="00557E4B"/>
    <w:rsid w:val="00560332"/>
    <w:rsid w:val="005609EB"/>
    <w:rsid w:val="00561295"/>
    <w:rsid w:val="005617CD"/>
    <w:rsid w:val="00561BBF"/>
    <w:rsid w:val="00561C7C"/>
    <w:rsid w:val="005620DF"/>
    <w:rsid w:val="00562937"/>
    <w:rsid w:val="00563940"/>
    <w:rsid w:val="0056432E"/>
    <w:rsid w:val="00564390"/>
    <w:rsid w:val="00564785"/>
    <w:rsid w:val="00564C86"/>
    <w:rsid w:val="00565065"/>
    <w:rsid w:val="00565D6A"/>
    <w:rsid w:val="00566F7A"/>
    <w:rsid w:val="0057012B"/>
    <w:rsid w:val="0057053D"/>
    <w:rsid w:val="0057086D"/>
    <w:rsid w:val="00570F42"/>
    <w:rsid w:val="00571BAD"/>
    <w:rsid w:val="00571C26"/>
    <w:rsid w:val="00571FB0"/>
    <w:rsid w:val="005722BE"/>
    <w:rsid w:val="005726B2"/>
    <w:rsid w:val="005726BA"/>
    <w:rsid w:val="0057277E"/>
    <w:rsid w:val="005727B6"/>
    <w:rsid w:val="00572899"/>
    <w:rsid w:val="00572D10"/>
    <w:rsid w:val="00572D69"/>
    <w:rsid w:val="00572FF2"/>
    <w:rsid w:val="005741C0"/>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0D"/>
    <w:rsid w:val="00577A96"/>
    <w:rsid w:val="00577B43"/>
    <w:rsid w:val="00577DC4"/>
    <w:rsid w:val="005801FF"/>
    <w:rsid w:val="00580A6C"/>
    <w:rsid w:val="00580A71"/>
    <w:rsid w:val="00580DC8"/>
    <w:rsid w:val="00580FE7"/>
    <w:rsid w:val="00581172"/>
    <w:rsid w:val="0058198A"/>
    <w:rsid w:val="005824F2"/>
    <w:rsid w:val="00582EF4"/>
    <w:rsid w:val="00582F4A"/>
    <w:rsid w:val="005836ED"/>
    <w:rsid w:val="00583969"/>
    <w:rsid w:val="00583A2C"/>
    <w:rsid w:val="00584046"/>
    <w:rsid w:val="0058534A"/>
    <w:rsid w:val="00585829"/>
    <w:rsid w:val="00585CCE"/>
    <w:rsid w:val="00592551"/>
    <w:rsid w:val="00593072"/>
    <w:rsid w:val="0059341F"/>
    <w:rsid w:val="00593669"/>
    <w:rsid w:val="005940FE"/>
    <w:rsid w:val="00594305"/>
    <w:rsid w:val="00594605"/>
    <w:rsid w:val="005956D8"/>
    <w:rsid w:val="005958BB"/>
    <w:rsid w:val="00595E99"/>
    <w:rsid w:val="00596468"/>
    <w:rsid w:val="005970CB"/>
    <w:rsid w:val="005970D0"/>
    <w:rsid w:val="0059727A"/>
    <w:rsid w:val="00597673"/>
    <w:rsid w:val="00597C0B"/>
    <w:rsid w:val="00597E25"/>
    <w:rsid w:val="005A0F70"/>
    <w:rsid w:val="005A1167"/>
    <w:rsid w:val="005A1364"/>
    <w:rsid w:val="005A16C4"/>
    <w:rsid w:val="005A1933"/>
    <w:rsid w:val="005A1A66"/>
    <w:rsid w:val="005A2315"/>
    <w:rsid w:val="005A2632"/>
    <w:rsid w:val="005A2671"/>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0"/>
    <w:rsid w:val="005A76E1"/>
    <w:rsid w:val="005A7DD2"/>
    <w:rsid w:val="005A7EE8"/>
    <w:rsid w:val="005B068E"/>
    <w:rsid w:val="005B071D"/>
    <w:rsid w:val="005B0B9D"/>
    <w:rsid w:val="005B12CD"/>
    <w:rsid w:val="005B1444"/>
    <w:rsid w:val="005B1C13"/>
    <w:rsid w:val="005B1EF0"/>
    <w:rsid w:val="005B24E1"/>
    <w:rsid w:val="005B2957"/>
    <w:rsid w:val="005B35F1"/>
    <w:rsid w:val="005B3AAE"/>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37A"/>
    <w:rsid w:val="005D642F"/>
    <w:rsid w:val="005D6A26"/>
    <w:rsid w:val="005D6C06"/>
    <w:rsid w:val="005D6F3F"/>
    <w:rsid w:val="005D7914"/>
    <w:rsid w:val="005E008C"/>
    <w:rsid w:val="005E056D"/>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896"/>
    <w:rsid w:val="005E7A08"/>
    <w:rsid w:val="005E7AFF"/>
    <w:rsid w:val="005F008A"/>
    <w:rsid w:val="005F0315"/>
    <w:rsid w:val="005F0B15"/>
    <w:rsid w:val="005F0B7C"/>
    <w:rsid w:val="005F0C56"/>
    <w:rsid w:val="005F0DB5"/>
    <w:rsid w:val="005F12B9"/>
    <w:rsid w:val="005F1D96"/>
    <w:rsid w:val="005F1E21"/>
    <w:rsid w:val="005F227A"/>
    <w:rsid w:val="005F2432"/>
    <w:rsid w:val="005F25EB"/>
    <w:rsid w:val="005F2A6B"/>
    <w:rsid w:val="005F2A80"/>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35CB"/>
    <w:rsid w:val="0060537B"/>
    <w:rsid w:val="00605984"/>
    <w:rsid w:val="006059F4"/>
    <w:rsid w:val="00605D20"/>
    <w:rsid w:val="00605EA9"/>
    <w:rsid w:val="00606665"/>
    <w:rsid w:val="00606A54"/>
    <w:rsid w:val="00606CFC"/>
    <w:rsid w:val="00607093"/>
    <w:rsid w:val="00607F43"/>
    <w:rsid w:val="00610351"/>
    <w:rsid w:val="0061040E"/>
    <w:rsid w:val="006105C1"/>
    <w:rsid w:val="006117B8"/>
    <w:rsid w:val="00611A5C"/>
    <w:rsid w:val="00612662"/>
    <w:rsid w:val="006133DB"/>
    <w:rsid w:val="00613EA2"/>
    <w:rsid w:val="006148A1"/>
    <w:rsid w:val="00614A00"/>
    <w:rsid w:val="00614D55"/>
    <w:rsid w:val="00615059"/>
    <w:rsid w:val="00615276"/>
    <w:rsid w:val="00615801"/>
    <w:rsid w:val="00615DAC"/>
    <w:rsid w:val="006162CC"/>
    <w:rsid w:val="00617436"/>
    <w:rsid w:val="006176C9"/>
    <w:rsid w:val="0061783D"/>
    <w:rsid w:val="00617C68"/>
    <w:rsid w:val="00617E00"/>
    <w:rsid w:val="00617EB7"/>
    <w:rsid w:val="00620F2E"/>
    <w:rsid w:val="0062110C"/>
    <w:rsid w:val="00621B40"/>
    <w:rsid w:val="006225E5"/>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9F"/>
    <w:rsid w:val="00626AFA"/>
    <w:rsid w:val="00626C30"/>
    <w:rsid w:val="00626CEC"/>
    <w:rsid w:val="00626F3B"/>
    <w:rsid w:val="00627842"/>
    <w:rsid w:val="00627A5F"/>
    <w:rsid w:val="00627E34"/>
    <w:rsid w:val="00630097"/>
    <w:rsid w:val="00630615"/>
    <w:rsid w:val="00630FFB"/>
    <w:rsid w:val="00631F5E"/>
    <w:rsid w:val="006321F8"/>
    <w:rsid w:val="00632673"/>
    <w:rsid w:val="006327CB"/>
    <w:rsid w:val="006333B8"/>
    <w:rsid w:val="00633D68"/>
    <w:rsid w:val="006342AD"/>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A04"/>
    <w:rsid w:val="00640A22"/>
    <w:rsid w:val="00640BD7"/>
    <w:rsid w:val="00640E04"/>
    <w:rsid w:val="00641170"/>
    <w:rsid w:val="00641D07"/>
    <w:rsid w:val="00641DA5"/>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15D5"/>
    <w:rsid w:val="00652098"/>
    <w:rsid w:val="00652F50"/>
    <w:rsid w:val="006530CB"/>
    <w:rsid w:val="00653C16"/>
    <w:rsid w:val="00654492"/>
    <w:rsid w:val="00654863"/>
    <w:rsid w:val="00654F6A"/>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5AA"/>
    <w:rsid w:val="00672D4A"/>
    <w:rsid w:val="00672F6E"/>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712"/>
    <w:rsid w:val="006823D4"/>
    <w:rsid w:val="00682621"/>
    <w:rsid w:val="00682741"/>
    <w:rsid w:val="006829CD"/>
    <w:rsid w:val="00682C88"/>
    <w:rsid w:val="00683094"/>
    <w:rsid w:val="006832E9"/>
    <w:rsid w:val="00683945"/>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4E85"/>
    <w:rsid w:val="006A576B"/>
    <w:rsid w:val="006A5AD5"/>
    <w:rsid w:val="006A5F32"/>
    <w:rsid w:val="006A6713"/>
    <w:rsid w:val="006A7162"/>
    <w:rsid w:val="006A7227"/>
    <w:rsid w:val="006A77AB"/>
    <w:rsid w:val="006A78CC"/>
    <w:rsid w:val="006B010B"/>
    <w:rsid w:val="006B147D"/>
    <w:rsid w:val="006B1581"/>
    <w:rsid w:val="006B235E"/>
    <w:rsid w:val="006B2741"/>
    <w:rsid w:val="006B285D"/>
    <w:rsid w:val="006B3038"/>
    <w:rsid w:val="006B3BE1"/>
    <w:rsid w:val="006B4A19"/>
    <w:rsid w:val="006B4ADF"/>
    <w:rsid w:val="006B4D60"/>
    <w:rsid w:val="006B4DB5"/>
    <w:rsid w:val="006B4E4D"/>
    <w:rsid w:val="006B5130"/>
    <w:rsid w:val="006B56E1"/>
    <w:rsid w:val="006B5F3E"/>
    <w:rsid w:val="006B60B4"/>
    <w:rsid w:val="006B677D"/>
    <w:rsid w:val="006B77E3"/>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643"/>
    <w:rsid w:val="006C7661"/>
    <w:rsid w:val="006C795C"/>
    <w:rsid w:val="006D0582"/>
    <w:rsid w:val="006D0EC3"/>
    <w:rsid w:val="006D1A1F"/>
    <w:rsid w:val="006D2569"/>
    <w:rsid w:val="006D2597"/>
    <w:rsid w:val="006D29CC"/>
    <w:rsid w:val="006D340B"/>
    <w:rsid w:val="006D372E"/>
    <w:rsid w:val="006D4511"/>
    <w:rsid w:val="006D4993"/>
    <w:rsid w:val="006D4F12"/>
    <w:rsid w:val="006D5C41"/>
    <w:rsid w:val="006D6268"/>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3057"/>
    <w:rsid w:val="006E337F"/>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0DE"/>
    <w:rsid w:val="006F0333"/>
    <w:rsid w:val="006F038A"/>
    <w:rsid w:val="006F190E"/>
    <w:rsid w:val="006F2662"/>
    <w:rsid w:val="006F2675"/>
    <w:rsid w:val="006F28A8"/>
    <w:rsid w:val="006F29A9"/>
    <w:rsid w:val="006F2A25"/>
    <w:rsid w:val="006F2E73"/>
    <w:rsid w:val="006F33DB"/>
    <w:rsid w:val="006F36D5"/>
    <w:rsid w:val="006F4AE5"/>
    <w:rsid w:val="006F4C4A"/>
    <w:rsid w:val="006F5BC3"/>
    <w:rsid w:val="006F60A4"/>
    <w:rsid w:val="006F6EB0"/>
    <w:rsid w:val="006F7051"/>
    <w:rsid w:val="006F7BC6"/>
    <w:rsid w:val="0070067D"/>
    <w:rsid w:val="00700771"/>
    <w:rsid w:val="00700781"/>
    <w:rsid w:val="00700B4D"/>
    <w:rsid w:val="00700BEC"/>
    <w:rsid w:val="00701083"/>
    <w:rsid w:val="00701307"/>
    <w:rsid w:val="00701825"/>
    <w:rsid w:val="00701CB2"/>
    <w:rsid w:val="00701EF2"/>
    <w:rsid w:val="0070207F"/>
    <w:rsid w:val="00702293"/>
    <w:rsid w:val="00702407"/>
    <w:rsid w:val="007025D6"/>
    <w:rsid w:val="00702E41"/>
    <w:rsid w:val="00703188"/>
    <w:rsid w:val="0070324B"/>
    <w:rsid w:val="00703B1A"/>
    <w:rsid w:val="00703EAE"/>
    <w:rsid w:val="0070409B"/>
    <w:rsid w:val="00704583"/>
    <w:rsid w:val="007045EF"/>
    <w:rsid w:val="007046D6"/>
    <w:rsid w:val="00704BFB"/>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971"/>
    <w:rsid w:val="00711DF5"/>
    <w:rsid w:val="00711EB5"/>
    <w:rsid w:val="00711F84"/>
    <w:rsid w:val="007121DD"/>
    <w:rsid w:val="00712B34"/>
    <w:rsid w:val="00712D85"/>
    <w:rsid w:val="00712EA4"/>
    <w:rsid w:val="007130B6"/>
    <w:rsid w:val="0071323D"/>
    <w:rsid w:val="00713645"/>
    <w:rsid w:val="00713D01"/>
    <w:rsid w:val="007141B7"/>
    <w:rsid w:val="00714757"/>
    <w:rsid w:val="00714C31"/>
    <w:rsid w:val="00714D7C"/>
    <w:rsid w:val="00714DB7"/>
    <w:rsid w:val="0071519A"/>
    <w:rsid w:val="007151CE"/>
    <w:rsid w:val="00715495"/>
    <w:rsid w:val="00715A71"/>
    <w:rsid w:val="00716381"/>
    <w:rsid w:val="0071670C"/>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29F"/>
    <w:rsid w:val="0073576A"/>
    <w:rsid w:val="007357F4"/>
    <w:rsid w:val="0073650A"/>
    <w:rsid w:val="00737620"/>
    <w:rsid w:val="00737E27"/>
    <w:rsid w:val="00737F7D"/>
    <w:rsid w:val="0074104C"/>
    <w:rsid w:val="00741088"/>
    <w:rsid w:val="0074112E"/>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173"/>
    <w:rsid w:val="0074739F"/>
    <w:rsid w:val="00747F33"/>
    <w:rsid w:val="007514C8"/>
    <w:rsid w:val="007517E2"/>
    <w:rsid w:val="0075192A"/>
    <w:rsid w:val="00751B64"/>
    <w:rsid w:val="00751C0C"/>
    <w:rsid w:val="00752446"/>
    <w:rsid w:val="007525A5"/>
    <w:rsid w:val="00752F01"/>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9F3"/>
    <w:rsid w:val="00777AB8"/>
    <w:rsid w:val="007800A5"/>
    <w:rsid w:val="007810CB"/>
    <w:rsid w:val="007812FE"/>
    <w:rsid w:val="007814EE"/>
    <w:rsid w:val="00782063"/>
    <w:rsid w:val="0078221C"/>
    <w:rsid w:val="00782368"/>
    <w:rsid w:val="0078268A"/>
    <w:rsid w:val="00782822"/>
    <w:rsid w:val="00782C61"/>
    <w:rsid w:val="00783226"/>
    <w:rsid w:val="0078390A"/>
    <w:rsid w:val="00783CF2"/>
    <w:rsid w:val="00784170"/>
    <w:rsid w:val="0078420C"/>
    <w:rsid w:val="00784B68"/>
    <w:rsid w:val="00784BD2"/>
    <w:rsid w:val="007851AF"/>
    <w:rsid w:val="00785530"/>
    <w:rsid w:val="0078554E"/>
    <w:rsid w:val="00785682"/>
    <w:rsid w:val="00786419"/>
    <w:rsid w:val="00786FB2"/>
    <w:rsid w:val="00787162"/>
    <w:rsid w:val="00790190"/>
    <w:rsid w:val="00790385"/>
    <w:rsid w:val="00790645"/>
    <w:rsid w:val="007908EC"/>
    <w:rsid w:val="00790E8B"/>
    <w:rsid w:val="007916FA"/>
    <w:rsid w:val="007917DB"/>
    <w:rsid w:val="00791D2E"/>
    <w:rsid w:val="0079235E"/>
    <w:rsid w:val="00792904"/>
    <w:rsid w:val="00792D8F"/>
    <w:rsid w:val="007931DB"/>
    <w:rsid w:val="007939BD"/>
    <w:rsid w:val="00793BE8"/>
    <w:rsid w:val="00793BFB"/>
    <w:rsid w:val="00794675"/>
    <w:rsid w:val="007947C4"/>
    <w:rsid w:val="007948A5"/>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A02A7"/>
    <w:rsid w:val="007A249B"/>
    <w:rsid w:val="007A2BAE"/>
    <w:rsid w:val="007A2CE6"/>
    <w:rsid w:val="007A2E74"/>
    <w:rsid w:val="007A3AB1"/>
    <w:rsid w:val="007A3E32"/>
    <w:rsid w:val="007A3E87"/>
    <w:rsid w:val="007A3FB8"/>
    <w:rsid w:val="007A4598"/>
    <w:rsid w:val="007A467E"/>
    <w:rsid w:val="007A47AB"/>
    <w:rsid w:val="007A4892"/>
    <w:rsid w:val="007A4F79"/>
    <w:rsid w:val="007A52B5"/>
    <w:rsid w:val="007A52BC"/>
    <w:rsid w:val="007A53E7"/>
    <w:rsid w:val="007A5457"/>
    <w:rsid w:val="007A5699"/>
    <w:rsid w:val="007A5A3B"/>
    <w:rsid w:val="007A63D6"/>
    <w:rsid w:val="007A6418"/>
    <w:rsid w:val="007A64DC"/>
    <w:rsid w:val="007A6607"/>
    <w:rsid w:val="007A6B07"/>
    <w:rsid w:val="007A6DE2"/>
    <w:rsid w:val="007B04B0"/>
    <w:rsid w:val="007B0539"/>
    <w:rsid w:val="007B0551"/>
    <w:rsid w:val="007B0735"/>
    <w:rsid w:val="007B1284"/>
    <w:rsid w:val="007B20C6"/>
    <w:rsid w:val="007B2800"/>
    <w:rsid w:val="007B3748"/>
    <w:rsid w:val="007B3922"/>
    <w:rsid w:val="007B4829"/>
    <w:rsid w:val="007B4BE5"/>
    <w:rsid w:val="007B51D6"/>
    <w:rsid w:val="007B59C8"/>
    <w:rsid w:val="007B5A41"/>
    <w:rsid w:val="007B5AF4"/>
    <w:rsid w:val="007B5BD0"/>
    <w:rsid w:val="007B5D60"/>
    <w:rsid w:val="007B5D97"/>
    <w:rsid w:val="007B6165"/>
    <w:rsid w:val="007B73E2"/>
    <w:rsid w:val="007B7BFB"/>
    <w:rsid w:val="007B7C4E"/>
    <w:rsid w:val="007C000D"/>
    <w:rsid w:val="007C0125"/>
    <w:rsid w:val="007C11EE"/>
    <w:rsid w:val="007C1876"/>
    <w:rsid w:val="007C1890"/>
    <w:rsid w:val="007C1958"/>
    <w:rsid w:val="007C1A10"/>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6F7"/>
    <w:rsid w:val="007C77F4"/>
    <w:rsid w:val="007C7AA3"/>
    <w:rsid w:val="007C7D5A"/>
    <w:rsid w:val="007D0A41"/>
    <w:rsid w:val="007D0C44"/>
    <w:rsid w:val="007D0F64"/>
    <w:rsid w:val="007D11CA"/>
    <w:rsid w:val="007D157C"/>
    <w:rsid w:val="007D1AFD"/>
    <w:rsid w:val="007D2165"/>
    <w:rsid w:val="007D3025"/>
    <w:rsid w:val="007D32C6"/>
    <w:rsid w:val="007D3716"/>
    <w:rsid w:val="007D3909"/>
    <w:rsid w:val="007D3D60"/>
    <w:rsid w:val="007D51F1"/>
    <w:rsid w:val="007D5748"/>
    <w:rsid w:val="007D5BA7"/>
    <w:rsid w:val="007D65DD"/>
    <w:rsid w:val="007D7A78"/>
    <w:rsid w:val="007D7E72"/>
    <w:rsid w:val="007E01DE"/>
    <w:rsid w:val="007E1029"/>
    <w:rsid w:val="007E1BA8"/>
    <w:rsid w:val="007E24A7"/>
    <w:rsid w:val="007E3B86"/>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72D"/>
    <w:rsid w:val="007F367C"/>
    <w:rsid w:val="007F454A"/>
    <w:rsid w:val="007F457B"/>
    <w:rsid w:val="007F4A95"/>
    <w:rsid w:val="007F4CDF"/>
    <w:rsid w:val="007F4EF2"/>
    <w:rsid w:val="007F51D3"/>
    <w:rsid w:val="007F63A2"/>
    <w:rsid w:val="007F68E6"/>
    <w:rsid w:val="007F71F5"/>
    <w:rsid w:val="007F7506"/>
    <w:rsid w:val="007F76BE"/>
    <w:rsid w:val="007F7D0B"/>
    <w:rsid w:val="0080066C"/>
    <w:rsid w:val="00802006"/>
    <w:rsid w:val="00802997"/>
    <w:rsid w:val="00803034"/>
    <w:rsid w:val="008037EC"/>
    <w:rsid w:val="008041B5"/>
    <w:rsid w:val="0080436E"/>
    <w:rsid w:val="00804C1F"/>
    <w:rsid w:val="00804D29"/>
    <w:rsid w:val="00805862"/>
    <w:rsid w:val="00805D9D"/>
    <w:rsid w:val="008067FA"/>
    <w:rsid w:val="00806BB6"/>
    <w:rsid w:val="00806F0A"/>
    <w:rsid w:val="00810611"/>
    <w:rsid w:val="00810B4C"/>
    <w:rsid w:val="00811240"/>
    <w:rsid w:val="00811432"/>
    <w:rsid w:val="00811CBA"/>
    <w:rsid w:val="008121E9"/>
    <w:rsid w:val="00812284"/>
    <w:rsid w:val="0081263A"/>
    <w:rsid w:val="00812CE3"/>
    <w:rsid w:val="00814113"/>
    <w:rsid w:val="00814876"/>
    <w:rsid w:val="00814C1C"/>
    <w:rsid w:val="00814D0B"/>
    <w:rsid w:val="00814F40"/>
    <w:rsid w:val="008150FE"/>
    <w:rsid w:val="008151D2"/>
    <w:rsid w:val="00815857"/>
    <w:rsid w:val="00815A20"/>
    <w:rsid w:val="00815B8B"/>
    <w:rsid w:val="0081634C"/>
    <w:rsid w:val="008165EE"/>
    <w:rsid w:val="008169E5"/>
    <w:rsid w:val="00816C8B"/>
    <w:rsid w:val="00816FAA"/>
    <w:rsid w:val="008179D5"/>
    <w:rsid w:val="00820087"/>
    <w:rsid w:val="00820180"/>
    <w:rsid w:val="0082076D"/>
    <w:rsid w:val="0082089C"/>
    <w:rsid w:val="00820A9A"/>
    <w:rsid w:val="00820CD2"/>
    <w:rsid w:val="008227E8"/>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4D6"/>
    <w:rsid w:val="00831801"/>
    <w:rsid w:val="00832043"/>
    <w:rsid w:val="008333B6"/>
    <w:rsid w:val="00835313"/>
    <w:rsid w:val="00835454"/>
    <w:rsid w:val="008359EC"/>
    <w:rsid w:val="00836BC5"/>
    <w:rsid w:val="00836D54"/>
    <w:rsid w:val="00840108"/>
    <w:rsid w:val="008408BC"/>
    <w:rsid w:val="00841035"/>
    <w:rsid w:val="00841627"/>
    <w:rsid w:val="008416E7"/>
    <w:rsid w:val="00841B52"/>
    <w:rsid w:val="0084218C"/>
    <w:rsid w:val="008423C6"/>
    <w:rsid w:val="00842526"/>
    <w:rsid w:val="00842761"/>
    <w:rsid w:val="00842AFA"/>
    <w:rsid w:val="00843DAF"/>
    <w:rsid w:val="008447BC"/>
    <w:rsid w:val="00844AB3"/>
    <w:rsid w:val="008451DC"/>
    <w:rsid w:val="0084649D"/>
    <w:rsid w:val="00846FC7"/>
    <w:rsid w:val="00847155"/>
    <w:rsid w:val="008471A3"/>
    <w:rsid w:val="00847717"/>
    <w:rsid w:val="008477FA"/>
    <w:rsid w:val="00847884"/>
    <w:rsid w:val="00847CE3"/>
    <w:rsid w:val="0085033A"/>
    <w:rsid w:val="008505B9"/>
    <w:rsid w:val="008505F1"/>
    <w:rsid w:val="00851432"/>
    <w:rsid w:val="008519A8"/>
    <w:rsid w:val="00851AD3"/>
    <w:rsid w:val="0085202F"/>
    <w:rsid w:val="0085232B"/>
    <w:rsid w:val="008529DB"/>
    <w:rsid w:val="00852ACC"/>
    <w:rsid w:val="008531C9"/>
    <w:rsid w:val="00853880"/>
    <w:rsid w:val="00853A24"/>
    <w:rsid w:val="00853F28"/>
    <w:rsid w:val="00854115"/>
    <w:rsid w:val="00854599"/>
    <w:rsid w:val="00854897"/>
    <w:rsid w:val="00854973"/>
    <w:rsid w:val="008550B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7C7"/>
    <w:rsid w:val="00863226"/>
    <w:rsid w:val="00864093"/>
    <w:rsid w:val="0086472C"/>
    <w:rsid w:val="00864998"/>
    <w:rsid w:val="008651DF"/>
    <w:rsid w:val="0086566A"/>
    <w:rsid w:val="00865711"/>
    <w:rsid w:val="00865B40"/>
    <w:rsid w:val="00865FBF"/>
    <w:rsid w:val="00866C65"/>
    <w:rsid w:val="00866CFD"/>
    <w:rsid w:val="00866F8E"/>
    <w:rsid w:val="0086750F"/>
    <w:rsid w:val="00871217"/>
    <w:rsid w:val="0087161B"/>
    <w:rsid w:val="00871EDB"/>
    <w:rsid w:val="00872368"/>
    <w:rsid w:val="008724D8"/>
    <w:rsid w:val="0087293C"/>
    <w:rsid w:val="00872B4A"/>
    <w:rsid w:val="00872FF2"/>
    <w:rsid w:val="00873197"/>
    <w:rsid w:val="008731A8"/>
    <w:rsid w:val="00874390"/>
    <w:rsid w:val="00874403"/>
    <w:rsid w:val="008744E1"/>
    <w:rsid w:val="008745C0"/>
    <w:rsid w:val="00874C75"/>
    <w:rsid w:val="00874F4E"/>
    <w:rsid w:val="008753C1"/>
    <w:rsid w:val="008756B7"/>
    <w:rsid w:val="0087591A"/>
    <w:rsid w:val="00875F79"/>
    <w:rsid w:val="00876B75"/>
    <w:rsid w:val="00877008"/>
    <w:rsid w:val="00880285"/>
    <w:rsid w:val="0088029D"/>
    <w:rsid w:val="008802D0"/>
    <w:rsid w:val="00880B17"/>
    <w:rsid w:val="00880F64"/>
    <w:rsid w:val="00881464"/>
    <w:rsid w:val="00881F89"/>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848"/>
    <w:rsid w:val="00896975"/>
    <w:rsid w:val="00896FB7"/>
    <w:rsid w:val="008977AF"/>
    <w:rsid w:val="0089785A"/>
    <w:rsid w:val="00897BAD"/>
    <w:rsid w:val="008A01B1"/>
    <w:rsid w:val="008A0A45"/>
    <w:rsid w:val="008A14E4"/>
    <w:rsid w:val="008A1D0D"/>
    <w:rsid w:val="008A1F76"/>
    <w:rsid w:val="008A1F8C"/>
    <w:rsid w:val="008A23EA"/>
    <w:rsid w:val="008A2C10"/>
    <w:rsid w:val="008A3179"/>
    <w:rsid w:val="008A33CF"/>
    <w:rsid w:val="008A3C6E"/>
    <w:rsid w:val="008A43BD"/>
    <w:rsid w:val="008A4A1B"/>
    <w:rsid w:val="008A59E1"/>
    <w:rsid w:val="008A5E51"/>
    <w:rsid w:val="008A60AC"/>
    <w:rsid w:val="008A619C"/>
    <w:rsid w:val="008A7193"/>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3AAC"/>
    <w:rsid w:val="008B4B2D"/>
    <w:rsid w:val="008B4C88"/>
    <w:rsid w:val="008B5326"/>
    <w:rsid w:val="008B5512"/>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26B0"/>
    <w:rsid w:val="008D2763"/>
    <w:rsid w:val="008D2D3F"/>
    <w:rsid w:val="008D2D4F"/>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97A"/>
    <w:rsid w:val="008E0B5D"/>
    <w:rsid w:val="008E1029"/>
    <w:rsid w:val="008E10CD"/>
    <w:rsid w:val="008E124E"/>
    <w:rsid w:val="008E1E3B"/>
    <w:rsid w:val="008E2682"/>
    <w:rsid w:val="008E2F4F"/>
    <w:rsid w:val="008E317C"/>
    <w:rsid w:val="008E33D0"/>
    <w:rsid w:val="008E3C8D"/>
    <w:rsid w:val="008E3D57"/>
    <w:rsid w:val="008E3ECA"/>
    <w:rsid w:val="008E3EDA"/>
    <w:rsid w:val="008E4255"/>
    <w:rsid w:val="008E4FED"/>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66C7"/>
    <w:rsid w:val="008F7752"/>
    <w:rsid w:val="0090034D"/>
    <w:rsid w:val="009010E5"/>
    <w:rsid w:val="0090143C"/>
    <w:rsid w:val="00901848"/>
    <w:rsid w:val="00901A3C"/>
    <w:rsid w:val="009023AC"/>
    <w:rsid w:val="0090289A"/>
    <w:rsid w:val="00902D5D"/>
    <w:rsid w:val="00903A10"/>
    <w:rsid w:val="00903A93"/>
    <w:rsid w:val="0090510D"/>
    <w:rsid w:val="00905BF8"/>
    <w:rsid w:val="009066EC"/>
    <w:rsid w:val="00906996"/>
    <w:rsid w:val="00907017"/>
    <w:rsid w:val="009070E8"/>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715E"/>
    <w:rsid w:val="0092736E"/>
    <w:rsid w:val="009273F6"/>
    <w:rsid w:val="00927557"/>
    <w:rsid w:val="009275B7"/>
    <w:rsid w:val="00930F22"/>
    <w:rsid w:val="00931CBB"/>
    <w:rsid w:val="00931FF2"/>
    <w:rsid w:val="0093249A"/>
    <w:rsid w:val="009325DF"/>
    <w:rsid w:val="0093290E"/>
    <w:rsid w:val="00932A02"/>
    <w:rsid w:val="00932FAC"/>
    <w:rsid w:val="00933B73"/>
    <w:rsid w:val="00934260"/>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37CE9"/>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6C2"/>
    <w:rsid w:val="009526CF"/>
    <w:rsid w:val="0095284F"/>
    <w:rsid w:val="00952CF0"/>
    <w:rsid w:val="00952FA6"/>
    <w:rsid w:val="0095327E"/>
    <w:rsid w:val="00953479"/>
    <w:rsid w:val="00954233"/>
    <w:rsid w:val="00954FDB"/>
    <w:rsid w:val="009550B1"/>
    <w:rsid w:val="009554D4"/>
    <w:rsid w:val="00955D16"/>
    <w:rsid w:val="00955DA1"/>
    <w:rsid w:val="00956C71"/>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DBF"/>
    <w:rsid w:val="00961EDA"/>
    <w:rsid w:val="009635C1"/>
    <w:rsid w:val="00963B90"/>
    <w:rsid w:val="009640FB"/>
    <w:rsid w:val="00964F9A"/>
    <w:rsid w:val="0096572C"/>
    <w:rsid w:val="00966ACC"/>
    <w:rsid w:val="00966DDE"/>
    <w:rsid w:val="009671E2"/>
    <w:rsid w:val="00967327"/>
    <w:rsid w:val="0096733F"/>
    <w:rsid w:val="0096772B"/>
    <w:rsid w:val="0097022B"/>
    <w:rsid w:val="009711E2"/>
    <w:rsid w:val="0097124B"/>
    <w:rsid w:val="0097141C"/>
    <w:rsid w:val="0097146B"/>
    <w:rsid w:val="009719CE"/>
    <w:rsid w:val="00972F08"/>
    <w:rsid w:val="00972F15"/>
    <w:rsid w:val="00973758"/>
    <w:rsid w:val="00974B73"/>
    <w:rsid w:val="00974E28"/>
    <w:rsid w:val="00975819"/>
    <w:rsid w:val="00975913"/>
    <w:rsid w:val="00975A39"/>
    <w:rsid w:val="00976330"/>
    <w:rsid w:val="009763C0"/>
    <w:rsid w:val="00976853"/>
    <w:rsid w:val="00976B0C"/>
    <w:rsid w:val="00976D3D"/>
    <w:rsid w:val="00981941"/>
    <w:rsid w:val="00981DF7"/>
    <w:rsid w:val="009825E5"/>
    <w:rsid w:val="009829E7"/>
    <w:rsid w:val="00983171"/>
    <w:rsid w:val="0098322C"/>
    <w:rsid w:val="0098326C"/>
    <w:rsid w:val="00983B7D"/>
    <w:rsid w:val="00984B20"/>
    <w:rsid w:val="00984B2A"/>
    <w:rsid w:val="00984BC6"/>
    <w:rsid w:val="00984EA9"/>
    <w:rsid w:val="00985727"/>
    <w:rsid w:val="00986448"/>
    <w:rsid w:val="0098645E"/>
    <w:rsid w:val="0098732E"/>
    <w:rsid w:val="009875FE"/>
    <w:rsid w:val="009900B9"/>
    <w:rsid w:val="00990A97"/>
    <w:rsid w:val="00991130"/>
    <w:rsid w:val="00991156"/>
    <w:rsid w:val="00991770"/>
    <w:rsid w:val="00991AA5"/>
    <w:rsid w:val="00991C18"/>
    <w:rsid w:val="00991C9E"/>
    <w:rsid w:val="0099221F"/>
    <w:rsid w:val="00993B83"/>
    <w:rsid w:val="0099416A"/>
    <w:rsid w:val="009944C8"/>
    <w:rsid w:val="00994560"/>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545"/>
    <w:rsid w:val="009A4B92"/>
    <w:rsid w:val="009A4FCE"/>
    <w:rsid w:val="009A5809"/>
    <w:rsid w:val="009A5E31"/>
    <w:rsid w:val="009A5F0C"/>
    <w:rsid w:val="009A6110"/>
    <w:rsid w:val="009A6726"/>
    <w:rsid w:val="009A68C7"/>
    <w:rsid w:val="009A7A56"/>
    <w:rsid w:val="009A7AD6"/>
    <w:rsid w:val="009A7C16"/>
    <w:rsid w:val="009A7EFE"/>
    <w:rsid w:val="009B0061"/>
    <w:rsid w:val="009B03C0"/>
    <w:rsid w:val="009B08BB"/>
    <w:rsid w:val="009B092C"/>
    <w:rsid w:val="009B0B26"/>
    <w:rsid w:val="009B0BA2"/>
    <w:rsid w:val="009B110E"/>
    <w:rsid w:val="009B1AA5"/>
    <w:rsid w:val="009B1B1B"/>
    <w:rsid w:val="009B2CD3"/>
    <w:rsid w:val="009B349B"/>
    <w:rsid w:val="009B3753"/>
    <w:rsid w:val="009B3918"/>
    <w:rsid w:val="009B4085"/>
    <w:rsid w:val="009B4184"/>
    <w:rsid w:val="009B43C3"/>
    <w:rsid w:val="009B4A40"/>
    <w:rsid w:val="009B4CBA"/>
    <w:rsid w:val="009B5120"/>
    <w:rsid w:val="009B5515"/>
    <w:rsid w:val="009B588D"/>
    <w:rsid w:val="009B663C"/>
    <w:rsid w:val="009B6911"/>
    <w:rsid w:val="009B6B15"/>
    <w:rsid w:val="009B6C98"/>
    <w:rsid w:val="009B6D1C"/>
    <w:rsid w:val="009B7046"/>
    <w:rsid w:val="009B717E"/>
    <w:rsid w:val="009B7995"/>
    <w:rsid w:val="009B7F4E"/>
    <w:rsid w:val="009C069A"/>
    <w:rsid w:val="009C0D70"/>
    <w:rsid w:val="009C10F0"/>
    <w:rsid w:val="009C115A"/>
    <w:rsid w:val="009C3610"/>
    <w:rsid w:val="009C3F94"/>
    <w:rsid w:val="009C4471"/>
    <w:rsid w:val="009C4592"/>
    <w:rsid w:val="009C486A"/>
    <w:rsid w:val="009C4CB8"/>
    <w:rsid w:val="009C55F9"/>
    <w:rsid w:val="009C5AB7"/>
    <w:rsid w:val="009C6E64"/>
    <w:rsid w:val="009D075E"/>
    <w:rsid w:val="009D09EB"/>
    <w:rsid w:val="009D165D"/>
    <w:rsid w:val="009D1CB2"/>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12C"/>
    <w:rsid w:val="009E4246"/>
    <w:rsid w:val="009E427F"/>
    <w:rsid w:val="009E4962"/>
    <w:rsid w:val="009E4997"/>
    <w:rsid w:val="009E57D9"/>
    <w:rsid w:val="009E625C"/>
    <w:rsid w:val="009E689B"/>
    <w:rsid w:val="009E6B17"/>
    <w:rsid w:val="009E707F"/>
    <w:rsid w:val="009E7091"/>
    <w:rsid w:val="009E7895"/>
    <w:rsid w:val="009E78D0"/>
    <w:rsid w:val="009E7C8D"/>
    <w:rsid w:val="009F0139"/>
    <w:rsid w:val="009F0321"/>
    <w:rsid w:val="009F22AC"/>
    <w:rsid w:val="009F3023"/>
    <w:rsid w:val="009F3168"/>
    <w:rsid w:val="009F3764"/>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4223"/>
    <w:rsid w:val="00A04442"/>
    <w:rsid w:val="00A06B9D"/>
    <w:rsid w:val="00A06D05"/>
    <w:rsid w:val="00A07B03"/>
    <w:rsid w:val="00A07E1D"/>
    <w:rsid w:val="00A10F8B"/>
    <w:rsid w:val="00A11310"/>
    <w:rsid w:val="00A116A5"/>
    <w:rsid w:val="00A11DA2"/>
    <w:rsid w:val="00A1286D"/>
    <w:rsid w:val="00A12E19"/>
    <w:rsid w:val="00A13168"/>
    <w:rsid w:val="00A132BC"/>
    <w:rsid w:val="00A133E4"/>
    <w:rsid w:val="00A13A79"/>
    <w:rsid w:val="00A1403B"/>
    <w:rsid w:val="00A14331"/>
    <w:rsid w:val="00A14A7C"/>
    <w:rsid w:val="00A14C53"/>
    <w:rsid w:val="00A14E9D"/>
    <w:rsid w:val="00A156C9"/>
    <w:rsid w:val="00A161EC"/>
    <w:rsid w:val="00A162AC"/>
    <w:rsid w:val="00A17997"/>
    <w:rsid w:val="00A20DA8"/>
    <w:rsid w:val="00A219A5"/>
    <w:rsid w:val="00A21A28"/>
    <w:rsid w:val="00A21D5B"/>
    <w:rsid w:val="00A221CC"/>
    <w:rsid w:val="00A22286"/>
    <w:rsid w:val="00A22559"/>
    <w:rsid w:val="00A22A7C"/>
    <w:rsid w:val="00A22F33"/>
    <w:rsid w:val="00A239A7"/>
    <w:rsid w:val="00A23A16"/>
    <w:rsid w:val="00A23D8F"/>
    <w:rsid w:val="00A24C65"/>
    <w:rsid w:val="00A25AEE"/>
    <w:rsid w:val="00A260E8"/>
    <w:rsid w:val="00A26376"/>
    <w:rsid w:val="00A26BE1"/>
    <w:rsid w:val="00A272B3"/>
    <w:rsid w:val="00A30B46"/>
    <w:rsid w:val="00A30C5A"/>
    <w:rsid w:val="00A30E30"/>
    <w:rsid w:val="00A316E2"/>
    <w:rsid w:val="00A3232F"/>
    <w:rsid w:val="00A32AF8"/>
    <w:rsid w:val="00A32E20"/>
    <w:rsid w:val="00A32F0C"/>
    <w:rsid w:val="00A33001"/>
    <w:rsid w:val="00A33043"/>
    <w:rsid w:val="00A3308B"/>
    <w:rsid w:val="00A33FD9"/>
    <w:rsid w:val="00A348EA"/>
    <w:rsid w:val="00A34AB3"/>
    <w:rsid w:val="00A34FB7"/>
    <w:rsid w:val="00A35477"/>
    <w:rsid w:val="00A35E40"/>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B15"/>
    <w:rsid w:val="00A43F88"/>
    <w:rsid w:val="00A43FC7"/>
    <w:rsid w:val="00A44710"/>
    <w:rsid w:val="00A44C38"/>
    <w:rsid w:val="00A45F0E"/>
    <w:rsid w:val="00A46227"/>
    <w:rsid w:val="00A467DE"/>
    <w:rsid w:val="00A46AD4"/>
    <w:rsid w:val="00A46BAE"/>
    <w:rsid w:val="00A505C0"/>
    <w:rsid w:val="00A50D09"/>
    <w:rsid w:val="00A50EA9"/>
    <w:rsid w:val="00A50F2F"/>
    <w:rsid w:val="00A51ECD"/>
    <w:rsid w:val="00A51F65"/>
    <w:rsid w:val="00A52E93"/>
    <w:rsid w:val="00A53059"/>
    <w:rsid w:val="00A53403"/>
    <w:rsid w:val="00A54084"/>
    <w:rsid w:val="00A5471B"/>
    <w:rsid w:val="00A549CA"/>
    <w:rsid w:val="00A54AAA"/>
    <w:rsid w:val="00A54B5A"/>
    <w:rsid w:val="00A54F1C"/>
    <w:rsid w:val="00A56DCC"/>
    <w:rsid w:val="00A57336"/>
    <w:rsid w:val="00A574E2"/>
    <w:rsid w:val="00A5781B"/>
    <w:rsid w:val="00A57A64"/>
    <w:rsid w:val="00A57FA8"/>
    <w:rsid w:val="00A607AF"/>
    <w:rsid w:val="00A608D2"/>
    <w:rsid w:val="00A623FD"/>
    <w:rsid w:val="00A6258F"/>
    <w:rsid w:val="00A625A2"/>
    <w:rsid w:val="00A629BF"/>
    <w:rsid w:val="00A62CBF"/>
    <w:rsid w:val="00A64617"/>
    <w:rsid w:val="00A651AC"/>
    <w:rsid w:val="00A65578"/>
    <w:rsid w:val="00A661A8"/>
    <w:rsid w:val="00A66228"/>
    <w:rsid w:val="00A667A2"/>
    <w:rsid w:val="00A66AFD"/>
    <w:rsid w:val="00A66E51"/>
    <w:rsid w:val="00A66F7B"/>
    <w:rsid w:val="00A66FD9"/>
    <w:rsid w:val="00A67588"/>
    <w:rsid w:val="00A70357"/>
    <w:rsid w:val="00A712B8"/>
    <w:rsid w:val="00A721C5"/>
    <w:rsid w:val="00A72219"/>
    <w:rsid w:val="00A725E3"/>
    <w:rsid w:val="00A726F2"/>
    <w:rsid w:val="00A72A07"/>
    <w:rsid w:val="00A73493"/>
    <w:rsid w:val="00A73984"/>
    <w:rsid w:val="00A73A8D"/>
    <w:rsid w:val="00A748A0"/>
    <w:rsid w:val="00A75581"/>
    <w:rsid w:val="00A75706"/>
    <w:rsid w:val="00A75B37"/>
    <w:rsid w:val="00A75C2A"/>
    <w:rsid w:val="00A75FA4"/>
    <w:rsid w:val="00A7685A"/>
    <w:rsid w:val="00A77A28"/>
    <w:rsid w:val="00A77D01"/>
    <w:rsid w:val="00A80434"/>
    <w:rsid w:val="00A80B92"/>
    <w:rsid w:val="00A812DA"/>
    <w:rsid w:val="00A81790"/>
    <w:rsid w:val="00A81D22"/>
    <w:rsid w:val="00A826B4"/>
    <w:rsid w:val="00A8383A"/>
    <w:rsid w:val="00A84836"/>
    <w:rsid w:val="00A84A2A"/>
    <w:rsid w:val="00A84B69"/>
    <w:rsid w:val="00A84EE4"/>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9FA"/>
    <w:rsid w:val="00A93DB3"/>
    <w:rsid w:val="00A93FF3"/>
    <w:rsid w:val="00A94BC2"/>
    <w:rsid w:val="00A94C74"/>
    <w:rsid w:val="00A95248"/>
    <w:rsid w:val="00A95CA1"/>
    <w:rsid w:val="00A95D84"/>
    <w:rsid w:val="00A966C3"/>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49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15C0"/>
    <w:rsid w:val="00AB1BCD"/>
    <w:rsid w:val="00AB1C29"/>
    <w:rsid w:val="00AB1C31"/>
    <w:rsid w:val="00AB23B8"/>
    <w:rsid w:val="00AB27B1"/>
    <w:rsid w:val="00AB2A9F"/>
    <w:rsid w:val="00AB2D9A"/>
    <w:rsid w:val="00AB3E69"/>
    <w:rsid w:val="00AB3FA2"/>
    <w:rsid w:val="00AB40FB"/>
    <w:rsid w:val="00AB428A"/>
    <w:rsid w:val="00AB4693"/>
    <w:rsid w:val="00AB4BD3"/>
    <w:rsid w:val="00AB5360"/>
    <w:rsid w:val="00AB5571"/>
    <w:rsid w:val="00AB57EB"/>
    <w:rsid w:val="00AB5C19"/>
    <w:rsid w:val="00AB6EB6"/>
    <w:rsid w:val="00AB74F0"/>
    <w:rsid w:val="00AB7C22"/>
    <w:rsid w:val="00AB7F60"/>
    <w:rsid w:val="00AC00A1"/>
    <w:rsid w:val="00AC0A1E"/>
    <w:rsid w:val="00AC0C09"/>
    <w:rsid w:val="00AC0C31"/>
    <w:rsid w:val="00AC0EDD"/>
    <w:rsid w:val="00AC15AD"/>
    <w:rsid w:val="00AC185D"/>
    <w:rsid w:val="00AC1A1C"/>
    <w:rsid w:val="00AC26C5"/>
    <w:rsid w:val="00AC27CE"/>
    <w:rsid w:val="00AC39A5"/>
    <w:rsid w:val="00AC3AE0"/>
    <w:rsid w:val="00AC40CD"/>
    <w:rsid w:val="00AC45A7"/>
    <w:rsid w:val="00AC4625"/>
    <w:rsid w:val="00AC4807"/>
    <w:rsid w:val="00AC4AFE"/>
    <w:rsid w:val="00AC52F3"/>
    <w:rsid w:val="00AC5948"/>
    <w:rsid w:val="00AC5E61"/>
    <w:rsid w:val="00AC5F76"/>
    <w:rsid w:val="00AC665B"/>
    <w:rsid w:val="00AC677D"/>
    <w:rsid w:val="00AC6B83"/>
    <w:rsid w:val="00AC7454"/>
    <w:rsid w:val="00AC7EE9"/>
    <w:rsid w:val="00AD0181"/>
    <w:rsid w:val="00AD0472"/>
    <w:rsid w:val="00AD0D4A"/>
    <w:rsid w:val="00AD136B"/>
    <w:rsid w:val="00AD151D"/>
    <w:rsid w:val="00AD1C3D"/>
    <w:rsid w:val="00AD2D67"/>
    <w:rsid w:val="00AD316C"/>
    <w:rsid w:val="00AD39AB"/>
    <w:rsid w:val="00AD3A5E"/>
    <w:rsid w:val="00AD3CED"/>
    <w:rsid w:val="00AD444A"/>
    <w:rsid w:val="00AD45A6"/>
    <w:rsid w:val="00AD53FA"/>
    <w:rsid w:val="00AD595D"/>
    <w:rsid w:val="00AD608C"/>
    <w:rsid w:val="00AD65A5"/>
    <w:rsid w:val="00AD65E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914"/>
    <w:rsid w:val="00AE3EC8"/>
    <w:rsid w:val="00AE3EE2"/>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180"/>
    <w:rsid w:val="00AF25AF"/>
    <w:rsid w:val="00AF2BDC"/>
    <w:rsid w:val="00AF304C"/>
    <w:rsid w:val="00AF3791"/>
    <w:rsid w:val="00AF3862"/>
    <w:rsid w:val="00AF397A"/>
    <w:rsid w:val="00AF3FEA"/>
    <w:rsid w:val="00AF48DE"/>
    <w:rsid w:val="00AF5641"/>
    <w:rsid w:val="00AF5E32"/>
    <w:rsid w:val="00AF5E7D"/>
    <w:rsid w:val="00AF5F4E"/>
    <w:rsid w:val="00AF6126"/>
    <w:rsid w:val="00AF636E"/>
    <w:rsid w:val="00AF6ACE"/>
    <w:rsid w:val="00AF75C5"/>
    <w:rsid w:val="00AF7AFB"/>
    <w:rsid w:val="00AF7CC0"/>
    <w:rsid w:val="00AF7D8D"/>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81D"/>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198"/>
    <w:rsid w:val="00B12903"/>
    <w:rsid w:val="00B12DE3"/>
    <w:rsid w:val="00B139B9"/>
    <w:rsid w:val="00B13FA0"/>
    <w:rsid w:val="00B14476"/>
    <w:rsid w:val="00B14700"/>
    <w:rsid w:val="00B14D53"/>
    <w:rsid w:val="00B14E2B"/>
    <w:rsid w:val="00B15F37"/>
    <w:rsid w:val="00B160AF"/>
    <w:rsid w:val="00B17079"/>
    <w:rsid w:val="00B176FC"/>
    <w:rsid w:val="00B17AA6"/>
    <w:rsid w:val="00B205D8"/>
    <w:rsid w:val="00B2086B"/>
    <w:rsid w:val="00B20B18"/>
    <w:rsid w:val="00B20BBD"/>
    <w:rsid w:val="00B20E80"/>
    <w:rsid w:val="00B20F59"/>
    <w:rsid w:val="00B2106D"/>
    <w:rsid w:val="00B21E57"/>
    <w:rsid w:val="00B21FCA"/>
    <w:rsid w:val="00B2224F"/>
    <w:rsid w:val="00B229A2"/>
    <w:rsid w:val="00B231DD"/>
    <w:rsid w:val="00B233AB"/>
    <w:rsid w:val="00B23675"/>
    <w:rsid w:val="00B23F9E"/>
    <w:rsid w:val="00B24532"/>
    <w:rsid w:val="00B24B51"/>
    <w:rsid w:val="00B24BD7"/>
    <w:rsid w:val="00B25408"/>
    <w:rsid w:val="00B25428"/>
    <w:rsid w:val="00B255E2"/>
    <w:rsid w:val="00B2570D"/>
    <w:rsid w:val="00B25CEF"/>
    <w:rsid w:val="00B25D66"/>
    <w:rsid w:val="00B25E26"/>
    <w:rsid w:val="00B25E6E"/>
    <w:rsid w:val="00B25E7C"/>
    <w:rsid w:val="00B26433"/>
    <w:rsid w:val="00B264B7"/>
    <w:rsid w:val="00B26B13"/>
    <w:rsid w:val="00B26BE0"/>
    <w:rsid w:val="00B26CF8"/>
    <w:rsid w:val="00B26D4F"/>
    <w:rsid w:val="00B27109"/>
    <w:rsid w:val="00B305B9"/>
    <w:rsid w:val="00B30819"/>
    <w:rsid w:val="00B30FD5"/>
    <w:rsid w:val="00B31F8E"/>
    <w:rsid w:val="00B3222E"/>
    <w:rsid w:val="00B32B43"/>
    <w:rsid w:val="00B33458"/>
    <w:rsid w:val="00B34319"/>
    <w:rsid w:val="00B3432A"/>
    <w:rsid w:val="00B3459D"/>
    <w:rsid w:val="00B348AE"/>
    <w:rsid w:val="00B34B8B"/>
    <w:rsid w:val="00B35256"/>
    <w:rsid w:val="00B35835"/>
    <w:rsid w:val="00B35E65"/>
    <w:rsid w:val="00B362F0"/>
    <w:rsid w:val="00B364C9"/>
    <w:rsid w:val="00B3663A"/>
    <w:rsid w:val="00B367B6"/>
    <w:rsid w:val="00B36820"/>
    <w:rsid w:val="00B36A88"/>
    <w:rsid w:val="00B373BD"/>
    <w:rsid w:val="00B37555"/>
    <w:rsid w:val="00B37715"/>
    <w:rsid w:val="00B37B07"/>
    <w:rsid w:val="00B37F23"/>
    <w:rsid w:val="00B404C9"/>
    <w:rsid w:val="00B40A48"/>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792"/>
    <w:rsid w:val="00B449BF"/>
    <w:rsid w:val="00B4544C"/>
    <w:rsid w:val="00B45719"/>
    <w:rsid w:val="00B4575D"/>
    <w:rsid w:val="00B45849"/>
    <w:rsid w:val="00B45E32"/>
    <w:rsid w:val="00B462A7"/>
    <w:rsid w:val="00B4640C"/>
    <w:rsid w:val="00B467EE"/>
    <w:rsid w:val="00B46E52"/>
    <w:rsid w:val="00B4704D"/>
    <w:rsid w:val="00B47144"/>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2E4"/>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221"/>
    <w:rsid w:val="00B6763C"/>
    <w:rsid w:val="00B7000E"/>
    <w:rsid w:val="00B705F8"/>
    <w:rsid w:val="00B708F1"/>
    <w:rsid w:val="00B70D8C"/>
    <w:rsid w:val="00B71E47"/>
    <w:rsid w:val="00B72110"/>
    <w:rsid w:val="00B72237"/>
    <w:rsid w:val="00B726B0"/>
    <w:rsid w:val="00B72C0B"/>
    <w:rsid w:val="00B72DA3"/>
    <w:rsid w:val="00B72E8E"/>
    <w:rsid w:val="00B73C0E"/>
    <w:rsid w:val="00B7465A"/>
    <w:rsid w:val="00B7496A"/>
    <w:rsid w:val="00B75AD8"/>
    <w:rsid w:val="00B75CCD"/>
    <w:rsid w:val="00B76404"/>
    <w:rsid w:val="00B76646"/>
    <w:rsid w:val="00B76E29"/>
    <w:rsid w:val="00B77139"/>
    <w:rsid w:val="00B77CB2"/>
    <w:rsid w:val="00B77DAE"/>
    <w:rsid w:val="00B77F53"/>
    <w:rsid w:val="00B80835"/>
    <w:rsid w:val="00B81176"/>
    <w:rsid w:val="00B818C4"/>
    <w:rsid w:val="00B81FC9"/>
    <w:rsid w:val="00B8216E"/>
    <w:rsid w:val="00B82577"/>
    <w:rsid w:val="00B82D36"/>
    <w:rsid w:val="00B82D8B"/>
    <w:rsid w:val="00B82F76"/>
    <w:rsid w:val="00B82FC9"/>
    <w:rsid w:val="00B837FC"/>
    <w:rsid w:val="00B84089"/>
    <w:rsid w:val="00B846B3"/>
    <w:rsid w:val="00B84788"/>
    <w:rsid w:val="00B848DF"/>
    <w:rsid w:val="00B84AD9"/>
    <w:rsid w:val="00B84C67"/>
    <w:rsid w:val="00B856CE"/>
    <w:rsid w:val="00B85A4F"/>
    <w:rsid w:val="00B85DFC"/>
    <w:rsid w:val="00B85EC6"/>
    <w:rsid w:val="00B87741"/>
    <w:rsid w:val="00B90706"/>
    <w:rsid w:val="00B9075A"/>
    <w:rsid w:val="00B90B50"/>
    <w:rsid w:val="00B910B6"/>
    <w:rsid w:val="00B911CD"/>
    <w:rsid w:val="00B91D96"/>
    <w:rsid w:val="00B91DDF"/>
    <w:rsid w:val="00B9282B"/>
    <w:rsid w:val="00B934B9"/>
    <w:rsid w:val="00B937A6"/>
    <w:rsid w:val="00B93895"/>
    <w:rsid w:val="00B951DC"/>
    <w:rsid w:val="00B95966"/>
    <w:rsid w:val="00B9613A"/>
    <w:rsid w:val="00B961AD"/>
    <w:rsid w:val="00B96250"/>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6E52"/>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4CCB"/>
    <w:rsid w:val="00BB5696"/>
    <w:rsid w:val="00BB5746"/>
    <w:rsid w:val="00BB57D6"/>
    <w:rsid w:val="00BB5A9D"/>
    <w:rsid w:val="00BB5E53"/>
    <w:rsid w:val="00BB5E6B"/>
    <w:rsid w:val="00BB6BC6"/>
    <w:rsid w:val="00BB70F5"/>
    <w:rsid w:val="00BB7135"/>
    <w:rsid w:val="00BB73D0"/>
    <w:rsid w:val="00BB742A"/>
    <w:rsid w:val="00BB7524"/>
    <w:rsid w:val="00BB7ADC"/>
    <w:rsid w:val="00BC04F0"/>
    <w:rsid w:val="00BC0F86"/>
    <w:rsid w:val="00BC1147"/>
    <w:rsid w:val="00BC252B"/>
    <w:rsid w:val="00BC29D6"/>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7A6"/>
    <w:rsid w:val="00BD0496"/>
    <w:rsid w:val="00BD08AF"/>
    <w:rsid w:val="00BD0E70"/>
    <w:rsid w:val="00BD13D8"/>
    <w:rsid w:val="00BD1A54"/>
    <w:rsid w:val="00BD1ACD"/>
    <w:rsid w:val="00BD1B30"/>
    <w:rsid w:val="00BD2163"/>
    <w:rsid w:val="00BD2786"/>
    <w:rsid w:val="00BD283D"/>
    <w:rsid w:val="00BD3179"/>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2F7C"/>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E12"/>
    <w:rsid w:val="00BF0F55"/>
    <w:rsid w:val="00BF132D"/>
    <w:rsid w:val="00BF1CF1"/>
    <w:rsid w:val="00BF1D6A"/>
    <w:rsid w:val="00BF223E"/>
    <w:rsid w:val="00BF2260"/>
    <w:rsid w:val="00BF294E"/>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74"/>
    <w:rsid w:val="00BF78E1"/>
    <w:rsid w:val="00BF7D24"/>
    <w:rsid w:val="00BF7F3A"/>
    <w:rsid w:val="00C0016D"/>
    <w:rsid w:val="00C00806"/>
    <w:rsid w:val="00C00A72"/>
    <w:rsid w:val="00C021AA"/>
    <w:rsid w:val="00C02FAA"/>
    <w:rsid w:val="00C03191"/>
    <w:rsid w:val="00C032CD"/>
    <w:rsid w:val="00C03D23"/>
    <w:rsid w:val="00C03DFB"/>
    <w:rsid w:val="00C03F16"/>
    <w:rsid w:val="00C04406"/>
    <w:rsid w:val="00C04C8F"/>
    <w:rsid w:val="00C04CC9"/>
    <w:rsid w:val="00C04E24"/>
    <w:rsid w:val="00C05C4A"/>
    <w:rsid w:val="00C064A3"/>
    <w:rsid w:val="00C06790"/>
    <w:rsid w:val="00C06979"/>
    <w:rsid w:val="00C06AE7"/>
    <w:rsid w:val="00C078E4"/>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2B97"/>
    <w:rsid w:val="00C2374B"/>
    <w:rsid w:val="00C23C26"/>
    <w:rsid w:val="00C241D5"/>
    <w:rsid w:val="00C2451D"/>
    <w:rsid w:val="00C246EB"/>
    <w:rsid w:val="00C24836"/>
    <w:rsid w:val="00C249C1"/>
    <w:rsid w:val="00C24E56"/>
    <w:rsid w:val="00C25465"/>
    <w:rsid w:val="00C254CA"/>
    <w:rsid w:val="00C255B3"/>
    <w:rsid w:val="00C258E2"/>
    <w:rsid w:val="00C25A9D"/>
    <w:rsid w:val="00C26457"/>
    <w:rsid w:val="00C26484"/>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10D"/>
    <w:rsid w:val="00C36A0F"/>
    <w:rsid w:val="00C37622"/>
    <w:rsid w:val="00C37847"/>
    <w:rsid w:val="00C37ECB"/>
    <w:rsid w:val="00C40183"/>
    <w:rsid w:val="00C402B1"/>
    <w:rsid w:val="00C4048F"/>
    <w:rsid w:val="00C41678"/>
    <w:rsid w:val="00C42C2D"/>
    <w:rsid w:val="00C42CC1"/>
    <w:rsid w:val="00C438DE"/>
    <w:rsid w:val="00C43993"/>
    <w:rsid w:val="00C44599"/>
    <w:rsid w:val="00C44C62"/>
    <w:rsid w:val="00C452FD"/>
    <w:rsid w:val="00C46420"/>
    <w:rsid w:val="00C47A43"/>
    <w:rsid w:val="00C50054"/>
    <w:rsid w:val="00C50AF6"/>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B7D"/>
    <w:rsid w:val="00C57320"/>
    <w:rsid w:val="00C573DB"/>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C85"/>
    <w:rsid w:val="00C665C5"/>
    <w:rsid w:val="00C673B5"/>
    <w:rsid w:val="00C67A5C"/>
    <w:rsid w:val="00C67B20"/>
    <w:rsid w:val="00C70098"/>
    <w:rsid w:val="00C70EDF"/>
    <w:rsid w:val="00C71646"/>
    <w:rsid w:val="00C71855"/>
    <w:rsid w:val="00C71C95"/>
    <w:rsid w:val="00C71E74"/>
    <w:rsid w:val="00C72214"/>
    <w:rsid w:val="00C72E33"/>
    <w:rsid w:val="00C736C8"/>
    <w:rsid w:val="00C739E8"/>
    <w:rsid w:val="00C740D3"/>
    <w:rsid w:val="00C744AF"/>
    <w:rsid w:val="00C746B0"/>
    <w:rsid w:val="00C74775"/>
    <w:rsid w:val="00C74B10"/>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AA2"/>
    <w:rsid w:val="00C90C24"/>
    <w:rsid w:val="00C90E21"/>
    <w:rsid w:val="00C9108D"/>
    <w:rsid w:val="00C912FC"/>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A38"/>
    <w:rsid w:val="00C94F81"/>
    <w:rsid w:val="00C951D7"/>
    <w:rsid w:val="00C957F8"/>
    <w:rsid w:val="00C96992"/>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64F"/>
    <w:rsid w:val="00CC38C3"/>
    <w:rsid w:val="00CC3E29"/>
    <w:rsid w:val="00CC4495"/>
    <w:rsid w:val="00CC475F"/>
    <w:rsid w:val="00CC4A7E"/>
    <w:rsid w:val="00CC4B28"/>
    <w:rsid w:val="00CC59BA"/>
    <w:rsid w:val="00CC5DA2"/>
    <w:rsid w:val="00CC5E0F"/>
    <w:rsid w:val="00CC655A"/>
    <w:rsid w:val="00CC77EF"/>
    <w:rsid w:val="00CC78AF"/>
    <w:rsid w:val="00CD0872"/>
    <w:rsid w:val="00CD0F15"/>
    <w:rsid w:val="00CD1A52"/>
    <w:rsid w:val="00CD1B17"/>
    <w:rsid w:val="00CD1BFF"/>
    <w:rsid w:val="00CD269E"/>
    <w:rsid w:val="00CD2A9C"/>
    <w:rsid w:val="00CD2CAE"/>
    <w:rsid w:val="00CD2D22"/>
    <w:rsid w:val="00CD2D33"/>
    <w:rsid w:val="00CD3463"/>
    <w:rsid w:val="00CD3C4C"/>
    <w:rsid w:val="00CD3EE6"/>
    <w:rsid w:val="00CD411A"/>
    <w:rsid w:val="00CD4240"/>
    <w:rsid w:val="00CD4BFF"/>
    <w:rsid w:val="00CD4F5E"/>
    <w:rsid w:val="00CD502D"/>
    <w:rsid w:val="00CD56AF"/>
    <w:rsid w:val="00CD5900"/>
    <w:rsid w:val="00CD5C84"/>
    <w:rsid w:val="00CD6352"/>
    <w:rsid w:val="00CD68A0"/>
    <w:rsid w:val="00CD6F8B"/>
    <w:rsid w:val="00CD78F6"/>
    <w:rsid w:val="00CD790B"/>
    <w:rsid w:val="00CD7B2C"/>
    <w:rsid w:val="00CD7FE3"/>
    <w:rsid w:val="00CE0855"/>
    <w:rsid w:val="00CE0AD6"/>
    <w:rsid w:val="00CE0DB7"/>
    <w:rsid w:val="00CE0F71"/>
    <w:rsid w:val="00CE143B"/>
    <w:rsid w:val="00CE1697"/>
    <w:rsid w:val="00CE198D"/>
    <w:rsid w:val="00CE1F7C"/>
    <w:rsid w:val="00CE23C8"/>
    <w:rsid w:val="00CE279D"/>
    <w:rsid w:val="00CE288C"/>
    <w:rsid w:val="00CE28DD"/>
    <w:rsid w:val="00CE304A"/>
    <w:rsid w:val="00CE31BB"/>
    <w:rsid w:val="00CE3722"/>
    <w:rsid w:val="00CE4262"/>
    <w:rsid w:val="00CE4565"/>
    <w:rsid w:val="00CE48F7"/>
    <w:rsid w:val="00CE49E7"/>
    <w:rsid w:val="00CE49ED"/>
    <w:rsid w:val="00CE4A09"/>
    <w:rsid w:val="00CE4B73"/>
    <w:rsid w:val="00CE4CEF"/>
    <w:rsid w:val="00CE55B5"/>
    <w:rsid w:val="00CE5DAD"/>
    <w:rsid w:val="00CE5E47"/>
    <w:rsid w:val="00CE614D"/>
    <w:rsid w:val="00CE66F0"/>
    <w:rsid w:val="00CE6E2F"/>
    <w:rsid w:val="00CE7C3A"/>
    <w:rsid w:val="00CE7CDB"/>
    <w:rsid w:val="00CF061E"/>
    <w:rsid w:val="00CF063E"/>
    <w:rsid w:val="00CF09A2"/>
    <w:rsid w:val="00CF0FFD"/>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60"/>
    <w:rsid w:val="00CF616D"/>
    <w:rsid w:val="00CF642E"/>
    <w:rsid w:val="00CF66C7"/>
    <w:rsid w:val="00CF66E4"/>
    <w:rsid w:val="00CF6C07"/>
    <w:rsid w:val="00CF6D18"/>
    <w:rsid w:val="00D01100"/>
    <w:rsid w:val="00D016B1"/>
    <w:rsid w:val="00D01BF8"/>
    <w:rsid w:val="00D0239B"/>
    <w:rsid w:val="00D0267B"/>
    <w:rsid w:val="00D028E0"/>
    <w:rsid w:val="00D029CC"/>
    <w:rsid w:val="00D02DA0"/>
    <w:rsid w:val="00D02DBF"/>
    <w:rsid w:val="00D03130"/>
    <w:rsid w:val="00D0359B"/>
    <w:rsid w:val="00D03DFE"/>
    <w:rsid w:val="00D04A3C"/>
    <w:rsid w:val="00D04B64"/>
    <w:rsid w:val="00D04DAC"/>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D76"/>
    <w:rsid w:val="00D15F17"/>
    <w:rsid w:val="00D160A8"/>
    <w:rsid w:val="00D17041"/>
    <w:rsid w:val="00D1704E"/>
    <w:rsid w:val="00D171ED"/>
    <w:rsid w:val="00D17400"/>
    <w:rsid w:val="00D17D37"/>
    <w:rsid w:val="00D17FFE"/>
    <w:rsid w:val="00D206D6"/>
    <w:rsid w:val="00D20B2A"/>
    <w:rsid w:val="00D20C57"/>
    <w:rsid w:val="00D20F9D"/>
    <w:rsid w:val="00D21135"/>
    <w:rsid w:val="00D21939"/>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316F"/>
    <w:rsid w:val="00D450AD"/>
    <w:rsid w:val="00D455F7"/>
    <w:rsid w:val="00D4563D"/>
    <w:rsid w:val="00D45751"/>
    <w:rsid w:val="00D459E9"/>
    <w:rsid w:val="00D464FC"/>
    <w:rsid w:val="00D46828"/>
    <w:rsid w:val="00D46B86"/>
    <w:rsid w:val="00D46BBF"/>
    <w:rsid w:val="00D471EC"/>
    <w:rsid w:val="00D474AB"/>
    <w:rsid w:val="00D4760C"/>
    <w:rsid w:val="00D477F8"/>
    <w:rsid w:val="00D47E4F"/>
    <w:rsid w:val="00D5015A"/>
    <w:rsid w:val="00D507BE"/>
    <w:rsid w:val="00D50E99"/>
    <w:rsid w:val="00D5117E"/>
    <w:rsid w:val="00D51CF2"/>
    <w:rsid w:val="00D5202E"/>
    <w:rsid w:val="00D52B27"/>
    <w:rsid w:val="00D52C38"/>
    <w:rsid w:val="00D52C4F"/>
    <w:rsid w:val="00D53122"/>
    <w:rsid w:val="00D54044"/>
    <w:rsid w:val="00D54A65"/>
    <w:rsid w:val="00D5565D"/>
    <w:rsid w:val="00D55743"/>
    <w:rsid w:val="00D55819"/>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0D9"/>
    <w:rsid w:val="00D62409"/>
    <w:rsid w:val="00D6268F"/>
    <w:rsid w:val="00D62DE0"/>
    <w:rsid w:val="00D6318D"/>
    <w:rsid w:val="00D63857"/>
    <w:rsid w:val="00D63B39"/>
    <w:rsid w:val="00D63C63"/>
    <w:rsid w:val="00D64768"/>
    <w:rsid w:val="00D647B8"/>
    <w:rsid w:val="00D65256"/>
    <w:rsid w:val="00D65557"/>
    <w:rsid w:val="00D660D6"/>
    <w:rsid w:val="00D6630A"/>
    <w:rsid w:val="00D668B1"/>
    <w:rsid w:val="00D66990"/>
    <w:rsid w:val="00D66C05"/>
    <w:rsid w:val="00D66D35"/>
    <w:rsid w:val="00D66D69"/>
    <w:rsid w:val="00D66E97"/>
    <w:rsid w:val="00D66EAB"/>
    <w:rsid w:val="00D7016E"/>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971"/>
    <w:rsid w:val="00D81ACD"/>
    <w:rsid w:val="00D81CD9"/>
    <w:rsid w:val="00D81FF7"/>
    <w:rsid w:val="00D82449"/>
    <w:rsid w:val="00D825AE"/>
    <w:rsid w:val="00D8282E"/>
    <w:rsid w:val="00D82C41"/>
    <w:rsid w:val="00D8400B"/>
    <w:rsid w:val="00D8410B"/>
    <w:rsid w:val="00D842A0"/>
    <w:rsid w:val="00D846F4"/>
    <w:rsid w:val="00D8496C"/>
    <w:rsid w:val="00D84A4A"/>
    <w:rsid w:val="00D84AFE"/>
    <w:rsid w:val="00D84C40"/>
    <w:rsid w:val="00D8557C"/>
    <w:rsid w:val="00D85F79"/>
    <w:rsid w:val="00D86A9B"/>
    <w:rsid w:val="00D86BFE"/>
    <w:rsid w:val="00D86CC5"/>
    <w:rsid w:val="00D86F0C"/>
    <w:rsid w:val="00D8721E"/>
    <w:rsid w:val="00D87915"/>
    <w:rsid w:val="00D87D22"/>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3E55"/>
    <w:rsid w:val="00D940F8"/>
    <w:rsid w:val="00D948CF"/>
    <w:rsid w:val="00D94AB2"/>
    <w:rsid w:val="00D952D6"/>
    <w:rsid w:val="00D96175"/>
    <w:rsid w:val="00D96364"/>
    <w:rsid w:val="00D96784"/>
    <w:rsid w:val="00D96A55"/>
    <w:rsid w:val="00D96B77"/>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D95"/>
    <w:rsid w:val="00DA4EF3"/>
    <w:rsid w:val="00DA58A4"/>
    <w:rsid w:val="00DA5944"/>
    <w:rsid w:val="00DA5B40"/>
    <w:rsid w:val="00DA5B6C"/>
    <w:rsid w:val="00DA5FBB"/>
    <w:rsid w:val="00DA63D3"/>
    <w:rsid w:val="00DA7A92"/>
    <w:rsid w:val="00DA7E0C"/>
    <w:rsid w:val="00DB0702"/>
    <w:rsid w:val="00DB100E"/>
    <w:rsid w:val="00DB25AC"/>
    <w:rsid w:val="00DB27A9"/>
    <w:rsid w:val="00DB296E"/>
    <w:rsid w:val="00DB2991"/>
    <w:rsid w:val="00DB2A2C"/>
    <w:rsid w:val="00DB2FB6"/>
    <w:rsid w:val="00DB34A1"/>
    <w:rsid w:val="00DB34CA"/>
    <w:rsid w:val="00DB3BE3"/>
    <w:rsid w:val="00DB3CB9"/>
    <w:rsid w:val="00DB3E62"/>
    <w:rsid w:val="00DB3EE0"/>
    <w:rsid w:val="00DB42D0"/>
    <w:rsid w:val="00DB445E"/>
    <w:rsid w:val="00DB5064"/>
    <w:rsid w:val="00DB5217"/>
    <w:rsid w:val="00DB5776"/>
    <w:rsid w:val="00DB65AF"/>
    <w:rsid w:val="00DB68C2"/>
    <w:rsid w:val="00DB7B7E"/>
    <w:rsid w:val="00DB7FDE"/>
    <w:rsid w:val="00DC015D"/>
    <w:rsid w:val="00DC0376"/>
    <w:rsid w:val="00DC06BA"/>
    <w:rsid w:val="00DC09CE"/>
    <w:rsid w:val="00DC0AA6"/>
    <w:rsid w:val="00DC0D6E"/>
    <w:rsid w:val="00DC146A"/>
    <w:rsid w:val="00DC17D1"/>
    <w:rsid w:val="00DC1A2E"/>
    <w:rsid w:val="00DC2017"/>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749"/>
    <w:rsid w:val="00DE0A29"/>
    <w:rsid w:val="00DE1B9E"/>
    <w:rsid w:val="00DE23B4"/>
    <w:rsid w:val="00DE2954"/>
    <w:rsid w:val="00DE2D5D"/>
    <w:rsid w:val="00DE2FC1"/>
    <w:rsid w:val="00DE3B31"/>
    <w:rsid w:val="00DE41C1"/>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F0327"/>
    <w:rsid w:val="00DF0561"/>
    <w:rsid w:val="00DF089D"/>
    <w:rsid w:val="00DF0B27"/>
    <w:rsid w:val="00DF0CF7"/>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B5"/>
    <w:rsid w:val="00E0038B"/>
    <w:rsid w:val="00E01463"/>
    <w:rsid w:val="00E01738"/>
    <w:rsid w:val="00E01CD0"/>
    <w:rsid w:val="00E01F69"/>
    <w:rsid w:val="00E0222E"/>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210D"/>
    <w:rsid w:val="00E123D6"/>
    <w:rsid w:val="00E125C1"/>
    <w:rsid w:val="00E126B2"/>
    <w:rsid w:val="00E1292F"/>
    <w:rsid w:val="00E13039"/>
    <w:rsid w:val="00E13140"/>
    <w:rsid w:val="00E13A74"/>
    <w:rsid w:val="00E13FC4"/>
    <w:rsid w:val="00E14151"/>
    <w:rsid w:val="00E143F4"/>
    <w:rsid w:val="00E14843"/>
    <w:rsid w:val="00E15814"/>
    <w:rsid w:val="00E15D84"/>
    <w:rsid w:val="00E16F65"/>
    <w:rsid w:val="00E179D4"/>
    <w:rsid w:val="00E17A65"/>
    <w:rsid w:val="00E17E88"/>
    <w:rsid w:val="00E2044D"/>
    <w:rsid w:val="00E206A6"/>
    <w:rsid w:val="00E2085E"/>
    <w:rsid w:val="00E22369"/>
    <w:rsid w:val="00E22D7A"/>
    <w:rsid w:val="00E23AE3"/>
    <w:rsid w:val="00E23C52"/>
    <w:rsid w:val="00E23ED8"/>
    <w:rsid w:val="00E2415E"/>
    <w:rsid w:val="00E246F8"/>
    <w:rsid w:val="00E26D00"/>
    <w:rsid w:val="00E27626"/>
    <w:rsid w:val="00E27E26"/>
    <w:rsid w:val="00E27EB4"/>
    <w:rsid w:val="00E3050C"/>
    <w:rsid w:val="00E30DFB"/>
    <w:rsid w:val="00E312F3"/>
    <w:rsid w:val="00E314EF"/>
    <w:rsid w:val="00E31690"/>
    <w:rsid w:val="00E31862"/>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9AA"/>
    <w:rsid w:val="00E419F6"/>
    <w:rsid w:val="00E41A1A"/>
    <w:rsid w:val="00E41BDD"/>
    <w:rsid w:val="00E41FF2"/>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50A"/>
    <w:rsid w:val="00E50426"/>
    <w:rsid w:val="00E51462"/>
    <w:rsid w:val="00E514AF"/>
    <w:rsid w:val="00E51D79"/>
    <w:rsid w:val="00E52D9E"/>
    <w:rsid w:val="00E52E5F"/>
    <w:rsid w:val="00E532CD"/>
    <w:rsid w:val="00E53D9E"/>
    <w:rsid w:val="00E53DA2"/>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E2E"/>
    <w:rsid w:val="00E63023"/>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73A"/>
    <w:rsid w:val="00E72A6C"/>
    <w:rsid w:val="00E72A7B"/>
    <w:rsid w:val="00E731B6"/>
    <w:rsid w:val="00E7336B"/>
    <w:rsid w:val="00E734BC"/>
    <w:rsid w:val="00E74DAB"/>
    <w:rsid w:val="00E753E7"/>
    <w:rsid w:val="00E757B7"/>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372"/>
    <w:rsid w:val="00E828E3"/>
    <w:rsid w:val="00E82E4E"/>
    <w:rsid w:val="00E832D2"/>
    <w:rsid w:val="00E837EE"/>
    <w:rsid w:val="00E8393A"/>
    <w:rsid w:val="00E84902"/>
    <w:rsid w:val="00E84B10"/>
    <w:rsid w:val="00E85361"/>
    <w:rsid w:val="00E8542B"/>
    <w:rsid w:val="00E85AAD"/>
    <w:rsid w:val="00E85B02"/>
    <w:rsid w:val="00E85DC1"/>
    <w:rsid w:val="00E85EFF"/>
    <w:rsid w:val="00E86FA6"/>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C31"/>
    <w:rsid w:val="00EA290E"/>
    <w:rsid w:val="00EA2B47"/>
    <w:rsid w:val="00EA2C74"/>
    <w:rsid w:val="00EA2DB3"/>
    <w:rsid w:val="00EA2E5C"/>
    <w:rsid w:val="00EA2EDE"/>
    <w:rsid w:val="00EA2EF9"/>
    <w:rsid w:val="00EA32E9"/>
    <w:rsid w:val="00EA33C8"/>
    <w:rsid w:val="00EA3438"/>
    <w:rsid w:val="00EA4253"/>
    <w:rsid w:val="00EA42F9"/>
    <w:rsid w:val="00EA496D"/>
    <w:rsid w:val="00EA4CEE"/>
    <w:rsid w:val="00EA4F6B"/>
    <w:rsid w:val="00EA54C2"/>
    <w:rsid w:val="00EA5C0E"/>
    <w:rsid w:val="00EA5C6F"/>
    <w:rsid w:val="00EA5F3B"/>
    <w:rsid w:val="00EA6A0D"/>
    <w:rsid w:val="00EA6C9D"/>
    <w:rsid w:val="00EB1817"/>
    <w:rsid w:val="00EB1AAD"/>
    <w:rsid w:val="00EB21A8"/>
    <w:rsid w:val="00EB24DF"/>
    <w:rsid w:val="00EB258B"/>
    <w:rsid w:val="00EB2B20"/>
    <w:rsid w:val="00EB2D72"/>
    <w:rsid w:val="00EB2EB1"/>
    <w:rsid w:val="00EB2ECE"/>
    <w:rsid w:val="00EB2F24"/>
    <w:rsid w:val="00EB4727"/>
    <w:rsid w:val="00EB5826"/>
    <w:rsid w:val="00EB61F2"/>
    <w:rsid w:val="00EB64E7"/>
    <w:rsid w:val="00EB6641"/>
    <w:rsid w:val="00EB6838"/>
    <w:rsid w:val="00EB6FC2"/>
    <w:rsid w:val="00EB71D6"/>
    <w:rsid w:val="00EB78DC"/>
    <w:rsid w:val="00EB7C04"/>
    <w:rsid w:val="00EB7E35"/>
    <w:rsid w:val="00EC006C"/>
    <w:rsid w:val="00EC0324"/>
    <w:rsid w:val="00EC0CE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77A"/>
    <w:rsid w:val="00EC69B5"/>
    <w:rsid w:val="00EC6C0A"/>
    <w:rsid w:val="00EC6F7B"/>
    <w:rsid w:val="00EC6F92"/>
    <w:rsid w:val="00ED1790"/>
    <w:rsid w:val="00ED17E5"/>
    <w:rsid w:val="00ED1A60"/>
    <w:rsid w:val="00ED1C68"/>
    <w:rsid w:val="00ED25DF"/>
    <w:rsid w:val="00ED2B8D"/>
    <w:rsid w:val="00ED2DD2"/>
    <w:rsid w:val="00ED3010"/>
    <w:rsid w:val="00ED3370"/>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70E"/>
    <w:rsid w:val="00EE1791"/>
    <w:rsid w:val="00EE257D"/>
    <w:rsid w:val="00EE301F"/>
    <w:rsid w:val="00EE30B1"/>
    <w:rsid w:val="00EE314E"/>
    <w:rsid w:val="00EE3214"/>
    <w:rsid w:val="00EE3657"/>
    <w:rsid w:val="00EE3C7C"/>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2362"/>
    <w:rsid w:val="00EF25FB"/>
    <w:rsid w:val="00EF32DD"/>
    <w:rsid w:val="00EF41B8"/>
    <w:rsid w:val="00EF45DE"/>
    <w:rsid w:val="00EF4632"/>
    <w:rsid w:val="00EF4C75"/>
    <w:rsid w:val="00EF5011"/>
    <w:rsid w:val="00EF5A5C"/>
    <w:rsid w:val="00EF653C"/>
    <w:rsid w:val="00EF6A2C"/>
    <w:rsid w:val="00EF6C60"/>
    <w:rsid w:val="00F0060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0F66"/>
    <w:rsid w:val="00F11016"/>
    <w:rsid w:val="00F11373"/>
    <w:rsid w:val="00F11E90"/>
    <w:rsid w:val="00F122CA"/>
    <w:rsid w:val="00F12534"/>
    <w:rsid w:val="00F13055"/>
    <w:rsid w:val="00F130F8"/>
    <w:rsid w:val="00F1395A"/>
    <w:rsid w:val="00F13A9B"/>
    <w:rsid w:val="00F13C7A"/>
    <w:rsid w:val="00F142E6"/>
    <w:rsid w:val="00F14726"/>
    <w:rsid w:val="00F1480B"/>
    <w:rsid w:val="00F148B3"/>
    <w:rsid w:val="00F15426"/>
    <w:rsid w:val="00F15641"/>
    <w:rsid w:val="00F15756"/>
    <w:rsid w:val="00F15A77"/>
    <w:rsid w:val="00F16001"/>
    <w:rsid w:val="00F16F7C"/>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1D6A"/>
    <w:rsid w:val="00F32281"/>
    <w:rsid w:val="00F3292F"/>
    <w:rsid w:val="00F32ADD"/>
    <w:rsid w:val="00F33092"/>
    <w:rsid w:val="00F330C4"/>
    <w:rsid w:val="00F33764"/>
    <w:rsid w:val="00F33890"/>
    <w:rsid w:val="00F33B06"/>
    <w:rsid w:val="00F3425F"/>
    <w:rsid w:val="00F34332"/>
    <w:rsid w:val="00F344F9"/>
    <w:rsid w:val="00F34DC1"/>
    <w:rsid w:val="00F34E2A"/>
    <w:rsid w:val="00F34E7E"/>
    <w:rsid w:val="00F35461"/>
    <w:rsid w:val="00F354FD"/>
    <w:rsid w:val="00F35A2F"/>
    <w:rsid w:val="00F35A7F"/>
    <w:rsid w:val="00F35ADB"/>
    <w:rsid w:val="00F36710"/>
    <w:rsid w:val="00F3727C"/>
    <w:rsid w:val="00F374AA"/>
    <w:rsid w:val="00F40635"/>
    <w:rsid w:val="00F40750"/>
    <w:rsid w:val="00F4152B"/>
    <w:rsid w:val="00F41DA3"/>
    <w:rsid w:val="00F42405"/>
    <w:rsid w:val="00F4260A"/>
    <w:rsid w:val="00F42670"/>
    <w:rsid w:val="00F431FF"/>
    <w:rsid w:val="00F43282"/>
    <w:rsid w:val="00F4363E"/>
    <w:rsid w:val="00F43A42"/>
    <w:rsid w:val="00F44B48"/>
    <w:rsid w:val="00F45397"/>
    <w:rsid w:val="00F457F3"/>
    <w:rsid w:val="00F46094"/>
    <w:rsid w:val="00F46113"/>
    <w:rsid w:val="00F4620A"/>
    <w:rsid w:val="00F46908"/>
    <w:rsid w:val="00F46DB2"/>
    <w:rsid w:val="00F4756D"/>
    <w:rsid w:val="00F505EB"/>
    <w:rsid w:val="00F50655"/>
    <w:rsid w:val="00F506A9"/>
    <w:rsid w:val="00F50EC3"/>
    <w:rsid w:val="00F51537"/>
    <w:rsid w:val="00F51AA5"/>
    <w:rsid w:val="00F51BC3"/>
    <w:rsid w:val="00F523D2"/>
    <w:rsid w:val="00F526FC"/>
    <w:rsid w:val="00F52F36"/>
    <w:rsid w:val="00F533B5"/>
    <w:rsid w:val="00F536B5"/>
    <w:rsid w:val="00F5388E"/>
    <w:rsid w:val="00F53FF0"/>
    <w:rsid w:val="00F54424"/>
    <w:rsid w:val="00F54AFF"/>
    <w:rsid w:val="00F555D8"/>
    <w:rsid w:val="00F569C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3EB5"/>
    <w:rsid w:val="00F740AF"/>
    <w:rsid w:val="00F74962"/>
    <w:rsid w:val="00F751DA"/>
    <w:rsid w:val="00F75518"/>
    <w:rsid w:val="00F75534"/>
    <w:rsid w:val="00F755DF"/>
    <w:rsid w:val="00F765A3"/>
    <w:rsid w:val="00F772A0"/>
    <w:rsid w:val="00F7737C"/>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B"/>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605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225"/>
    <w:rsid w:val="00FA635C"/>
    <w:rsid w:val="00FA6554"/>
    <w:rsid w:val="00FA6961"/>
    <w:rsid w:val="00FA6A32"/>
    <w:rsid w:val="00FA755F"/>
    <w:rsid w:val="00FA763B"/>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1A"/>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ACD"/>
    <w:rsid w:val="00FC3E3E"/>
    <w:rsid w:val="00FC3F48"/>
    <w:rsid w:val="00FC3F9A"/>
    <w:rsid w:val="00FC4232"/>
    <w:rsid w:val="00FC4585"/>
    <w:rsid w:val="00FC45E7"/>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2DF2"/>
    <w:rsid w:val="00FD3132"/>
    <w:rsid w:val="00FD3713"/>
    <w:rsid w:val="00FD3B83"/>
    <w:rsid w:val="00FD3E20"/>
    <w:rsid w:val="00FD41DD"/>
    <w:rsid w:val="00FD4345"/>
    <w:rsid w:val="00FD485D"/>
    <w:rsid w:val="00FD5EA3"/>
    <w:rsid w:val="00FD5F6E"/>
    <w:rsid w:val="00FD683F"/>
    <w:rsid w:val="00FD6D0F"/>
    <w:rsid w:val="00FD712E"/>
    <w:rsid w:val="00FD73BF"/>
    <w:rsid w:val="00FD799F"/>
    <w:rsid w:val="00FD7D28"/>
    <w:rsid w:val="00FE01F3"/>
    <w:rsid w:val="00FE05A2"/>
    <w:rsid w:val="00FE0675"/>
    <w:rsid w:val="00FE1B64"/>
    <w:rsid w:val="00FE2077"/>
    <w:rsid w:val="00FE2A98"/>
    <w:rsid w:val="00FE2BAB"/>
    <w:rsid w:val="00FE2C57"/>
    <w:rsid w:val="00FE3233"/>
    <w:rsid w:val="00FE3D87"/>
    <w:rsid w:val="00FE3D9F"/>
    <w:rsid w:val="00FE4E61"/>
    <w:rsid w:val="00FE5CDE"/>
    <w:rsid w:val="00FE5DFA"/>
    <w:rsid w:val="00FE5FD8"/>
    <w:rsid w:val="00FE7129"/>
    <w:rsid w:val="00FE78CB"/>
    <w:rsid w:val="00FE7B42"/>
    <w:rsid w:val="00FF00D3"/>
    <w:rsid w:val="00FF03BA"/>
    <w:rsid w:val="00FF059D"/>
    <w:rsid w:val="00FF0D0B"/>
    <w:rsid w:val="00FF1B03"/>
    <w:rsid w:val="00FF2B63"/>
    <w:rsid w:val="00FF2FA1"/>
    <w:rsid w:val="00FF346B"/>
    <w:rsid w:val="00FF375A"/>
    <w:rsid w:val="00FF3C9C"/>
    <w:rsid w:val="00FF43BB"/>
    <w:rsid w:val="00FF4682"/>
    <w:rsid w:val="00FF46AA"/>
    <w:rsid w:val="00FF4BE3"/>
    <w:rsid w:val="00FF4C9E"/>
    <w:rsid w:val="00FF5191"/>
    <w:rsid w:val="00FF5222"/>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eq_bps011812a.doc" TargetMode="External"/><Relationship Id="rId13" Type="http://schemas.openxmlformats.org/officeDocument/2006/relationships/hyperlink" Target="http://www.naesb.org/pdf4/weq_bps011812a6.doc" TargetMode="External"/><Relationship Id="rId18" Type="http://schemas.openxmlformats.org/officeDocument/2006/relationships/hyperlink" Target="http://www.naesb.org/pdf4/weq_bps011812w2.xls" TargetMode="External"/><Relationship Id="rId26" Type="http://schemas.openxmlformats.org/officeDocument/2006/relationships/hyperlink" Target="http://www.naesb.org/pdf4/weq_bps011812w7.docx"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naesb.org/pdf4/weq_bps011812w8.docx" TargetMode="External"/><Relationship Id="rId34" Type="http://schemas.openxmlformats.org/officeDocument/2006/relationships/hyperlink" Target="http://www.naesb.org/pdf4/weq_bps011812a3.doc" TargetMode="External"/><Relationship Id="rId7" Type="http://schemas.openxmlformats.org/officeDocument/2006/relationships/endnotes" Target="endnotes.xml"/><Relationship Id="rId12" Type="http://schemas.openxmlformats.org/officeDocument/2006/relationships/hyperlink" Target="http://www.naesb.org/pdf4/weq_bps011812w10.docx" TargetMode="External"/><Relationship Id="rId17" Type="http://schemas.openxmlformats.org/officeDocument/2006/relationships/hyperlink" Target="http://www.naesb.org/pdf4/weq_bps011812w6.doc" TargetMode="External"/><Relationship Id="rId25" Type="http://schemas.openxmlformats.org/officeDocument/2006/relationships/hyperlink" Target="http://www.naesb.org/pdf4/weq_bps011812a5.xls" TargetMode="External"/><Relationship Id="rId33" Type="http://schemas.openxmlformats.org/officeDocument/2006/relationships/hyperlink" Target="http://www.naesb.org/pdf4/weq_bps011812a6.do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esb.org/pdf4/weq_bps011812w9.doc" TargetMode="External"/><Relationship Id="rId20" Type="http://schemas.openxmlformats.org/officeDocument/2006/relationships/hyperlink" Target="http://www.naesb.org/pdf4/weq_bps011812a5.xls" TargetMode="External"/><Relationship Id="rId29" Type="http://schemas.openxmlformats.org/officeDocument/2006/relationships/hyperlink" Target="http://www.naesb.org/pdf4/weq_bps011812a6.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eq_bps011812w11.docx" TargetMode="External"/><Relationship Id="rId24" Type="http://schemas.openxmlformats.org/officeDocument/2006/relationships/hyperlink" Target="http://www.naesb.org/pdf4/weq_bps011812a6.doc" TargetMode="External"/><Relationship Id="rId32" Type="http://schemas.openxmlformats.org/officeDocument/2006/relationships/hyperlink" Target="http://www.naesb.org/pdf4/weq_bps011812w13.doc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pdf4/weq_bps011812w14.docx" TargetMode="External"/><Relationship Id="rId23" Type="http://schemas.openxmlformats.org/officeDocument/2006/relationships/hyperlink" Target="http://www.naesb.org/pdf4/weq_bps011812w16.docx" TargetMode="External"/><Relationship Id="rId28" Type="http://schemas.openxmlformats.org/officeDocument/2006/relationships/hyperlink" Target="http://www.naesb.org/pdf4/weq_bps011812a2.doc" TargetMode="External"/><Relationship Id="rId36" Type="http://schemas.openxmlformats.org/officeDocument/2006/relationships/header" Target="header1.xml"/><Relationship Id="rId10" Type="http://schemas.openxmlformats.org/officeDocument/2006/relationships/hyperlink" Target="http://www.naesb.org/pdf4/weq_bps121411fm.doc" TargetMode="External"/><Relationship Id="rId19" Type="http://schemas.openxmlformats.org/officeDocument/2006/relationships/hyperlink" Target="http://www.naesb.org/pdf4/weq_bps011812a6.doc" TargetMode="External"/><Relationship Id="rId31" Type="http://schemas.openxmlformats.org/officeDocument/2006/relationships/hyperlink" Target="http://www.naesb.org/pdf4/weq_bps011812w12.docx" TargetMode="External"/><Relationship Id="rId4" Type="http://schemas.openxmlformats.org/officeDocument/2006/relationships/settings" Target="settings.xml"/><Relationship Id="rId9" Type="http://schemas.openxmlformats.org/officeDocument/2006/relationships/hyperlink" Target="http://www.naesb.org/pdf4/weq_bps011812a1.doc" TargetMode="External"/><Relationship Id="rId14" Type="http://schemas.openxmlformats.org/officeDocument/2006/relationships/hyperlink" Target="http://www.naesb.org/pdf4/weq_bps011812a4.docx" TargetMode="External"/><Relationship Id="rId22" Type="http://schemas.openxmlformats.org/officeDocument/2006/relationships/hyperlink" Target="http://www.naesb.org/pdf4/weq_bps011812w7.docx" TargetMode="External"/><Relationship Id="rId27" Type="http://schemas.openxmlformats.org/officeDocument/2006/relationships/hyperlink" Target="http://www.naesb.org/pdf4/weq_bps011812w15.docx" TargetMode="External"/><Relationship Id="rId30" Type="http://schemas.openxmlformats.org/officeDocument/2006/relationships/hyperlink" Target="http://www.naesb.org/pdf4/weq_bps011812w1.docx" TargetMode="External"/><Relationship Id="rId35" Type="http://schemas.openxmlformats.org/officeDocument/2006/relationships/hyperlink" Target="http://www.naesb.org/pdf4/weq_bps011812a5.xl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January 18-19, 2012 BPS Meeting Minutes</vt:lpstr>
    </vt:vector>
  </TitlesOfParts>
  <Company>North American Energy Standards Board</Company>
  <LinksUpToDate>false</LinksUpToDate>
  <CharactersWithSpaces>18759</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18-19, 2012 BPS Meeting Minutes</dc:title>
  <dc:subject/>
  <dc:creator>Ed Skiba</dc:creator>
  <cp:keywords/>
  <dc:description/>
  <cp:lastModifiedBy>naesb</cp:lastModifiedBy>
  <cp:revision>2</cp:revision>
  <cp:lastPrinted>2011-12-29T14:48:00Z</cp:lastPrinted>
  <dcterms:created xsi:type="dcterms:W3CDTF">2012-01-27T15:51:00Z</dcterms:created>
  <dcterms:modified xsi:type="dcterms:W3CDTF">2012-01-27T15:51:00Z</dcterms:modified>
</cp:coreProperties>
</file>