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65" w:rsidRDefault="00017609" w:rsidP="00C00838">
      <w:pPr>
        <w:pStyle w:val="Title"/>
        <w:tabs>
          <w:tab w:val="right" w:pos="9360"/>
        </w:tabs>
      </w:pPr>
      <w:r>
        <w:rPr>
          <w:noProof/>
        </w:rPr>
        <mc:AlternateContent>
          <mc:Choice Requires="wps">
            <w:drawing>
              <wp:anchor distT="0" distB="0" distL="114300" distR="114300" simplePos="0" relativeHeight="251658240" behindDoc="0" locked="0" layoutInCell="1" allowOverlap="1">
                <wp:simplePos x="0" y="0"/>
                <wp:positionH relativeFrom="page">
                  <wp:posOffset>3329305</wp:posOffset>
                </wp:positionH>
                <wp:positionV relativeFrom="page">
                  <wp:posOffset>342900</wp:posOffset>
                </wp:positionV>
                <wp:extent cx="3846830" cy="407035"/>
                <wp:effectExtent l="0" t="0" r="0" b="254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A3F" w:rsidRPr="00967753" w:rsidRDefault="00783A3F" w:rsidP="0096165C">
                            <w:pPr>
                              <w:pStyle w:val="MemoHeadline"/>
                            </w:pPr>
                            <w:r w:rsidRPr="00967753">
                              <w:t>Smart Grid Interoperability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62.15pt;margin-top:27pt;width:302.9pt;height:3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B7tA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" filled="f" stroked="f">
                <v:textbox>
                  <w:txbxContent>
                    <w:p w:rsidR="00783A3F" w:rsidRPr="00967753" w:rsidRDefault="00783A3F" w:rsidP="0096165C">
                      <w:pPr>
                        <w:pStyle w:val="MemoHeadline"/>
                      </w:pPr>
                      <w:r w:rsidRPr="00967753">
                        <w:t>Smart Grid Interoperability Panel</w:t>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370205</wp:posOffset>
                </wp:positionH>
                <wp:positionV relativeFrom="page">
                  <wp:posOffset>184150</wp:posOffset>
                </wp:positionV>
                <wp:extent cx="1478915" cy="914400"/>
                <wp:effectExtent l="0" t="3175"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A3F" w:rsidRDefault="00783A3F" w:rsidP="00037E8C">
                            <w:r>
                              <w:rPr>
                                <w:noProof/>
                              </w:rPr>
                              <w:drawing>
                                <wp:inline distT="0" distB="0" distL="0" distR="0">
                                  <wp:extent cx="1164380" cy="750815"/>
                                  <wp:effectExtent l="0" t="0" r="0" b="0"/>
                                  <wp:docPr id="2" name="Picture 1" descr="SGIP_Logo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IP_Logo_Gif.gif"/>
                                          <pic:cNvPicPr/>
                                        </pic:nvPicPr>
                                        <pic:blipFill>
                                          <a:blip r:embed="rId6"/>
                                          <a:stretch>
                                            <a:fillRect/>
                                          </a:stretch>
                                        </pic:blipFill>
                                        <pic:spPr>
                                          <a:xfrm>
                                            <a:off x="0" y="0"/>
                                            <a:ext cx="1164706" cy="751025"/>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15pt;margin-top:14.5pt;width:116.45pt;height:1in;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" filled="f" stroked="f">
                <v:textbox style="mso-fit-shape-to-text:t">
                  <w:txbxContent>
                    <w:p w:rsidR="00783A3F" w:rsidRDefault="00783A3F" w:rsidP="00037E8C">
                      <w:r>
                        <w:rPr>
                          <w:noProof/>
                        </w:rPr>
                        <w:drawing>
                          <wp:inline distT="0" distB="0" distL="0" distR="0">
                            <wp:extent cx="1164380" cy="750815"/>
                            <wp:effectExtent l="0" t="0" r="0" b="0"/>
                            <wp:docPr id="2" name="Picture 1" descr="SGIP_Logo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IP_Logo_Gif.gif"/>
                                    <pic:cNvPicPr/>
                                  </pic:nvPicPr>
                                  <pic:blipFill>
                                    <a:blip r:embed="rId6"/>
                                    <a:stretch>
                                      <a:fillRect/>
                                    </a:stretch>
                                  </pic:blipFill>
                                  <pic:spPr>
                                    <a:xfrm>
                                      <a:off x="0" y="0"/>
                                      <a:ext cx="1164706" cy="751025"/>
                                    </a:xfrm>
                                    <a:prstGeom prst="rect">
                                      <a:avLst/>
                                    </a:prstGeom>
                                  </pic:spPr>
                                </pic:pic>
                              </a:graphicData>
                            </a:graphic>
                          </wp:inline>
                        </w:drawing>
                      </w:r>
                    </w:p>
                  </w:txbxContent>
                </v:textbox>
                <w10:wrap anchorx="page" anchory="page"/>
              </v:shape>
            </w:pict>
          </mc:Fallback>
        </mc:AlternateContent>
      </w:r>
      <w:r w:rsidR="00DC7056">
        <w:t>REQ18/WEQ19 Maintenance Update</w:t>
      </w:r>
      <w:r w:rsidR="00E833DA">
        <w:br/>
      </w:r>
      <w:r w:rsidR="00E833DA">
        <w:tab/>
      </w:r>
      <w:r w:rsidR="00E833DA" w:rsidRPr="00E833DA">
        <w:rPr>
          <w:noProof/>
          <w:sz w:val="20"/>
        </w:rPr>
        <w:t xml:space="preserve">Author: </w:t>
      </w:r>
      <w:r w:rsidR="00E833DA">
        <w:rPr>
          <w:noProof/>
          <w:sz w:val="20"/>
        </w:rPr>
        <w:t xml:space="preserve">Dr. </w:t>
      </w:r>
      <w:r w:rsidR="00E833DA" w:rsidRPr="00E833DA">
        <w:rPr>
          <w:noProof/>
          <w:sz w:val="20"/>
        </w:rPr>
        <w:t>Mart</w:t>
      </w:r>
      <w:r w:rsidR="00E833DA">
        <w:rPr>
          <w:noProof/>
          <w:sz w:val="20"/>
        </w:rPr>
        <w:t>in J.</w:t>
      </w:r>
      <w:r w:rsidR="00E833DA" w:rsidRPr="00E833DA">
        <w:rPr>
          <w:noProof/>
          <w:sz w:val="20"/>
        </w:rPr>
        <w:t xml:space="preserve"> Burns</w:t>
      </w:r>
      <w:r w:rsidR="00DC7056" w:rsidRPr="00E833DA">
        <w:rPr>
          <w:noProof/>
          <w:sz w:val="20"/>
        </w:rPr>
        <w:br/>
      </w:r>
      <w:r w:rsidR="00C00838">
        <w:tab/>
      </w:r>
      <w:r w:rsidR="00C00838" w:rsidRPr="00C00838">
        <w:rPr>
          <w:sz w:val="20"/>
        </w:rPr>
        <w:fldChar w:fldCharType="begin"/>
      </w:r>
      <w:r w:rsidR="00C00838" w:rsidRPr="00C00838">
        <w:rPr>
          <w:sz w:val="20"/>
        </w:rPr>
        <w:instrText xml:space="preserve"> SAVEDATE  \@ "dddd, MMMM dd, yyyy"  \* MERGEFORMAT </w:instrText>
      </w:r>
      <w:r w:rsidR="00C00838" w:rsidRPr="00C00838">
        <w:rPr>
          <w:sz w:val="20"/>
        </w:rPr>
        <w:fldChar w:fldCharType="separate"/>
      </w:r>
      <w:r w:rsidR="00E833DA">
        <w:rPr>
          <w:noProof/>
          <w:sz w:val="20"/>
        </w:rPr>
        <w:t>Friday, December 23, 2011</w:t>
      </w:r>
      <w:r w:rsidR="00C00838" w:rsidRPr="00C00838">
        <w:rPr>
          <w:sz w:val="20"/>
        </w:rPr>
        <w:fldChar w:fldCharType="end"/>
      </w:r>
      <w:r w:rsidR="00C00838">
        <w:rPr>
          <w:sz w:val="20"/>
        </w:rPr>
        <w:t xml:space="preserve"> </w:t>
      </w:r>
      <w:r w:rsidR="00C00838">
        <w:rPr>
          <w:sz w:val="20"/>
        </w:rPr>
        <w:fldChar w:fldCharType="begin"/>
      </w:r>
      <w:r w:rsidR="00C00838">
        <w:rPr>
          <w:sz w:val="20"/>
        </w:rPr>
        <w:instrText xml:space="preserve"> SAVEDATE  \@ "HH:mm:ss"  \* MERGEFORMAT </w:instrText>
      </w:r>
      <w:r w:rsidR="00C00838">
        <w:rPr>
          <w:sz w:val="20"/>
        </w:rPr>
        <w:fldChar w:fldCharType="separate"/>
      </w:r>
      <w:r w:rsidR="00E833DA">
        <w:rPr>
          <w:noProof/>
          <w:sz w:val="20"/>
        </w:rPr>
        <w:t>07:52:00</w:t>
      </w:r>
      <w:r w:rsidR="00C00838">
        <w:rPr>
          <w:sz w:val="20"/>
        </w:rPr>
        <w:fldChar w:fldCharType="end"/>
      </w:r>
    </w:p>
    <w:p w:rsidR="00DC7056" w:rsidRPr="00DC7056" w:rsidRDefault="00DC7056" w:rsidP="00DC7056">
      <w:pPr>
        <w:pStyle w:val="Heading1"/>
      </w:pPr>
      <w:r>
        <w:t>Overview</w:t>
      </w:r>
    </w:p>
    <w:p w:rsidR="00E833DA" w:rsidRDefault="00E833DA" w:rsidP="00C872BC">
      <w:pPr>
        <w:pStyle w:val="BodyText"/>
      </w:pPr>
      <w:r>
        <w:t>This white paper was written at the request of the NAESB REQ.18/WEQ.19 committee to review possible updates to the NAESB standard based on lessons learned in its first applications during the calendar year 2011.</w:t>
      </w:r>
      <w:r w:rsidR="00247D6C">
        <w:t xml:space="preserve"> It is designed to present the scope and nature of the changes suggested for consideration by the committee and thereby to kick off a maintenance update of the standard.</w:t>
      </w:r>
    </w:p>
    <w:p w:rsidR="00DC7056" w:rsidRDefault="00DC7056" w:rsidP="00C872BC">
      <w:pPr>
        <w:pStyle w:val="BodyText"/>
      </w:pPr>
      <w:r>
        <w:t xml:space="preserve">The NAESB REQ18/WEQ19 evolved starting from a collaboration of modelers from the IEC TC57 committee’s IEC61968 Part 9, </w:t>
      </w:r>
      <w:proofErr w:type="spellStart"/>
      <w:r w:rsidR="00227BF6">
        <w:t>UCAIug’s</w:t>
      </w:r>
      <w:proofErr w:type="spellEnd"/>
      <w:r w:rsidR="00227BF6">
        <w:t xml:space="preserve"> OpenADE, </w:t>
      </w:r>
      <w:r>
        <w:t xml:space="preserve">ZigBee Smart Energy Profile, and </w:t>
      </w:r>
      <w:r w:rsidR="00227BF6">
        <w:t xml:space="preserve">the </w:t>
      </w:r>
      <w:r>
        <w:t>EIS Alliance. The resulting model was intended to be a union of requirements from these sources, as well as, those understood by the participants. Through the NAESB process, these models and requirements were matured to result in the NAESB PAP10 Energy Usage Information Standard</w:t>
      </w:r>
      <w:r w:rsidR="00DE622B">
        <w:t xml:space="preserve"> REQ.18/WEQ.19</w:t>
      </w:r>
      <w:r>
        <w:t>.</w:t>
      </w:r>
    </w:p>
    <w:p w:rsidR="00DC7056" w:rsidRDefault="00DC7056" w:rsidP="00C872BC">
      <w:pPr>
        <w:pStyle w:val="BodyText"/>
      </w:pPr>
      <w:r>
        <w:t xml:space="preserve">The official published version of the CIM standard IEC61968 Part 9, which contains its metering model, is </w:t>
      </w:r>
      <w:r w:rsidR="00B84F18">
        <w:t>significantly</w:t>
      </w:r>
      <w:r>
        <w:t xml:space="preserve"> different than the emerging draft for edition 2 that will be shortly put out for review. The</w:t>
      </w:r>
      <w:r w:rsidR="00341751">
        <w:t>se</w:t>
      </w:r>
      <w:r>
        <w:t xml:space="preserve"> changes occurred over about a one year period which bracketed the SEP2.0 work and the NAESB PAP10 work. Both NAESB and SEP2.0 (in two different iterations) synched up with the TC57 activity at different draft stages. This caused them to differ in small but meaningful ways.</w:t>
      </w:r>
    </w:p>
    <w:p w:rsidR="00DC7056" w:rsidRDefault="00DC7056" w:rsidP="00C872BC">
      <w:pPr>
        <w:pStyle w:val="BodyText"/>
      </w:pPr>
      <w:r>
        <w:t>It is valuable to synch-up the three efforts on these details. However, it will also be important to maintain the additional semantics required by the NAESB standard. These will continue to be documented as careful extensions to the CIM base.</w:t>
      </w:r>
    </w:p>
    <w:p w:rsidR="00DC7056" w:rsidRDefault="00DC7056" w:rsidP="00C872BC">
      <w:pPr>
        <w:pStyle w:val="BodyText"/>
      </w:pPr>
      <w:r>
        <w:t>Additionally, the ASHRAE/NEMA led SPC201P effort at completing the semantic modeling picture from the facility perspective has made some valuable small enhancements to the NAESB model which they embraced. These consist principally of the addition of some enumerated values of existing attributes. Finally, the NAESB REQ21 Energy Services Provider Interface standard, has also worked to embrace many of the evolutionary changes to CIM/SEP into their capture of the EUI model.</w:t>
      </w:r>
    </w:p>
    <w:p w:rsidR="00DC7056" w:rsidRDefault="00DC7056" w:rsidP="00C872BC">
      <w:pPr>
        <w:pStyle w:val="BodyText"/>
      </w:pPr>
      <w:r>
        <w:t>Therefore, we would like to recommend that we embark on a maintenance update of the REQ18/WEQ19 standard to minimally do the following:</w:t>
      </w:r>
    </w:p>
    <w:p w:rsidR="00DC7056" w:rsidRDefault="00DC7056" w:rsidP="00DC7056">
      <w:pPr>
        <w:pStyle w:val="ListParagraph"/>
        <w:numPr>
          <w:ilvl w:val="0"/>
          <w:numId w:val="11"/>
        </w:numPr>
        <w:rPr>
          <w:rFonts w:ascii="Arial" w:hAnsi="Arial"/>
        </w:rPr>
      </w:pPr>
      <w:r>
        <w:rPr>
          <w:rFonts w:ascii="Arial" w:hAnsi="Arial"/>
        </w:rPr>
        <w:t xml:space="preserve">Revise </w:t>
      </w:r>
      <w:proofErr w:type="spellStart"/>
      <w:r>
        <w:rPr>
          <w:rFonts w:ascii="Arial" w:hAnsi="Arial"/>
        </w:rPr>
        <w:t>ReadingType</w:t>
      </w:r>
      <w:proofErr w:type="spellEnd"/>
      <w:r>
        <w:rPr>
          <w:rFonts w:ascii="Arial" w:hAnsi="Arial"/>
        </w:rPr>
        <w:t xml:space="preserve"> to use the revised and added attributes from CIM 61968-9. No deletions of attributes should occur – only additions, renaming, and extension of enumerations lists.</w:t>
      </w:r>
    </w:p>
    <w:p w:rsidR="00DC7056" w:rsidRDefault="00DC7056" w:rsidP="00DC7056">
      <w:pPr>
        <w:pStyle w:val="ListParagraph"/>
        <w:numPr>
          <w:ilvl w:val="0"/>
          <w:numId w:val="11"/>
        </w:numPr>
        <w:rPr>
          <w:rFonts w:ascii="Arial" w:hAnsi="Arial"/>
        </w:rPr>
      </w:pPr>
      <w:r>
        <w:rPr>
          <w:rFonts w:ascii="Arial" w:hAnsi="Arial"/>
        </w:rPr>
        <w:t>Incorporate SPC201’s enumeration enhancements</w:t>
      </w:r>
    </w:p>
    <w:p w:rsidR="00DC7056" w:rsidRDefault="00DC7056" w:rsidP="00DC7056">
      <w:pPr>
        <w:pStyle w:val="ListParagraph"/>
        <w:numPr>
          <w:ilvl w:val="0"/>
          <w:numId w:val="11"/>
        </w:numPr>
        <w:rPr>
          <w:rFonts w:ascii="Arial" w:hAnsi="Arial"/>
        </w:rPr>
      </w:pPr>
      <w:r>
        <w:rPr>
          <w:rFonts w:ascii="Arial" w:hAnsi="Arial"/>
        </w:rPr>
        <w:t xml:space="preserve">Correct minor </w:t>
      </w:r>
      <w:r w:rsidR="00341751">
        <w:rPr>
          <w:rFonts w:ascii="Arial" w:hAnsi="Arial"/>
        </w:rPr>
        <w:t>defects</w:t>
      </w:r>
      <w:r>
        <w:rPr>
          <w:rFonts w:ascii="Arial" w:hAnsi="Arial"/>
        </w:rPr>
        <w:t xml:space="preserve"> in modeling data structures observed since first publication.</w:t>
      </w:r>
    </w:p>
    <w:p w:rsidR="00DC7056" w:rsidRDefault="00DC7056" w:rsidP="00C872BC">
      <w:pPr>
        <w:pStyle w:val="BodyText"/>
      </w:pPr>
      <w:r>
        <w:t>The intent of this activity is to solely address these topics without need to alter the Principles or Model Business Practices of the standard.</w:t>
      </w:r>
      <w:r w:rsidR="00247D6C">
        <w:t xml:space="preserve"> Note that there is </w:t>
      </w:r>
      <w:r w:rsidR="00247D6C" w:rsidRPr="00247D6C">
        <w:rPr>
          <w:i/>
          <w:u w:val="single"/>
        </w:rPr>
        <w:t>no</w:t>
      </w:r>
      <w:r w:rsidR="00247D6C">
        <w:t xml:space="preserve"> proposed change that will result in a loss of capability of the PAP10 EUI model. Correspondingly there are no proposed extensions of the capabilities of the model.</w:t>
      </w:r>
    </w:p>
    <w:p w:rsidR="00DC7056" w:rsidRDefault="00341751" w:rsidP="00DE622B">
      <w:pPr>
        <w:pStyle w:val="Heading1"/>
      </w:pPr>
      <w:r>
        <w:lastRenderedPageBreak/>
        <w:t>Change</w:t>
      </w:r>
      <w:r w:rsidR="00DC7056">
        <w:t xml:space="preserve"> Details</w:t>
      </w:r>
    </w:p>
    <w:p w:rsidR="00DC7056" w:rsidRDefault="00DC7056" w:rsidP="00C872BC">
      <w:pPr>
        <w:pStyle w:val="BodyText"/>
      </w:pPr>
      <w:r>
        <w:t xml:space="preserve">The following summarizes the changes </w:t>
      </w:r>
      <w:r w:rsidR="00DE622B">
        <w:t>recommended</w:t>
      </w:r>
      <w:r w:rsidR="007F25A9">
        <w:t xml:space="preserve"> by this white paper</w:t>
      </w:r>
      <w:r>
        <w:t>.</w:t>
      </w:r>
    </w:p>
    <w:p w:rsidR="00DC7056" w:rsidRDefault="00DC7056" w:rsidP="00DC7056">
      <w:pPr>
        <w:pStyle w:val="Heading2"/>
      </w:pPr>
      <w:proofErr w:type="spellStart"/>
      <w:r>
        <w:t>ReadingType</w:t>
      </w:r>
      <w:proofErr w:type="spellEnd"/>
    </w:p>
    <w:p w:rsidR="00DC7056" w:rsidRDefault="00DC7056" w:rsidP="00F73332">
      <w:pPr>
        <w:pStyle w:val="BodyText"/>
      </w:pPr>
      <w:r>
        <w:t xml:space="preserve">The most significant change is the extension of attributes that are metadata about a measurement in the </w:t>
      </w:r>
      <w:proofErr w:type="spellStart"/>
      <w:r>
        <w:t>ReadingType</w:t>
      </w:r>
      <w:proofErr w:type="spellEnd"/>
      <w:r>
        <w:t xml:space="preserve"> class. Some elements of the original </w:t>
      </w:r>
      <w:proofErr w:type="spellStart"/>
      <w:r>
        <w:t>ReadingType</w:t>
      </w:r>
      <w:proofErr w:type="spellEnd"/>
      <w:r>
        <w:t xml:space="preserve"> have been renamed as well. The following table from REQ21 summarizes these changes:</w:t>
      </w:r>
    </w:p>
    <w:tbl>
      <w:tblPr>
        <w:tblW w:w="5000" w:type="pct"/>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firstRow="1" w:lastRow="0" w:firstColumn="1" w:lastColumn="0" w:noHBand="0" w:noVBand="0"/>
      </w:tblPr>
      <w:tblGrid>
        <w:gridCol w:w="2376"/>
        <w:gridCol w:w="1315"/>
        <w:gridCol w:w="2629"/>
        <w:gridCol w:w="2043"/>
        <w:gridCol w:w="1833"/>
      </w:tblGrid>
      <w:tr w:rsidR="00FA7463" w:rsidRPr="00FA7463" w:rsidTr="007468B4">
        <w:trPr>
          <w:cantSplit/>
          <w:jc w:val="center"/>
        </w:trPr>
        <w:tc>
          <w:tcPr>
            <w:tcW w:w="1165" w:type="pct"/>
            <w:tcBorders>
              <w:top w:val="single" w:sz="2" w:space="0" w:color="D9D9D9"/>
              <w:left w:val="single" w:sz="12" w:space="0" w:color="BFBFBF"/>
              <w:bottom w:val="single" w:sz="12" w:space="0" w:color="BFBFBF"/>
              <w:right w:val="single" w:sz="2" w:space="0" w:color="D9D9D9"/>
            </w:tcBorders>
            <w:shd w:val="clear" w:color="000000" w:fill="D8D8D8"/>
            <w:noWrap/>
          </w:tcPr>
          <w:p w:rsidR="00FA7463" w:rsidRPr="00FA7463" w:rsidRDefault="00FA7463" w:rsidP="007468B4">
            <w:pPr>
              <w:rPr>
                <w:b/>
                <w:color w:val="000000"/>
                <w:sz w:val="14"/>
                <w:szCs w:val="14"/>
              </w:rPr>
            </w:pPr>
            <w:r w:rsidRPr="00FA7463">
              <w:rPr>
                <w:b/>
                <w:color w:val="000000"/>
                <w:sz w:val="14"/>
                <w:szCs w:val="14"/>
              </w:rPr>
              <w:t>PAP10 EUI Model Element</w:t>
            </w:r>
          </w:p>
        </w:tc>
        <w:tc>
          <w:tcPr>
            <w:tcW w:w="645" w:type="pct"/>
            <w:tcBorders>
              <w:top w:val="single" w:sz="2" w:space="0" w:color="D9D9D9"/>
              <w:bottom w:val="single" w:sz="12" w:space="0" w:color="BFBFBF"/>
              <w:right w:val="single" w:sz="12" w:space="0" w:color="BFBFBF"/>
            </w:tcBorders>
            <w:shd w:val="clear" w:color="000000" w:fill="D8D8D8"/>
            <w:noWrap/>
          </w:tcPr>
          <w:p w:rsidR="00FA7463" w:rsidRPr="00FA7463" w:rsidRDefault="00FA7463" w:rsidP="007468B4">
            <w:pPr>
              <w:rPr>
                <w:b/>
                <w:color w:val="000000"/>
                <w:sz w:val="14"/>
                <w:szCs w:val="14"/>
              </w:rPr>
            </w:pPr>
            <w:r w:rsidRPr="00FA7463">
              <w:rPr>
                <w:b/>
                <w:color w:val="000000"/>
                <w:sz w:val="14"/>
                <w:szCs w:val="14"/>
              </w:rPr>
              <w:t>Type</w:t>
            </w:r>
          </w:p>
        </w:tc>
        <w:tc>
          <w:tcPr>
            <w:tcW w:w="1289" w:type="pct"/>
            <w:tcBorders>
              <w:top w:val="single" w:sz="2" w:space="0" w:color="D9D9D9"/>
              <w:left w:val="single" w:sz="12" w:space="0" w:color="BFBFBF"/>
              <w:bottom w:val="single" w:sz="12" w:space="0" w:color="BFBFBF"/>
              <w:right w:val="single" w:sz="2" w:space="0" w:color="D9D9D9"/>
            </w:tcBorders>
            <w:shd w:val="clear" w:color="000000" w:fill="D8D8D8"/>
            <w:noWrap/>
          </w:tcPr>
          <w:p w:rsidR="00FA7463" w:rsidRPr="00FA7463" w:rsidRDefault="00FA7463" w:rsidP="007468B4">
            <w:pPr>
              <w:rPr>
                <w:b/>
                <w:color w:val="000000"/>
                <w:sz w:val="14"/>
                <w:szCs w:val="14"/>
              </w:rPr>
            </w:pPr>
            <w:r w:rsidRPr="00FA7463">
              <w:rPr>
                <w:b/>
                <w:color w:val="000000"/>
                <w:sz w:val="14"/>
                <w:szCs w:val="14"/>
              </w:rPr>
              <w:t>ESPI Model Element</w:t>
            </w:r>
          </w:p>
        </w:tc>
        <w:tc>
          <w:tcPr>
            <w:tcW w:w="1002" w:type="pct"/>
            <w:tcBorders>
              <w:top w:val="single" w:sz="2" w:space="0" w:color="D9D9D9"/>
              <w:bottom w:val="single" w:sz="12" w:space="0" w:color="BFBFBF"/>
              <w:right w:val="single" w:sz="12" w:space="0" w:color="BFBFBF"/>
            </w:tcBorders>
            <w:shd w:val="clear" w:color="000000" w:fill="D8D8D8"/>
            <w:noWrap/>
          </w:tcPr>
          <w:p w:rsidR="00FA7463" w:rsidRPr="00FA7463" w:rsidRDefault="00FA7463" w:rsidP="007468B4">
            <w:pPr>
              <w:rPr>
                <w:b/>
                <w:color w:val="000000"/>
                <w:sz w:val="14"/>
                <w:szCs w:val="14"/>
              </w:rPr>
            </w:pPr>
            <w:r w:rsidRPr="00FA7463">
              <w:rPr>
                <w:b/>
                <w:color w:val="000000"/>
                <w:sz w:val="14"/>
                <w:szCs w:val="14"/>
              </w:rPr>
              <w:t>Type</w:t>
            </w:r>
          </w:p>
        </w:tc>
        <w:tc>
          <w:tcPr>
            <w:tcW w:w="899" w:type="pct"/>
            <w:tcBorders>
              <w:top w:val="single" w:sz="2" w:space="0" w:color="D9D9D9"/>
              <w:left w:val="single" w:sz="12" w:space="0" w:color="BFBFBF"/>
              <w:bottom w:val="single" w:sz="12" w:space="0" w:color="BFBFBF"/>
              <w:right w:val="single" w:sz="12" w:space="0" w:color="BFBFBF"/>
            </w:tcBorders>
            <w:shd w:val="clear" w:color="000000" w:fill="D8D8D8"/>
            <w:noWrap/>
          </w:tcPr>
          <w:p w:rsidR="00FA7463" w:rsidRPr="00FA7463" w:rsidRDefault="00FA7463" w:rsidP="007468B4">
            <w:pPr>
              <w:rPr>
                <w:b/>
                <w:color w:val="000000"/>
                <w:sz w:val="14"/>
                <w:szCs w:val="14"/>
              </w:rPr>
            </w:pPr>
            <w:r w:rsidRPr="00FA7463">
              <w:rPr>
                <w:b/>
                <w:color w:val="000000"/>
                <w:sz w:val="14"/>
                <w:szCs w:val="14"/>
              </w:rPr>
              <w:t>CIM Notes</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r w:rsidRPr="00F73332">
              <w:rPr>
                <w:color w:val="000000"/>
                <w:sz w:val="14"/>
                <w:szCs w:val="14"/>
              </w:rPr>
              <w:t>ReadingType.name</w:t>
            </w:r>
          </w:p>
        </w:tc>
        <w:tc>
          <w:tcPr>
            <w:tcW w:w="645" w:type="pct"/>
            <w:tcBorders>
              <w:right w:val="single" w:sz="12" w:space="0" w:color="BFBFBF"/>
            </w:tcBorders>
            <w:noWrap/>
          </w:tcPr>
          <w:p w:rsidR="00DC7056" w:rsidRPr="00F73332" w:rsidRDefault="00DC7056" w:rsidP="004210BB">
            <w:pPr>
              <w:rPr>
                <w:color w:val="000000"/>
                <w:sz w:val="14"/>
                <w:szCs w:val="14"/>
              </w:rPr>
            </w:pPr>
            <w:r w:rsidRPr="00F73332">
              <w:rPr>
                <w:color w:val="000000"/>
                <w:sz w:val="14"/>
                <w:szCs w:val="14"/>
              </w:rPr>
              <w:t>String</w:t>
            </w: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w:t>
            </w:r>
            <w:proofErr w:type="spellEnd"/>
            <w:r w:rsidRPr="00F73332">
              <w:rPr>
                <w:color w:val="000000"/>
                <w:sz w:val="14"/>
                <w:szCs w:val="14"/>
              </w:rPr>
              <w:t xml:space="preserve"> entry.id</w:t>
            </w:r>
          </w:p>
        </w:tc>
        <w:tc>
          <w:tcPr>
            <w:tcW w:w="1002" w:type="pct"/>
            <w:tcBorders>
              <w:right w:val="single" w:sz="12" w:space="0" w:color="BFBFBF"/>
            </w:tcBorders>
            <w:noWrap/>
          </w:tcPr>
          <w:p w:rsidR="00DC7056" w:rsidRPr="00F73332" w:rsidRDefault="00DC7056" w:rsidP="004210BB">
            <w:pPr>
              <w:rPr>
                <w:color w:val="000000"/>
                <w:sz w:val="14"/>
                <w:szCs w:val="14"/>
              </w:rPr>
            </w:pPr>
            <w:r w:rsidRPr="00F73332">
              <w:rPr>
                <w:color w:val="000000"/>
                <w:sz w:val="14"/>
                <w:szCs w:val="14"/>
              </w:rPr>
              <w:t>URN</w:t>
            </w:r>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Same</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
        </w:tc>
        <w:tc>
          <w:tcPr>
            <w:tcW w:w="645" w:type="pct"/>
            <w:tcBorders>
              <w:right w:val="single" w:sz="12" w:space="0" w:color="BFBFBF"/>
            </w:tcBorders>
            <w:noWrap/>
          </w:tcPr>
          <w:p w:rsidR="00DC7056" w:rsidRPr="00F73332" w:rsidRDefault="00DC7056" w:rsidP="004210BB">
            <w:pPr>
              <w:rPr>
                <w:color w:val="000000"/>
                <w:sz w:val="14"/>
                <w:szCs w:val="14"/>
              </w:rPr>
            </w:pP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w:t>
            </w:r>
            <w:proofErr w:type="spellEnd"/>
            <w:r w:rsidRPr="00F73332">
              <w:rPr>
                <w:color w:val="000000"/>
                <w:sz w:val="14"/>
                <w:szCs w:val="14"/>
              </w:rPr>
              <w:t xml:space="preserve"> </w:t>
            </w:r>
            <w:proofErr w:type="spellStart"/>
            <w:r w:rsidRPr="00F73332">
              <w:rPr>
                <w:color w:val="000000"/>
                <w:sz w:val="14"/>
                <w:szCs w:val="14"/>
              </w:rPr>
              <w:t>entry.title</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r w:rsidRPr="00F73332">
              <w:rPr>
                <w:color w:val="000000"/>
                <w:sz w:val="14"/>
                <w:szCs w:val="14"/>
              </w:rPr>
              <w:t>String</w:t>
            </w:r>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Same</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roofErr w:type="spellStart"/>
            <w:r w:rsidRPr="00F73332">
              <w:rPr>
                <w:color w:val="000000"/>
                <w:sz w:val="14"/>
                <w:szCs w:val="14"/>
              </w:rPr>
              <w:t>ReadingType.defaultQuality</w:t>
            </w:r>
            <w:proofErr w:type="spellEnd"/>
          </w:p>
        </w:tc>
        <w:tc>
          <w:tcPr>
            <w:tcW w:w="645"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QualityOfReading</w:t>
            </w:r>
            <w:proofErr w:type="spellEnd"/>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ReadingType.defaultQuality</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QualityOfReading</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Recommended extension</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roofErr w:type="spellStart"/>
            <w:r w:rsidRPr="00F73332">
              <w:rPr>
                <w:color w:val="000000"/>
                <w:sz w:val="14"/>
                <w:szCs w:val="14"/>
              </w:rPr>
              <w:t>ReadingType.direction</w:t>
            </w:r>
            <w:proofErr w:type="spellEnd"/>
          </w:p>
        </w:tc>
        <w:tc>
          <w:tcPr>
            <w:tcW w:w="645"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ReadingDirection</w:t>
            </w:r>
            <w:proofErr w:type="spellEnd"/>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ReadingType.flowDirection</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FlowDirectionType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Same</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roofErr w:type="spellStart"/>
            <w:r w:rsidRPr="00F73332">
              <w:rPr>
                <w:color w:val="000000"/>
                <w:sz w:val="14"/>
                <w:szCs w:val="14"/>
              </w:rPr>
              <w:t>ReadingType.intervalLength</w:t>
            </w:r>
            <w:proofErr w:type="spellEnd"/>
          </w:p>
        </w:tc>
        <w:tc>
          <w:tcPr>
            <w:tcW w:w="645" w:type="pct"/>
            <w:tcBorders>
              <w:right w:val="single" w:sz="12" w:space="0" w:color="BFBFBF"/>
            </w:tcBorders>
            <w:noWrap/>
          </w:tcPr>
          <w:p w:rsidR="00DC7056" w:rsidRPr="00F73332" w:rsidRDefault="00DC7056" w:rsidP="004210BB">
            <w:pPr>
              <w:rPr>
                <w:color w:val="000000"/>
                <w:sz w:val="14"/>
                <w:szCs w:val="14"/>
              </w:rPr>
            </w:pPr>
            <w:r w:rsidRPr="00F73332">
              <w:rPr>
                <w:color w:val="000000"/>
                <w:sz w:val="14"/>
                <w:szCs w:val="14"/>
              </w:rPr>
              <w:t>Duration</w:t>
            </w: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ReadingType.intervalLength</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r w:rsidRPr="00F73332">
              <w:rPr>
                <w:color w:val="000000"/>
                <w:sz w:val="14"/>
                <w:szCs w:val="14"/>
              </w:rPr>
              <w:t>UInt32</w:t>
            </w:r>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Recommended extension</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roofErr w:type="spellStart"/>
            <w:r w:rsidRPr="00F73332">
              <w:rPr>
                <w:color w:val="000000"/>
                <w:sz w:val="14"/>
                <w:szCs w:val="14"/>
              </w:rPr>
              <w:t>ReadingType.kind</w:t>
            </w:r>
            <w:proofErr w:type="spellEnd"/>
          </w:p>
        </w:tc>
        <w:tc>
          <w:tcPr>
            <w:tcW w:w="645"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ReadingKind</w:t>
            </w:r>
            <w:proofErr w:type="spellEnd"/>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ReadingType.kind</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KindType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measurementKind</w:t>
            </w:r>
            <w:proofErr w:type="spellEnd"/>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roofErr w:type="spellStart"/>
            <w:r w:rsidRPr="00F73332">
              <w:rPr>
                <w:color w:val="000000"/>
                <w:sz w:val="14"/>
                <w:szCs w:val="14"/>
              </w:rPr>
              <w:t>ReadingType.multiplier</w:t>
            </w:r>
            <w:proofErr w:type="spellEnd"/>
          </w:p>
        </w:tc>
        <w:tc>
          <w:tcPr>
            <w:tcW w:w="645"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UnitMultiplier</w:t>
            </w:r>
            <w:proofErr w:type="spellEnd"/>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ReadingType.powerOfTenMultiplier</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PowerOfTenMultiplierType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Recommended extension</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roofErr w:type="spellStart"/>
            <w:r w:rsidRPr="00F73332">
              <w:rPr>
                <w:color w:val="000000"/>
                <w:sz w:val="14"/>
                <w:szCs w:val="14"/>
              </w:rPr>
              <w:t>ReadingType.unit</w:t>
            </w:r>
            <w:proofErr w:type="spellEnd"/>
          </w:p>
        </w:tc>
        <w:tc>
          <w:tcPr>
            <w:tcW w:w="645"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UnitSymbol</w:t>
            </w:r>
            <w:proofErr w:type="spellEnd"/>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ReadingType.uom</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UomType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unit</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
        </w:tc>
        <w:tc>
          <w:tcPr>
            <w:tcW w:w="645" w:type="pct"/>
            <w:tcBorders>
              <w:right w:val="single" w:sz="12" w:space="0" w:color="BFBFBF"/>
            </w:tcBorders>
            <w:noWrap/>
          </w:tcPr>
          <w:p w:rsidR="00DC7056" w:rsidRPr="00F73332" w:rsidRDefault="00DC7056" w:rsidP="004210BB">
            <w:pPr>
              <w:rPr>
                <w:color w:val="000000"/>
                <w:sz w:val="14"/>
                <w:szCs w:val="14"/>
              </w:rPr>
            </w:pP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ReadingType.accumulationBehaviour</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AccumulationBehaviourType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accumulation</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
        </w:tc>
        <w:tc>
          <w:tcPr>
            <w:tcW w:w="645" w:type="pct"/>
            <w:tcBorders>
              <w:right w:val="single" w:sz="12" w:space="0" w:color="BFBFBF"/>
            </w:tcBorders>
            <w:noWrap/>
          </w:tcPr>
          <w:p w:rsidR="00DC7056" w:rsidRPr="00F73332" w:rsidRDefault="00DC7056" w:rsidP="004210BB">
            <w:pPr>
              <w:rPr>
                <w:color w:val="000000"/>
                <w:sz w:val="14"/>
                <w:szCs w:val="14"/>
              </w:rPr>
            </w:pP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ReadingType.dataQualifier</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DataQualifierType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Recommended extension</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
        </w:tc>
        <w:tc>
          <w:tcPr>
            <w:tcW w:w="645" w:type="pct"/>
            <w:tcBorders>
              <w:right w:val="single" w:sz="12" w:space="0" w:color="BFBFBF"/>
            </w:tcBorders>
            <w:noWrap/>
          </w:tcPr>
          <w:p w:rsidR="00DC7056" w:rsidRPr="00F73332" w:rsidRDefault="00DC7056" w:rsidP="004210BB">
            <w:pPr>
              <w:rPr>
                <w:color w:val="000000"/>
                <w:sz w:val="14"/>
                <w:szCs w:val="14"/>
              </w:rPr>
            </w:pP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ReadingType.tou</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TOUType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Same</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
        </w:tc>
        <w:tc>
          <w:tcPr>
            <w:tcW w:w="645" w:type="pct"/>
            <w:tcBorders>
              <w:right w:val="single" w:sz="12" w:space="0" w:color="BFBFBF"/>
            </w:tcBorders>
            <w:noWrap/>
          </w:tcPr>
          <w:p w:rsidR="00DC7056" w:rsidRPr="00F73332" w:rsidRDefault="00DC7056" w:rsidP="004210BB">
            <w:pPr>
              <w:rPr>
                <w:color w:val="000000"/>
                <w:sz w:val="14"/>
                <w:szCs w:val="14"/>
              </w:rPr>
            </w:pP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ReadingType.currency</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CurrencyCode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Same</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
        </w:tc>
        <w:tc>
          <w:tcPr>
            <w:tcW w:w="645" w:type="pct"/>
            <w:tcBorders>
              <w:right w:val="single" w:sz="12" w:space="0" w:color="BFBFBF"/>
            </w:tcBorders>
            <w:noWrap/>
          </w:tcPr>
          <w:p w:rsidR="00DC7056" w:rsidRPr="00F73332" w:rsidRDefault="00DC7056" w:rsidP="004210BB">
            <w:pPr>
              <w:rPr>
                <w:color w:val="000000"/>
                <w:sz w:val="14"/>
                <w:szCs w:val="14"/>
              </w:rPr>
            </w:pP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ReadingType.commodity</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CommodityType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Same</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
        </w:tc>
        <w:tc>
          <w:tcPr>
            <w:tcW w:w="645" w:type="pct"/>
            <w:tcBorders>
              <w:right w:val="single" w:sz="12" w:space="0" w:color="BFBFBF"/>
            </w:tcBorders>
            <w:noWrap/>
          </w:tcPr>
          <w:p w:rsidR="00DC7056" w:rsidRPr="00F73332" w:rsidRDefault="00DC7056" w:rsidP="004210BB">
            <w:pPr>
              <w:rPr>
                <w:color w:val="000000"/>
                <w:sz w:val="14"/>
                <w:szCs w:val="14"/>
              </w:rPr>
            </w:pP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ReadingType.consumptionTier</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ConsumptionTierType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Same</w:t>
            </w:r>
          </w:p>
        </w:tc>
      </w:tr>
      <w:tr w:rsidR="00DC7056" w:rsidRPr="00F73332" w:rsidTr="00C872BC">
        <w:trPr>
          <w:cantSplit/>
          <w:jc w:val="center"/>
        </w:trPr>
        <w:tc>
          <w:tcPr>
            <w:tcW w:w="1165" w:type="pct"/>
            <w:noWrap/>
          </w:tcPr>
          <w:p w:rsidR="00DC7056" w:rsidRPr="00F73332" w:rsidRDefault="00DC7056" w:rsidP="004210BB">
            <w:pPr>
              <w:rPr>
                <w:color w:val="000000"/>
                <w:sz w:val="14"/>
                <w:szCs w:val="14"/>
              </w:rPr>
            </w:pPr>
          </w:p>
        </w:tc>
        <w:tc>
          <w:tcPr>
            <w:tcW w:w="645" w:type="pct"/>
            <w:tcBorders>
              <w:right w:val="single" w:sz="12" w:space="0" w:color="BFBFBF"/>
            </w:tcBorders>
            <w:noWrap/>
          </w:tcPr>
          <w:p w:rsidR="00DC7056" w:rsidRPr="00F73332" w:rsidRDefault="00DC7056" w:rsidP="004210BB">
            <w:pPr>
              <w:rPr>
                <w:color w:val="000000"/>
                <w:sz w:val="14"/>
                <w:szCs w:val="14"/>
              </w:rPr>
            </w:pPr>
          </w:p>
        </w:tc>
        <w:tc>
          <w:tcPr>
            <w:tcW w:w="1289" w:type="pct"/>
            <w:tcBorders>
              <w:lef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ReadingType.phase</w:t>
            </w:r>
            <w:proofErr w:type="spellEnd"/>
          </w:p>
        </w:tc>
        <w:tc>
          <w:tcPr>
            <w:tcW w:w="1002" w:type="pct"/>
            <w:tcBorders>
              <w:right w:val="single" w:sz="12" w:space="0" w:color="BFBFBF"/>
            </w:tcBorders>
            <w:noWrap/>
          </w:tcPr>
          <w:p w:rsidR="00DC7056" w:rsidRPr="00F73332" w:rsidRDefault="00DC7056" w:rsidP="004210BB">
            <w:pPr>
              <w:rPr>
                <w:color w:val="000000"/>
                <w:sz w:val="14"/>
                <w:szCs w:val="14"/>
              </w:rPr>
            </w:pPr>
            <w:proofErr w:type="spellStart"/>
            <w:r w:rsidRPr="00F73332">
              <w:rPr>
                <w:color w:val="000000"/>
                <w:sz w:val="14"/>
                <w:szCs w:val="14"/>
              </w:rPr>
              <w:t>PhaseCode</w:t>
            </w:r>
            <w:proofErr w:type="spellEnd"/>
          </w:p>
        </w:tc>
        <w:tc>
          <w:tcPr>
            <w:tcW w:w="899" w:type="pct"/>
            <w:tcBorders>
              <w:left w:val="single" w:sz="12" w:space="0" w:color="BFBFBF"/>
            </w:tcBorders>
            <w:noWrap/>
          </w:tcPr>
          <w:p w:rsidR="00DC7056" w:rsidRPr="00F73332" w:rsidRDefault="00DC7056" w:rsidP="004210BB">
            <w:pPr>
              <w:rPr>
                <w:color w:val="000000"/>
                <w:sz w:val="14"/>
                <w:szCs w:val="14"/>
              </w:rPr>
            </w:pPr>
            <w:r w:rsidRPr="00F73332">
              <w:rPr>
                <w:color w:val="000000"/>
                <w:sz w:val="14"/>
                <w:szCs w:val="14"/>
              </w:rPr>
              <w:t>phases</w:t>
            </w:r>
          </w:p>
        </w:tc>
      </w:tr>
    </w:tbl>
    <w:p w:rsidR="00FA7463" w:rsidRDefault="00FA7463" w:rsidP="00C872BC">
      <w:pPr>
        <w:pStyle w:val="BodyText"/>
      </w:pPr>
    </w:p>
    <w:p w:rsidR="00DC7056" w:rsidRPr="00DC7056" w:rsidRDefault="00C872BC" w:rsidP="00C872BC">
      <w:pPr>
        <w:pStyle w:val="BodyText"/>
      </w:pPr>
      <w:r>
        <w:t>Below is a graphic showing the two UML models side by side</w:t>
      </w:r>
      <w:r w:rsidR="00C83784">
        <w:t xml:space="preserve">. The new NAESB </w:t>
      </w:r>
      <w:proofErr w:type="spellStart"/>
      <w:r w:rsidR="00C83784">
        <w:t>ReadingType</w:t>
      </w:r>
      <w:proofErr w:type="spellEnd"/>
      <w:r w:rsidR="00C83784">
        <w:t xml:space="preserve"> will merge the new/revised CIM attributes with the contents of the current class</w:t>
      </w:r>
      <w:r>
        <w:t>:</w:t>
      </w:r>
    </w:p>
    <w:tbl>
      <w:tblPr>
        <w:tblStyle w:val="TableGrid"/>
        <w:tblW w:w="0" w:type="auto"/>
        <w:tblLook w:val="04A0" w:firstRow="1" w:lastRow="0" w:firstColumn="1" w:lastColumn="0" w:noHBand="0" w:noVBand="1"/>
      </w:tblPr>
      <w:tblGrid>
        <w:gridCol w:w="4983"/>
        <w:gridCol w:w="4593"/>
      </w:tblGrid>
      <w:tr w:rsidR="00017609" w:rsidTr="004210BB">
        <w:tc>
          <w:tcPr>
            <w:tcW w:w="4983" w:type="dxa"/>
          </w:tcPr>
          <w:p w:rsidR="00017609" w:rsidRDefault="00017609" w:rsidP="004210BB">
            <w:pPr>
              <w:rPr>
                <w:noProof/>
              </w:rPr>
            </w:pPr>
            <w:r>
              <w:rPr>
                <w:noProof/>
              </w:rPr>
              <w:t>CIM ReadingType</w:t>
            </w:r>
          </w:p>
        </w:tc>
        <w:tc>
          <w:tcPr>
            <w:tcW w:w="4593" w:type="dxa"/>
          </w:tcPr>
          <w:p w:rsidR="00017609" w:rsidRDefault="00017609" w:rsidP="00017609">
            <w:pPr>
              <w:rPr>
                <w:noProof/>
              </w:rPr>
            </w:pPr>
            <w:r>
              <w:rPr>
                <w:noProof/>
              </w:rPr>
              <w:t>Current NAESB REQ18/WEQ19</w:t>
            </w:r>
          </w:p>
        </w:tc>
      </w:tr>
      <w:tr w:rsidR="00F73332" w:rsidTr="00017609">
        <w:tc>
          <w:tcPr>
            <w:tcW w:w="4983" w:type="dxa"/>
          </w:tcPr>
          <w:p w:rsidR="00F73332" w:rsidRDefault="00F73332" w:rsidP="00DC7056">
            <w:r>
              <w:rPr>
                <w:noProof/>
              </w:rPr>
              <w:drawing>
                <wp:inline distT="0" distB="0" distL="0" distR="0" wp14:anchorId="1ABE1EE0" wp14:editId="0AB338A4">
                  <wp:extent cx="3027045" cy="3161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7045" cy="3161030"/>
                          </a:xfrm>
                          <a:prstGeom prst="rect">
                            <a:avLst/>
                          </a:prstGeom>
                          <a:noFill/>
                          <a:ln>
                            <a:noFill/>
                          </a:ln>
                        </pic:spPr>
                      </pic:pic>
                    </a:graphicData>
                  </a:graphic>
                </wp:inline>
              </w:drawing>
            </w:r>
          </w:p>
        </w:tc>
        <w:tc>
          <w:tcPr>
            <w:tcW w:w="4593" w:type="dxa"/>
          </w:tcPr>
          <w:p w:rsidR="00F73332" w:rsidRDefault="00F73332" w:rsidP="00DC7056">
            <w:r>
              <w:rPr>
                <w:noProof/>
              </w:rPr>
              <w:drawing>
                <wp:inline distT="0" distB="0" distL="0" distR="0" wp14:anchorId="1890A713" wp14:editId="00663FED">
                  <wp:extent cx="2577465" cy="1891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65" cy="1891665"/>
                          </a:xfrm>
                          <a:prstGeom prst="rect">
                            <a:avLst/>
                          </a:prstGeom>
                          <a:noFill/>
                          <a:ln>
                            <a:noFill/>
                          </a:ln>
                        </pic:spPr>
                      </pic:pic>
                    </a:graphicData>
                  </a:graphic>
                </wp:inline>
              </w:drawing>
            </w:r>
          </w:p>
        </w:tc>
      </w:tr>
    </w:tbl>
    <w:p w:rsidR="006C3F05" w:rsidRDefault="00DC7056" w:rsidP="00DC7056">
      <w:pPr>
        <w:pStyle w:val="Heading2"/>
      </w:pPr>
      <w:r>
        <w:t xml:space="preserve">Added enumerated values from </w:t>
      </w:r>
      <w:r w:rsidR="00F73332">
        <w:t>Facility Smart Grid Information Model (</w:t>
      </w:r>
      <w:r>
        <w:t>FSGIM</w:t>
      </w:r>
      <w:r w:rsidR="00F73332">
        <w:t>)</w:t>
      </w:r>
    </w:p>
    <w:p w:rsidR="00F73332" w:rsidRDefault="00F73332" w:rsidP="00F73332">
      <w:pPr>
        <w:pStyle w:val="BodyText"/>
      </w:pPr>
      <w:r>
        <w:lastRenderedPageBreak/>
        <w:t xml:space="preserve">The enumeration </w:t>
      </w:r>
      <w:r w:rsidR="00C83784">
        <w:t>“</w:t>
      </w:r>
      <w:r w:rsidR="00017609">
        <w:t>Commodity</w:t>
      </w:r>
      <w:r w:rsidR="00C83784">
        <w:t>”</w:t>
      </w:r>
      <w:r w:rsidR="00017609">
        <w:t xml:space="preserve"> in the new </w:t>
      </w:r>
      <w:proofErr w:type="spellStart"/>
      <w:r w:rsidR="00017609">
        <w:t>ReadingType</w:t>
      </w:r>
      <w:proofErr w:type="spellEnd"/>
      <w:r>
        <w:t xml:space="preserve"> contains the list of </w:t>
      </w:r>
      <w:r w:rsidR="00017609">
        <w:t xml:space="preserve">commodities for whose </w:t>
      </w:r>
      <w:r>
        <w:t>measurements can be represented. ASHRAE SPC201P Facility Smart Grid Information Model is a companion to the REQ18/WEQ19 that fleshes out the additional requirements needed to represent the facility side view of the Smart Grid.</w:t>
      </w:r>
    </w:p>
    <w:p w:rsidR="00F73332" w:rsidRDefault="00017609" w:rsidP="00017609">
      <w:pPr>
        <w:pStyle w:val="BodyText"/>
      </w:pPr>
      <w:r>
        <w:t>Additional measurements related to EPA recognized pollutants were added to allow representations of these measurements to be made.</w:t>
      </w:r>
      <w:r w:rsidR="007F25A9">
        <w:t xml:space="preserve"> Based on the figure below, the following enumerated values need to be added:</w:t>
      </w:r>
    </w:p>
    <w:p w:rsidR="007F25A9" w:rsidRDefault="007F25A9" w:rsidP="00C83784">
      <w:pPr>
        <w:pStyle w:val="BodyText"/>
        <w:ind w:left="720"/>
      </w:pPr>
      <w:r>
        <w:t>CO, CO2e,</w:t>
      </w:r>
      <w:r w:rsidR="00C83784">
        <w:t xml:space="preserve"> </w:t>
      </w:r>
      <w:r>
        <w:t xml:space="preserve">lead, </w:t>
      </w:r>
      <w:proofErr w:type="spellStart"/>
      <w:r>
        <w:t>otherContaminants</w:t>
      </w:r>
      <w:proofErr w:type="spellEnd"/>
      <w:r>
        <w:t>,</w:t>
      </w:r>
      <w:r w:rsidR="00C83784">
        <w:t xml:space="preserve"> </w:t>
      </w:r>
      <w:r>
        <w:t>ozone, PM10, PM2.5, sox</w:t>
      </w:r>
    </w:p>
    <w:tbl>
      <w:tblPr>
        <w:tblStyle w:val="TableGrid"/>
        <w:tblW w:w="0" w:type="auto"/>
        <w:tblLook w:val="04A0" w:firstRow="1" w:lastRow="0" w:firstColumn="1" w:lastColumn="0" w:noHBand="0" w:noVBand="1"/>
      </w:tblPr>
      <w:tblGrid>
        <w:gridCol w:w="5206"/>
        <w:gridCol w:w="4370"/>
      </w:tblGrid>
      <w:tr w:rsidR="00017609" w:rsidTr="00C40AB8">
        <w:tc>
          <w:tcPr>
            <w:tcW w:w="5206" w:type="dxa"/>
          </w:tcPr>
          <w:p w:rsidR="00017609" w:rsidRDefault="00017609" w:rsidP="00F73332">
            <w:pPr>
              <w:rPr>
                <w:noProof/>
              </w:rPr>
            </w:pPr>
            <w:r>
              <w:rPr>
                <w:noProof/>
              </w:rPr>
              <w:t>FSGIM Required Pollutants</w:t>
            </w:r>
          </w:p>
        </w:tc>
        <w:tc>
          <w:tcPr>
            <w:tcW w:w="4370" w:type="dxa"/>
          </w:tcPr>
          <w:p w:rsidR="00017609" w:rsidRDefault="00017609" w:rsidP="00F73332">
            <w:pPr>
              <w:rPr>
                <w:noProof/>
              </w:rPr>
            </w:pPr>
            <w:r>
              <w:rPr>
                <w:noProof/>
              </w:rPr>
              <w:t>Current CIM/Proposed NAESB List</w:t>
            </w:r>
          </w:p>
        </w:tc>
      </w:tr>
      <w:tr w:rsidR="00017609" w:rsidTr="00C40AB8">
        <w:tc>
          <w:tcPr>
            <w:tcW w:w="5206" w:type="dxa"/>
          </w:tcPr>
          <w:p w:rsidR="00017609" w:rsidRDefault="00017609" w:rsidP="00F73332">
            <w:r>
              <w:rPr>
                <w:noProof/>
              </w:rPr>
              <w:drawing>
                <wp:inline distT="0" distB="0" distL="0" distR="0" wp14:anchorId="07CC8C13" wp14:editId="4D265C3D">
                  <wp:extent cx="3168650" cy="30187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8650" cy="3018790"/>
                          </a:xfrm>
                          <a:prstGeom prst="rect">
                            <a:avLst/>
                          </a:prstGeom>
                          <a:noFill/>
                          <a:ln>
                            <a:noFill/>
                          </a:ln>
                        </pic:spPr>
                      </pic:pic>
                    </a:graphicData>
                  </a:graphic>
                </wp:inline>
              </w:drawing>
            </w:r>
          </w:p>
        </w:tc>
        <w:tc>
          <w:tcPr>
            <w:tcW w:w="4370" w:type="dxa"/>
          </w:tcPr>
          <w:p w:rsidR="00017609" w:rsidRDefault="00017609" w:rsidP="00F73332">
            <w:r>
              <w:rPr>
                <w:noProof/>
              </w:rPr>
              <w:drawing>
                <wp:inline distT="0" distB="0" distL="0" distR="0" wp14:anchorId="53AD77DC" wp14:editId="40DC1BBF">
                  <wp:extent cx="2278380" cy="46901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8380" cy="4690110"/>
                          </a:xfrm>
                          <a:prstGeom prst="rect">
                            <a:avLst/>
                          </a:prstGeom>
                          <a:noFill/>
                          <a:ln>
                            <a:noFill/>
                          </a:ln>
                        </pic:spPr>
                      </pic:pic>
                    </a:graphicData>
                  </a:graphic>
                </wp:inline>
              </w:drawing>
            </w:r>
          </w:p>
        </w:tc>
      </w:tr>
    </w:tbl>
    <w:p w:rsidR="001B615E" w:rsidRDefault="00DE622B" w:rsidP="00E8786F">
      <w:pPr>
        <w:pStyle w:val="Heading2"/>
      </w:pPr>
      <w:r w:rsidRPr="00C40AB8">
        <w:t>Identified Object</w:t>
      </w:r>
    </w:p>
    <w:p w:rsidR="00AD79C2" w:rsidRDefault="00AD79C2" w:rsidP="00E8786F">
      <w:pPr>
        <w:pStyle w:val="BodyText"/>
      </w:pPr>
      <w:r>
        <w:t xml:space="preserve">Object identification is a critical modeling semantic common to all modeling efforts. The </w:t>
      </w:r>
      <w:proofErr w:type="spellStart"/>
      <w:r>
        <w:t>ObjectID</w:t>
      </w:r>
      <w:proofErr w:type="spellEnd"/>
      <w:r>
        <w:t xml:space="preserve"> class is the base class from which all major classes inherit in CIM (from which UsagePoint and other EUI classes originate). This was an important but simple omission from the original EUI model.</w:t>
      </w:r>
    </w:p>
    <w:p w:rsidR="00AD79C2" w:rsidRDefault="00C40AB8" w:rsidP="00E8786F">
      <w:pPr>
        <w:pStyle w:val="BodyText"/>
      </w:pPr>
      <w:r>
        <w:t xml:space="preserve">The UsagePoint, </w:t>
      </w:r>
      <w:proofErr w:type="spellStart"/>
      <w:r>
        <w:t>ReadingType</w:t>
      </w:r>
      <w:proofErr w:type="spellEnd"/>
      <w:r>
        <w:t xml:space="preserve">, </w:t>
      </w:r>
      <w:proofErr w:type="spellStart"/>
      <w:r>
        <w:t>IntervalBlock</w:t>
      </w:r>
      <w:proofErr w:type="spellEnd"/>
      <w:r>
        <w:t xml:space="preserve">, </w:t>
      </w:r>
      <w:proofErr w:type="spellStart"/>
      <w:r>
        <w:t>MeterReading</w:t>
      </w:r>
      <w:proofErr w:type="spellEnd"/>
      <w:r>
        <w:t xml:space="preserve">, </w:t>
      </w:r>
      <w:proofErr w:type="spellStart"/>
      <w:r>
        <w:t>ElectricPowerUsageSummary</w:t>
      </w:r>
      <w:proofErr w:type="spellEnd"/>
      <w:r>
        <w:t xml:space="preserve">, </w:t>
      </w:r>
      <w:proofErr w:type="spellStart"/>
      <w:r>
        <w:t>ElectricPowerQualitySummary</w:t>
      </w:r>
      <w:proofErr w:type="spellEnd"/>
      <w:r>
        <w:t xml:space="preserve">, and Authorization should inherit from </w:t>
      </w:r>
      <w:proofErr w:type="spellStart"/>
      <w:r>
        <w:t>IdentifiedObject</w:t>
      </w:r>
      <w:proofErr w:type="spellEnd"/>
      <w:r>
        <w:t xml:space="preserve">. </w:t>
      </w:r>
    </w:p>
    <w:p w:rsidR="00C40AB8" w:rsidRDefault="00C40AB8" w:rsidP="00E8786F">
      <w:pPr>
        <w:pStyle w:val="BodyText"/>
      </w:pPr>
      <w:proofErr w:type="spellStart"/>
      <w:r>
        <w:lastRenderedPageBreak/>
        <w:t>IdentifiedObject</w:t>
      </w:r>
      <w:proofErr w:type="spellEnd"/>
      <w:r>
        <w:t xml:space="preserve"> should contain the CIM model of </w:t>
      </w:r>
      <w:proofErr w:type="spellStart"/>
      <w:r>
        <w:t>IdentifiedObject</w:t>
      </w:r>
      <w:proofErr w:type="spellEnd"/>
      <w:r>
        <w:t xml:space="preserve"> as follows:</w:t>
      </w:r>
    </w:p>
    <w:p w:rsidR="00C40AB8" w:rsidRPr="00C40AB8" w:rsidRDefault="00C40AB8" w:rsidP="00E8786F">
      <w:r>
        <w:rPr>
          <w:noProof/>
        </w:rPr>
        <w:drawing>
          <wp:inline distT="0" distB="0" distL="0" distR="0" wp14:anchorId="0694B680" wp14:editId="122A0C91">
            <wp:extent cx="5352029" cy="2895448"/>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2029" cy="2895448"/>
                    </a:xfrm>
                    <a:prstGeom prst="rect">
                      <a:avLst/>
                    </a:prstGeom>
                    <a:noFill/>
                    <a:ln>
                      <a:noFill/>
                    </a:ln>
                  </pic:spPr>
                </pic:pic>
              </a:graphicData>
            </a:graphic>
          </wp:inline>
        </w:drawing>
      </w:r>
    </w:p>
    <w:p w:rsidR="00DE622B" w:rsidRDefault="00DE622B" w:rsidP="00E8786F">
      <w:pPr>
        <w:pStyle w:val="Heading2"/>
      </w:pPr>
      <w:proofErr w:type="spellStart"/>
      <w:r w:rsidRPr="00C40AB8">
        <w:t>ElectricPowerUsageSummary.flickerPst</w:t>
      </w:r>
      <w:proofErr w:type="spellEnd"/>
      <w:r w:rsidRPr="00C40AB8">
        <w:t xml:space="preserve"> should be float</w:t>
      </w:r>
    </w:p>
    <w:p w:rsidR="0003434F" w:rsidRPr="0003434F" w:rsidRDefault="0003434F" w:rsidP="0003434F">
      <w:r>
        <w:t xml:space="preserve">The </w:t>
      </w:r>
      <w:proofErr w:type="spellStart"/>
      <w:r>
        <w:t>flickerPst</w:t>
      </w:r>
      <w:proofErr w:type="spellEnd"/>
      <w:r>
        <w:t xml:space="preserve"> component of the </w:t>
      </w:r>
      <w:proofErr w:type="spellStart"/>
      <w:r>
        <w:t>ElectricPowerUsageSummary</w:t>
      </w:r>
      <w:proofErr w:type="spellEnd"/>
      <w:r>
        <w:t xml:space="preserve"> is a measure of stability of the power as observed over a period of time. The initial contribution to REQ18/WEQ19 errantly defined this as a count of some observable event. This was detected as an error and has since been corrected in ESPI as well as OASIS EMIX which uses the same data structure.</w:t>
      </w:r>
    </w:p>
    <w:p w:rsidR="00C40AB8" w:rsidRPr="00C40AB8" w:rsidRDefault="00C40AB8" w:rsidP="00E8786F">
      <w:pPr>
        <w:pStyle w:val="BodyText"/>
      </w:pPr>
      <w:r>
        <w:t>Current type and definition:</w:t>
      </w:r>
    </w:p>
    <w:p w:rsidR="00C40AB8" w:rsidRDefault="00C40AB8" w:rsidP="00E8786F">
      <w:pPr>
        <w:pStyle w:val="BodyText"/>
        <w:ind w:left="720"/>
      </w:pPr>
      <w:r>
        <w:t>Integer: A count of Rapid Voltage Change events during the summary interval period</w:t>
      </w:r>
    </w:p>
    <w:p w:rsidR="00C40AB8" w:rsidRDefault="00C40AB8" w:rsidP="00E8786F">
      <w:pPr>
        <w:pStyle w:val="BodyText"/>
      </w:pPr>
      <w:r>
        <w:t>Proposed type and definition</w:t>
      </w:r>
    </w:p>
    <w:p w:rsidR="00C40AB8" w:rsidRPr="00C40AB8" w:rsidRDefault="00C40AB8" w:rsidP="00E8786F">
      <w:pPr>
        <w:pStyle w:val="BodyText"/>
        <w:ind w:left="720"/>
      </w:pPr>
      <w:r>
        <w:t xml:space="preserve">Float: </w:t>
      </w:r>
      <w:proofErr w:type="spellStart"/>
      <w:r w:rsidRPr="00C40AB8">
        <w:t>flickerPst</w:t>
      </w:r>
      <w:proofErr w:type="spellEnd"/>
      <w:r w:rsidRPr="00C40AB8">
        <w:t xml:space="preserve"> is a value measured over 10 minutes that characterizes the likelihood that the voltage fluctuations would result in perceptible light flicker. A value of 1.0 is designed to represent the level that 50% of people would perceive flicker in a 60 watt incandescent bulb.</w:t>
      </w:r>
    </w:p>
    <w:p w:rsidR="00E8786F" w:rsidRDefault="00E8786F" w:rsidP="00E8786F">
      <w:pPr>
        <w:pStyle w:val="Heading2"/>
      </w:pPr>
      <w:proofErr w:type="spellStart"/>
      <w:proofErr w:type="gramStart"/>
      <w:r w:rsidRPr="00C40AB8">
        <w:t>currentBillingPeriodOverAllConsumption</w:t>
      </w:r>
      <w:proofErr w:type="spellEnd"/>
      <w:proofErr w:type="gramEnd"/>
      <w:r w:rsidRPr="00C40AB8">
        <w:t xml:space="preserve"> vs. </w:t>
      </w:r>
      <w:proofErr w:type="spellStart"/>
      <w:r w:rsidRPr="00C40AB8">
        <w:t>currentBillingPeriodOverallConsumption</w:t>
      </w:r>
      <w:proofErr w:type="spellEnd"/>
    </w:p>
    <w:p w:rsidR="00E8786F" w:rsidRPr="00C40AB8" w:rsidRDefault="00E8786F" w:rsidP="00E8786F">
      <w:pPr>
        <w:pStyle w:val="BodyText"/>
      </w:pPr>
      <w:r>
        <w:t>This is a simple name change since the capitalization looks incorrect. Overall is one word, yet it is “</w:t>
      </w:r>
      <w:proofErr w:type="spellStart"/>
      <w:r>
        <w:t>camelCased</w:t>
      </w:r>
      <w:proofErr w:type="spellEnd"/>
      <w:r>
        <w:t>” as two.</w:t>
      </w:r>
    </w:p>
    <w:p w:rsidR="00DE622B" w:rsidRDefault="00DE622B" w:rsidP="00E8786F">
      <w:pPr>
        <w:pStyle w:val="Heading2"/>
      </w:pPr>
      <w:proofErr w:type="spellStart"/>
      <w:r w:rsidRPr="00C40AB8">
        <w:t>UsagePoint.roleFlags</w:t>
      </w:r>
      <w:proofErr w:type="spellEnd"/>
      <w:r w:rsidRPr="00C40AB8">
        <w:t xml:space="preserve"> and </w:t>
      </w:r>
      <w:proofErr w:type="spellStart"/>
      <w:r w:rsidR="00E8786F" w:rsidRPr="00C40AB8">
        <w:t>UsagePoint.</w:t>
      </w:r>
      <w:r w:rsidRPr="00C40AB8">
        <w:t>status</w:t>
      </w:r>
      <w:proofErr w:type="spellEnd"/>
      <w:r w:rsidR="00AD79C2">
        <w:t xml:space="preserve"> from ESPI/SEP2.0</w:t>
      </w:r>
    </w:p>
    <w:p w:rsidR="00AD79C2" w:rsidRDefault="00E8786F" w:rsidP="00203227">
      <w:pPr>
        <w:pStyle w:val="BodyText"/>
      </w:pPr>
      <w:r>
        <w:t xml:space="preserve">To maintain semantic alignment with </w:t>
      </w:r>
      <w:r w:rsidR="0003434F">
        <w:t xml:space="preserve">ESPI and </w:t>
      </w:r>
      <w:r>
        <w:t>SEP2.0, these two attributes should be added to the UsagePoint class.</w:t>
      </w:r>
      <w:r w:rsidR="0003434F">
        <w:t xml:space="preserve"> Note that the “name” attribute of UsagePoint will be redundant with the inheritance from </w:t>
      </w:r>
      <w:proofErr w:type="spellStart"/>
      <w:r w:rsidR="0003434F">
        <w:t>IdentifiedObject</w:t>
      </w:r>
      <w:proofErr w:type="spellEnd"/>
      <w:r w:rsidR="0003434F">
        <w:t xml:space="preserve"> and should be removed in favor of </w:t>
      </w:r>
      <w:proofErr w:type="spellStart"/>
      <w:r w:rsidR="0003434F">
        <w:t>IdentifiedObject</w:t>
      </w:r>
      <w:proofErr w:type="spellEnd"/>
      <w:r w:rsidR="0003434F">
        <w:t xml:space="preserve"> modification.</w:t>
      </w:r>
    </w:p>
    <w:tbl>
      <w:tblPr>
        <w:tblStyle w:val="TableGrid"/>
        <w:tblW w:w="0" w:type="auto"/>
        <w:tblLook w:val="04A0" w:firstRow="1" w:lastRow="0" w:firstColumn="1" w:lastColumn="0" w:noHBand="0" w:noVBand="1"/>
      </w:tblPr>
      <w:tblGrid>
        <w:gridCol w:w="4983"/>
        <w:gridCol w:w="4593"/>
      </w:tblGrid>
      <w:tr w:rsidR="00203227" w:rsidTr="00AE4EF5">
        <w:tc>
          <w:tcPr>
            <w:tcW w:w="4983" w:type="dxa"/>
          </w:tcPr>
          <w:p w:rsidR="00203227" w:rsidRDefault="00203227" w:rsidP="00AE4EF5">
            <w:pPr>
              <w:rPr>
                <w:noProof/>
              </w:rPr>
            </w:pPr>
            <w:r>
              <w:rPr>
                <w:noProof/>
              </w:rPr>
              <w:t>ESPI UsagePoint</w:t>
            </w:r>
          </w:p>
        </w:tc>
        <w:tc>
          <w:tcPr>
            <w:tcW w:w="4593" w:type="dxa"/>
          </w:tcPr>
          <w:p w:rsidR="00203227" w:rsidRDefault="00203227" w:rsidP="00AE4EF5">
            <w:pPr>
              <w:rPr>
                <w:noProof/>
              </w:rPr>
            </w:pPr>
            <w:r>
              <w:rPr>
                <w:noProof/>
              </w:rPr>
              <w:t>Current NAESB REQ18/WEQ19</w:t>
            </w:r>
          </w:p>
        </w:tc>
      </w:tr>
      <w:tr w:rsidR="00203227" w:rsidTr="00AE4EF5">
        <w:tc>
          <w:tcPr>
            <w:tcW w:w="4983" w:type="dxa"/>
          </w:tcPr>
          <w:p w:rsidR="00203227" w:rsidRDefault="00203227" w:rsidP="00AE4EF5">
            <w:r>
              <w:rPr>
                <w:noProof/>
              </w:rPr>
              <w:lastRenderedPageBreak/>
              <w:drawing>
                <wp:inline distT="0" distB="0" distL="0" distR="0" wp14:anchorId="6CEA0E2B" wp14:editId="6A2E85CC">
                  <wp:extent cx="2057400" cy="1226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226820"/>
                          </a:xfrm>
                          <a:prstGeom prst="rect">
                            <a:avLst/>
                          </a:prstGeom>
                          <a:noFill/>
                          <a:ln>
                            <a:noFill/>
                          </a:ln>
                        </pic:spPr>
                      </pic:pic>
                    </a:graphicData>
                  </a:graphic>
                </wp:inline>
              </w:drawing>
            </w:r>
          </w:p>
        </w:tc>
        <w:tc>
          <w:tcPr>
            <w:tcW w:w="4593" w:type="dxa"/>
          </w:tcPr>
          <w:p w:rsidR="00203227" w:rsidRDefault="00203227" w:rsidP="00AE4EF5">
            <w:r>
              <w:rPr>
                <w:noProof/>
              </w:rPr>
              <w:drawing>
                <wp:inline distT="0" distB="0" distL="0" distR="0" wp14:anchorId="07DCC931" wp14:editId="3C1F0E8E">
                  <wp:extent cx="1889760" cy="11887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760" cy="1188720"/>
                          </a:xfrm>
                          <a:prstGeom prst="rect">
                            <a:avLst/>
                          </a:prstGeom>
                          <a:noFill/>
                          <a:ln>
                            <a:noFill/>
                          </a:ln>
                        </pic:spPr>
                      </pic:pic>
                    </a:graphicData>
                  </a:graphic>
                </wp:inline>
              </w:drawing>
            </w:r>
          </w:p>
        </w:tc>
      </w:tr>
    </w:tbl>
    <w:p w:rsidR="00E8786F" w:rsidRDefault="00E8786F" w:rsidP="00E8786F">
      <w:pPr>
        <w:pStyle w:val="Heading2"/>
      </w:pPr>
      <w:proofErr w:type="spellStart"/>
      <w:r>
        <w:t>ServiceCategory</w:t>
      </w:r>
      <w:proofErr w:type="spellEnd"/>
      <w:r>
        <w:t xml:space="preserve"> should associate with UsagePoint, not </w:t>
      </w:r>
      <w:proofErr w:type="spellStart"/>
      <w:r>
        <w:t>ServiceDeliveryPoint</w:t>
      </w:r>
      <w:proofErr w:type="spellEnd"/>
    </w:p>
    <w:p w:rsidR="00E8786F" w:rsidRPr="00AD79C2" w:rsidRDefault="00E8786F" w:rsidP="00203227">
      <w:pPr>
        <w:pStyle w:val="BodyText"/>
      </w:pPr>
      <w:r>
        <w:t>To maintain semantic alignment with SEP2.0, th</w:t>
      </w:r>
      <w:r w:rsidR="006D2023">
        <w:t>is association should be moved</w:t>
      </w:r>
      <w:r>
        <w:t>.</w:t>
      </w:r>
      <w:r w:rsidR="006D2023">
        <w:t xml:space="preserve"> This association originally came from the OpenADE requirements and early versions of SEP 2.0. This simple modification eliminates the requirement for </w:t>
      </w:r>
      <w:proofErr w:type="spellStart"/>
      <w:r w:rsidR="006D2023">
        <w:t>ServiceDeliveryPoint</w:t>
      </w:r>
      <w:proofErr w:type="spellEnd"/>
      <w:r w:rsidR="006D2023">
        <w:t xml:space="preserve"> if </w:t>
      </w:r>
      <w:proofErr w:type="spellStart"/>
      <w:r w:rsidR="006D2023">
        <w:t>ServiceCategory</w:t>
      </w:r>
      <w:proofErr w:type="spellEnd"/>
      <w:r w:rsidR="006D2023">
        <w:t xml:space="preserve"> is desired. </w:t>
      </w:r>
    </w:p>
    <w:p w:rsidR="00AD79C2" w:rsidRDefault="00AD79C2" w:rsidP="00E8786F">
      <w:pPr>
        <w:pStyle w:val="Heading2"/>
      </w:pPr>
      <w:r>
        <w:t>Authorization from ESPI</w:t>
      </w:r>
    </w:p>
    <w:p w:rsidR="00AD79C2" w:rsidRDefault="00AD79C2" w:rsidP="00E8786F">
      <w:pPr>
        <w:pStyle w:val="BodyText"/>
      </w:pPr>
      <w:r>
        <w:t xml:space="preserve">The </w:t>
      </w:r>
      <w:proofErr w:type="spellStart"/>
      <w:r>
        <w:t>CustomerAuthorization</w:t>
      </w:r>
      <w:proofErr w:type="spellEnd"/>
      <w:r>
        <w:t xml:space="preserve"> class came from the OpenADE contributions. As this work flowed into the ESPI standard, REQ.21 a more fleshed out class was needed. This proposed revision would revise the </w:t>
      </w:r>
      <w:proofErr w:type="spellStart"/>
      <w:r>
        <w:t>CustomerAuthorization</w:t>
      </w:r>
      <w:proofErr w:type="spellEnd"/>
      <w:r>
        <w:t xml:space="preserve"> class to </w:t>
      </w:r>
      <w:r w:rsidR="00435E74">
        <w:t>be</w:t>
      </w:r>
      <w:r>
        <w:t xml:space="preserve"> the contents of the ESPI Authorization class.</w:t>
      </w:r>
      <w:r w:rsidR="00435E74">
        <w:t xml:space="preserve"> The impact would be additional and revised attributes with no loss of expressiveness.</w:t>
      </w:r>
    </w:p>
    <w:tbl>
      <w:tblPr>
        <w:tblStyle w:val="TableGrid"/>
        <w:tblW w:w="0" w:type="auto"/>
        <w:tblLook w:val="04A0" w:firstRow="1" w:lastRow="0" w:firstColumn="1" w:lastColumn="0" w:noHBand="0" w:noVBand="1"/>
      </w:tblPr>
      <w:tblGrid>
        <w:gridCol w:w="4983"/>
        <w:gridCol w:w="4593"/>
      </w:tblGrid>
      <w:tr w:rsidR="00203227" w:rsidTr="00AE4EF5">
        <w:tc>
          <w:tcPr>
            <w:tcW w:w="4983" w:type="dxa"/>
          </w:tcPr>
          <w:p w:rsidR="00203227" w:rsidRDefault="00203227" w:rsidP="00AE4EF5">
            <w:pPr>
              <w:rPr>
                <w:noProof/>
              </w:rPr>
            </w:pPr>
            <w:r>
              <w:rPr>
                <w:noProof/>
              </w:rPr>
              <w:t xml:space="preserve">ESPI Authorization </w:t>
            </w:r>
          </w:p>
        </w:tc>
        <w:tc>
          <w:tcPr>
            <w:tcW w:w="4593" w:type="dxa"/>
          </w:tcPr>
          <w:p w:rsidR="00203227" w:rsidRDefault="00203227" w:rsidP="00AE4EF5">
            <w:pPr>
              <w:rPr>
                <w:noProof/>
              </w:rPr>
            </w:pPr>
            <w:r>
              <w:rPr>
                <w:noProof/>
              </w:rPr>
              <w:t>Current NAESB REQ18/WEQ19</w:t>
            </w:r>
          </w:p>
        </w:tc>
      </w:tr>
      <w:tr w:rsidR="00203227" w:rsidTr="00AE4EF5">
        <w:tc>
          <w:tcPr>
            <w:tcW w:w="4983" w:type="dxa"/>
          </w:tcPr>
          <w:p w:rsidR="00203227" w:rsidRDefault="00203227" w:rsidP="00AE4EF5">
            <w:r w:rsidRPr="00203227">
              <w:rPr>
                <w:noProof/>
              </w:rPr>
              <w:drawing>
                <wp:inline distT="0" distB="0" distL="0" distR="0" wp14:anchorId="11A035F1" wp14:editId="4A422702">
                  <wp:extent cx="2630170" cy="18789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0170" cy="1878965"/>
                          </a:xfrm>
                          <a:prstGeom prst="rect">
                            <a:avLst/>
                          </a:prstGeom>
                          <a:noFill/>
                          <a:ln>
                            <a:noFill/>
                          </a:ln>
                        </pic:spPr>
                      </pic:pic>
                    </a:graphicData>
                  </a:graphic>
                </wp:inline>
              </w:drawing>
            </w:r>
          </w:p>
        </w:tc>
        <w:tc>
          <w:tcPr>
            <w:tcW w:w="4593" w:type="dxa"/>
          </w:tcPr>
          <w:p w:rsidR="00203227" w:rsidRDefault="00203227" w:rsidP="00AE4EF5">
            <w:r w:rsidRPr="00203227">
              <w:rPr>
                <w:noProof/>
              </w:rPr>
              <w:drawing>
                <wp:inline distT="0" distB="0" distL="0" distR="0" wp14:anchorId="12AEDCAE" wp14:editId="5954BA7A">
                  <wp:extent cx="2592705" cy="1189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705" cy="1189990"/>
                          </a:xfrm>
                          <a:prstGeom prst="rect">
                            <a:avLst/>
                          </a:prstGeom>
                          <a:noFill/>
                          <a:ln>
                            <a:noFill/>
                          </a:ln>
                        </pic:spPr>
                      </pic:pic>
                    </a:graphicData>
                  </a:graphic>
                </wp:inline>
              </w:drawing>
            </w:r>
          </w:p>
        </w:tc>
      </w:tr>
    </w:tbl>
    <w:p w:rsidR="005C4FE1" w:rsidRDefault="005C4FE1" w:rsidP="00E8786F">
      <w:pPr>
        <w:pStyle w:val="Heading2"/>
      </w:pPr>
      <w:r>
        <w:t xml:space="preserve">Cost </w:t>
      </w:r>
      <w:proofErr w:type="spellStart"/>
      <w:r>
        <w:t>vs</w:t>
      </w:r>
      <w:proofErr w:type="spellEnd"/>
      <w:r>
        <w:t xml:space="preserve"> </w:t>
      </w:r>
      <w:proofErr w:type="spellStart"/>
      <w:r w:rsidR="00B84F18">
        <w:t>LineDetail</w:t>
      </w:r>
      <w:proofErr w:type="spellEnd"/>
      <w:r>
        <w:t xml:space="preserve"> in Usage Summary</w:t>
      </w:r>
    </w:p>
    <w:p w:rsidR="00C95699" w:rsidRDefault="00E8786F" w:rsidP="00E8786F">
      <w:pPr>
        <w:pStyle w:val="BodyText"/>
      </w:pPr>
      <w:r>
        <w:t xml:space="preserve">Currently, the </w:t>
      </w:r>
      <w:proofErr w:type="spellStart"/>
      <w:r>
        <w:t>costAdditionalLastPeriod</w:t>
      </w:r>
      <w:proofErr w:type="spellEnd"/>
      <w:r>
        <w:t xml:space="preserve"> is a single value of type float. Note that the cost components are optional in REQ18/WEQ19. This attribute is designed to allow all costs allocated in the </w:t>
      </w:r>
      <w:proofErr w:type="spellStart"/>
      <w:r>
        <w:t>IntervalReading</w:t>
      </w:r>
      <w:proofErr w:type="spellEnd"/>
      <w:r>
        <w:t xml:space="preserve"> and Reading classes to roll up to the total provided in the </w:t>
      </w:r>
      <w:proofErr w:type="spellStart"/>
      <w:r>
        <w:t>UsageSummary.billLastPeriod</w:t>
      </w:r>
      <w:proofErr w:type="spellEnd"/>
      <w:r>
        <w:t xml:space="preserve"> less the </w:t>
      </w:r>
      <w:proofErr w:type="spellStart"/>
      <w:r>
        <w:t>costAdditionalLastPeriod</w:t>
      </w:r>
      <w:proofErr w:type="spellEnd"/>
      <w:r>
        <w:t>.</w:t>
      </w:r>
      <w:r w:rsidR="00C95699">
        <w:t xml:space="preserve"> </w:t>
      </w:r>
    </w:p>
    <w:p w:rsidR="00E8786F" w:rsidRDefault="00E8786F" w:rsidP="00E8786F">
      <w:pPr>
        <w:pStyle w:val="BodyText"/>
      </w:pPr>
      <w:r>
        <w:t xml:space="preserve">Representing cost results this way removes the need for any pricing information and model </w:t>
      </w:r>
      <w:r w:rsidR="00435E74">
        <w:t xml:space="preserve">to </w:t>
      </w:r>
      <w:r>
        <w:t>be necessary to understand the EUI data which only renders a summary of the results of the application of a pricing model.</w:t>
      </w:r>
    </w:p>
    <w:p w:rsidR="00C95699" w:rsidRDefault="00C95699" w:rsidP="00C95699">
      <w:pPr>
        <w:pStyle w:val="BodyText"/>
      </w:pPr>
      <w:r>
        <w:t xml:space="preserve">It is suggested that this component of the </w:t>
      </w:r>
      <w:proofErr w:type="spellStart"/>
      <w:r>
        <w:t>UsageSummary</w:t>
      </w:r>
      <w:proofErr w:type="spellEnd"/>
      <w:r>
        <w:t xml:space="preserve"> class be modified so that additional optional line items for this attribute can be provided.</w:t>
      </w:r>
    </w:p>
    <w:p w:rsidR="00E8786F" w:rsidRPr="00E8786F" w:rsidRDefault="00E8786F" w:rsidP="00E8786F">
      <w:pPr>
        <w:pStyle w:val="BodyText"/>
        <w:rPr>
          <w:i/>
        </w:rPr>
      </w:pPr>
      <w:r w:rsidRPr="00E8786F">
        <w:rPr>
          <w:i/>
        </w:rPr>
        <w:t>Note: this change would differ with ESPI which has the single valued version of this attribute.</w:t>
      </w:r>
    </w:p>
    <w:p w:rsidR="00E8786F" w:rsidRDefault="00E8786F" w:rsidP="00E8786F">
      <w:pPr>
        <w:pStyle w:val="BodyText"/>
      </w:pPr>
      <w:r>
        <w:t>Suggest replacing the attribute currently:</w:t>
      </w:r>
    </w:p>
    <w:p w:rsidR="00E8786F" w:rsidRPr="00552518" w:rsidRDefault="00E8786F" w:rsidP="00203227">
      <w:pPr>
        <w:pStyle w:val="BodyText"/>
        <w:ind w:left="720"/>
      </w:pPr>
      <w:proofErr w:type="spellStart"/>
      <w:proofErr w:type="gramStart"/>
      <w:r>
        <w:lastRenderedPageBreak/>
        <w:t>costAdditionalLastPeriod</w:t>
      </w:r>
      <w:proofErr w:type="spellEnd"/>
      <w:proofErr w:type="gramEnd"/>
      <w:r>
        <w:t>: Float [0..1]</w:t>
      </w:r>
    </w:p>
    <w:p w:rsidR="00E8786F" w:rsidRDefault="00E8786F" w:rsidP="00E8786F">
      <w:pPr>
        <w:pStyle w:val="BodyText"/>
      </w:pPr>
      <w:r>
        <w:t>With</w:t>
      </w:r>
    </w:p>
    <w:p w:rsidR="00552518" w:rsidRPr="00552518" w:rsidRDefault="00552518" w:rsidP="00203227">
      <w:pPr>
        <w:pStyle w:val="BodyText"/>
        <w:ind w:left="720"/>
      </w:pPr>
      <w:proofErr w:type="spellStart"/>
      <w:proofErr w:type="gramStart"/>
      <w:r>
        <w:t>costAdditionalLastPeriod</w:t>
      </w:r>
      <w:proofErr w:type="spellEnd"/>
      <w:proofErr w:type="gramEnd"/>
      <w:r>
        <w:t xml:space="preserve">: </w:t>
      </w:r>
      <w:proofErr w:type="spellStart"/>
      <w:r>
        <w:t>LineDetail</w:t>
      </w:r>
      <w:proofErr w:type="spellEnd"/>
      <w:r>
        <w:t xml:space="preserve"> [0..*]</w:t>
      </w:r>
    </w:p>
    <w:p w:rsidR="00BB7769" w:rsidRDefault="00BB7769" w:rsidP="00203227">
      <w:pPr>
        <w:pStyle w:val="BodyText"/>
      </w:pPr>
    </w:p>
    <w:p w:rsidR="00BB7769" w:rsidRDefault="00BB7769" w:rsidP="00203227">
      <w:pPr>
        <w:pStyle w:val="BodyText"/>
      </w:pPr>
      <w:r>
        <w:rPr>
          <w:noProof/>
        </w:rPr>
        <w:drawing>
          <wp:inline distT="0" distB="0" distL="0" distR="0" wp14:anchorId="46EBA02A" wp14:editId="586C45B2">
            <wp:extent cx="1908810" cy="15640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8810" cy="1564005"/>
                    </a:xfrm>
                    <a:prstGeom prst="rect">
                      <a:avLst/>
                    </a:prstGeom>
                    <a:noFill/>
                    <a:ln>
                      <a:noFill/>
                    </a:ln>
                  </pic:spPr>
                </pic:pic>
              </a:graphicData>
            </a:graphic>
          </wp:inline>
        </w:drawing>
      </w:r>
    </w:p>
    <w:p w:rsidR="00435E74" w:rsidRDefault="00435E74" w:rsidP="00203227">
      <w:pPr>
        <w:pStyle w:val="BodyText"/>
      </w:pPr>
      <w:r>
        <w:t xml:space="preserve">The attributes of the </w:t>
      </w:r>
      <w:proofErr w:type="spellStart"/>
      <w:r>
        <w:t>LineDetail</w:t>
      </w:r>
      <w:proofErr w:type="spellEnd"/>
      <w:r>
        <w:t xml:space="preserve"> class would be modified to be consistent with REQ18/WEQ19 attributes for amount, </w:t>
      </w:r>
      <w:proofErr w:type="spellStart"/>
      <w:r>
        <w:t>dateTime</w:t>
      </w:r>
      <w:proofErr w:type="spellEnd"/>
      <w:r>
        <w:t xml:space="preserve">, and </w:t>
      </w:r>
      <w:r w:rsidR="00E84BFE">
        <w:t>rounding.</w:t>
      </w:r>
    </w:p>
    <w:p w:rsidR="00E6547D" w:rsidRDefault="00E6547D" w:rsidP="00E6547D">
      <w:pPr>
        <w:pStyle w:val="Heading1"/>
      </w:pPr>
      <w:r>
        <w:t>Impact to Minimal View and Conformance</w:t>
      </w:r>
    </w:p>
    <w:p w:rsidR="00E6547D" w:rsidRDefault="00E6547D" w:rsidP="00E6547D">
      <w:pPr>
        <w:pStyle w:val="BodyText"/>
      </w:pPr>
      <w:r>
        <w:t xml:space="preserve">The impact of these changes to the </w:t>
      </w:r>
      <w:r w:rsidR="00E84BFE">
        <w:t>“</w:t>
      </w:r>
      <w:r>
        <w:t>minimal view</w:t>
      </w:r>
      <w:r w:rsidR="00E84BFE">
        <w:t>”</w:t>
      </w:r>
      <w:r>
        <w:t xml:space="preserve"> and </w:t>
      </w:r>
      <w:r w:rsidR="00E84BFE">
        <w:t>“</w:t>
      </w:r>
      <w:r>
        <w:t>conformance</w:t>
      </w:r>
      <w:r w:rsidR="00E84BFE">
        <w:t>”</w:t>
      </w:r>
      <w:r>
        <w:t xml:space="preserve"> section REQ.18.3.4</w:t>
      </w:r>
      <w:r w:rsidR="00E536F9">
        <w:t>.3</w:t>
      </w:r>
      <w:r>
        <w:t xml:space="preserve"> are </w:t>
      </w:r>
      <w:r w:rsidR="00E84BFE">
        <w:t>small</w:t>
      </w:r>
      <w:r>
        <w:t xml:space="preserve"> as follows:</w:t>
      </w:r>
    </w:p>
    <w:p w:rsidR="00E6547D" w:rsidRDefault="00E6547D" w:rsidP="00E6547D">
      <w:pPr>
        <w:pStyle w:val="BodyText"/>
        <w:numPr>
          <w:ilvl w:val="0"/>
          <w:numId w:val="16"/>
        </w:numPr>
      </w:pPr>
      <w:r>
        <w:t xml:space="preserve">One or more measurement or summary containers: </w:t>
      </w:r>
      <w:proofErr w:type="spellStart"/>
      <w:r>
        <w:t>IntervalReading</w:t>
      </w:r>
      <w:proofErr w:type="spellEnd"/>
      <w:r>
        <w:t xml:space="preserve">, Reading, </w:t>
      </w:r>
      <w:proofErr w:type="spellStart"/>
      <w:r>
        <w:t>ElectricPowerQualitySummary</w:t>
      </w:r>
      <w:proofErr w:type="spellEnd"/>
      <w:r>
        <w:t xml:space="preserve">, </w:t>
      </w:r>
      <w:proofErr w:type="spellStart"/>
      <w:r>
        <w:t>UsageSummary</w:t>
      </w:r>
      <w:proofErr w:type="spellEnd"/>
    </w:p>
    <w:p w:rsidR="00E6547D" w:rsidRPr="00E536F9" w:rsidRDefault="00E6547D" w:rsidP="00E6547D">
      <w:pPr>
        <w:pStyle w:val="BodyText"/>
        <w:ind w:left="720"/>
        <w:rPr>
          <w:i/>
        </w:rPr>
      </w:pPr>
      <w:r w:rsidRPr="00E536F9">
        <w:rPr>
          <w:i/>
        </w:rPr>
        <w:t>Impact: No changes to containers listed</w:t>
      </w:r>
    </w:p>
    <w:p w:rsidR="00E6547D" w:rsidRDefault="00E6547D" w:rsidP="00E6547D">
      <w:pPr>
        <w:pStyle w:val="BodyText"/>
        <w:numPr>
          <w:ilvl w:val="0"/>
          <w:numId w:val="16"/>
        </w:numPr>
      </w:pPr>
      <w:r>
        <w:t xml:space="preserve">At least two of the following attributes, for each </w:t>
      </w:r>
      <w:proofErr w:type="spellStart"/>
      <w:r>
        <w:t>IntervalReading</w:t>
      </w:r>
      <w:proofErr w:type="spellEnd"/>
      <w:r>
        <w:t xml:space="preserve">: start, end, duration (from the </w:t>
      </w:r>
      <w:proofErr w:type="spellStart"/>
      <w:r>
        <w:t>DateTimeInterval</w:t>
      </w:r>
      <w:proofErr w:type="spellEnd"/>
      <w:r>
        <w:t>)</w:t>
      </w:r>
    </w:p>
    <w:p w:rsidR="00E6547D" w:rsidRPr="00E536F9" w:rsidRDefault="00E6547D" w:rsidP="00E6547D">
      <w:pPr>
        <w:pStyle w:val="BodyText"/>
        <w:ind w:left="720"/>
        <w:rPr>
          <w:i/>
        </w:rPr>
      </w:pPr>
      <w:r w:rsidRPr="00E536F9">
        <w:rPr>
          <w:i/>
        </w:rPr>
        <w:t xml:space="preserve">Impact: No </w:t>
      </w:r>
      <w:proofErr w:type="gramStart"/>
      <w:r w:rsidRPr="00E536F9">
        <w:rPr>
          <w:i/>
        </w:rPr>
        <w:t>changes to date and time attributes</w:t>
      </w:r>
      <w:proofErr w:type="gramEnd"/>
    </w:p>
    <w:p w:rsidR="00E6547D" w:rsidRDefault="00E6547D" w:rsidP="00E6547D">
      <w:pPr>
        <w:pStyle w:val="BodyText"/>
        <w:numPr>
          <w:ilvl w:val="0"/>
          <w:numId w:val="16"/>
        </w:numPr>
      </w:pPr>
      <w:r>
        <w:t xml:space="preserve">The attribute “value” (the value of the measurement, from </w:t>
      </w:r>
      <w:proofErr w:type="spellStart"/>
      <w:r>
        <w:t>IntervalReading</w:t>
      </w:r>
      <w:proofErr w:type="spellEnd"/>
      <w:r>
        <w:t xml:space="preserve"> or Reading)</w:t>
      </w:r>
    </w:p>
    <w:p w:rsidR="00E6547D" w:rsidRPr="00E536F9" w:rsidRDefault="00E6547D" w:rsidP="00E6547D">
      <w:pPr>
        <w:pStyle w:val="BodyText"/>
        <w:ind w:left="720"/>
        <w:rPr>
          <w:i/>
        </w:rPr>
      </w:pPr>
      <w:r w:rsidRPr="00E536F9">
        <w:rPr>
          <w:i/>
        </w:rPr>
        <w:t>Impact: No changes to the value attributes</w:t>
      </w:r>
    </w:p>
    <w:p w:rsidR="00E6547D" w:rsidRDefault="00E6547D" w:rsidP="00E6547D">
      <w:pPr>
        <w:pStyle w:val="BodyText"/>
        <w:numPr>
          <w:ilvl w:val="0"/>
          <w:numId w:val="16"/>
        </w:numPr>
      </w:pPr>
      <w:proofErr w:type="spellStart"/>
      <w:r>
        <w:t>ReadingType</w:t>
      </w:r>
      <w:proofErr w:type="spellEnd"/>
      <w:r>
        <w:t xml:space="preserve"> – name, </w:t>
      </w:r>
      <w:proofErr w:type="spellStart"/>
      <w:r>
        <w:t>defaultQuality</w:t>
      </w:r>
      <w:proofErr w:type="spellEnd"/>
      <w:r>
        <w:t>, direction, kind, multiplier, name, unit</w:t>
      </w:r>
    </w:p>
    <w:p w:rsidR="00E6547D" w:rsidRPr="00E536F9" w:rsidRDefault="00E6547D" w:rsidP="00E6547D">
      <w:pPr>
        <w:pStyle w:val="BodyText"/>
        <w:ind w:left="720"/>
        <w:rPr>
          <w:i/>
        </w:rPr>
      </w:pPr>
      <w:r w:rsidRPr="00E536F9">
        <w:rPr>
          <w:i/>
        </w:rPr>
        <w:t>Impact: names of reading type attributes are changed and enumerated values extended. No loss of expressiv</w:t>
      </w:r>
      <w:r w:rsidR="00E536F9" w:rsidRPr="00E536F9">
        <w:rPr>
          <w:i/>
        </w:rPr>
        <w:t>eness occurs.</w:t>
      </w:r>
    </w:p>
    <w:p w:rsidR="00E6547D" w:rsidRDefault="00E6547D" w:rsidP="00E6547D">
      <w:pPr>
        <w:pStyle w:val="BodyText"/>
        <w:numPr>
          <w:ilvl w:val="0"/>
          <w:numId w:val="16"/>
        </w:numPr>
      </w:pPr>
      <w:r>
        <w:t xml:space="preserve">Association to </w:t>
      </w:r>
      <w:proofErr w:type="spellStart"/>
      <w:r>
        <w:t>ReadingType</w:t>
      </w:r>
      <w:proofErr w:type="spellEnd"/>
      <w:r>
        <w:t xml:space="preserve"> for each measurement (</w:t>
      </w:r>
      <w:proofErr w:type="spellStart"/>
      <w:r>
        <w:t>IntervalReading</w:t>
      </w:r>
      <w:proofErr w:type="spellEnd"/>
      <w:r>
        <w:t xml:space="preserve"> or Reading)</w:t>
      </w:r>
    </w:p>
    <w:p w:rsidR="00E536F9" w:rsidRPr="00E536F9" w:rsidRDefault="00E536F9" w:rsidP="00E536F9">
      <w:pPr>
        <w:pStyle w:val="BodyText"/>
        <w:ind w:left="720"/>
        <w:rPr>
          <w:i/>
        </w:rPr>
      </w:pPr>
      <w:r w:rsidRPr="00E536F9">
        <w:rPr>
          <w:i/>
        </w:rPr>
        <w:t>Impact: No changes to the</w:t>
      </w:r>
      <w:r w:rsidR="006D2023">
        <w:rPr>
          <w:i/>
        </w:rPr>
        <w:t>se</w:t>
      </w:r>
      <w:r w:rsidRPr="00E536F9">
        <w:rPr>
          <w:i/>
        </w:rPr>
        <w:t xml:space="preserve"> associations.</w:t>
      </w:r>
    </w:p>
    <w:p w:rsidR="00E6547D" w:rsidRDefault="00E6547D" w:rsidP="00E6547D">
      <w:pPr>
        <w:pStyle w:val="BodyText"/>
        <w:numPr>
          <w:ilvl w:val="0"/>
          <w:numId w:val="16"/>
        </w:numPr>
      </w:pPr>
      <w:r>
        <w:t>Measurement source / location – UsagePoint.name and association to measurements or summary</w:t>
      </w:r>
    </w:p>
    <w:p w:rsidR="00E536F9" w:rsidRPr="00E536F9" w:rsidRDefault="00E536F9" w:rsidP="00E536F9">
      <w:pPr>
        <w:pStyle w:val="BodyText"/>
        <w:ind w:left="720"/>
        <w:rPr>
          <w:i/>
        </w:rPr>
      </w:pPr>
      <w:r w:rsidRPr="00E536F9">
        <w:rPr>
          <w:i/>
        </w:rPr>
        <w:t xml:space="preserve">Impact: UsagePoint.name becomes an inherited attribute from </w:t>
      </w:r>
      <w:proofErr w:type="spellStart"/>
      <w:r w:rsidRPr="00E536F9">
        <w:rPr>
          <w:i/>
        </w:rPr>
        <w:t>IdentifiedObject</w:t>
      </w:r>
      <w:proofErr w:type="spellEnd"/>
      <w:r w:rsidRPr="00E536F9">
        <w:rPr>
          <w:i/>
        </w:rPr>
        <w:t xml:space="preserve"> but is </w:t>
      </w:r>
      <w:bookmarkStart w:id="0" w:name="_GoBack"/>
      <w:bookmarkEnd w:id="0"/>
      <w:r w:rsidRPr="00E536F9">
        <w:rPr>
          <w:i/>
        </w:rPr>
        <w:t>still present. No changes to</w:t>
      </w:r>
      <w:r w:rsidR="006D2023">
        <w:rPr>
          <w:i/>
        </w:rPr>
        <w:t xml:space="preserve"> these</w:t>
      </w:r>
      <w:r w:rsidRPr="00E536F9">
        <w:rPr>
          <w:i/>
        </w:rPr>
        <w:t xml:space="preserve"> associations.</w:t>
      </w:r>
    </w:p>
    <w:sectPr w:rsidR="00E536F9" w:rsidRPr="00E536F9" w:rsidSect="00E84BF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4D05289"/>
    <w:multiLevelType w:val="hybridMultilevel"/>
    <w:tmpl w:val="2B06E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94F41"/>
    <w:multiLevelType w:val="hybridMultilevel"/>
    <w:tmpl w:val="4BC06D22"/>
    <w:lvl w:ilvl="0" w:tplc="AE92B6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C1C5B"/>
    <w:multiLevelType w:val="hybridMultilevel"/>
    <w:tmpl w:val="25F8152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7BB5F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2C43AA0"/>
    <w:multiLevelType w:val="hybridMultilevel"/>
    <w:tmpl w:val="83A0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0"/>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56"/>
    <w:rsid w:val="000071F7"/>
    <w:rsid w:val="00012F2E"/>
    <w:rsid w:val="00013A02"/>
    <w:rsid w:val="00017609"/>
    <w:rsid w:val="000231C5"/>
    <w:rsid w:val="0002798A"/>
    <w:rsid w:val="00027E6C"/>
    <w:rsid w:val="0003434F"/>
    <w:rsid w:val="00037E8C"/>
    <w:rsid w:val="000406CB"/>
    <w:rsid w:val="0006613E"/>
    <w:rsid w:val="00083002"/>
    <w:rsid w:val="00086F11"/>
    <w:rsid w:val="00087B85"/>
    <w:rsid w:val="0009780B"/>
    <w:rsid w:val="000A01F1"/>
    <w:rsid w:val="000C1163"/>
    <w:rsid w:val="000D2539"/>
    <w:rsid w:val="000E08E8"/>
    <w:rsid w:val="000E47E6"/>
    <w:rsid w:val="000F2DF4"/>
    <w:rsid w:val="000F6783"/>
    <w:rsid w:val="00104B99"/>
    <w:rsid w:val="001122B1"/>
    <w:rsid w:val="00120C95"/>
    <w:rsid w:val="0014663E"/>
    <w:rsid w:val="00156754"/>
    <w:rsid w:val="00162E15"/>
    <w:rsid w:val="00180664"/>
    <w:rsid w:val="00190128"/>
    <w:rsid w:val="001A07E1"/>
    <w:rsid w:val="001B615E"/>
    <w:rsid w:val="00203227"/>
    <w:rsid w:val="002123A6"/>
    <w:rsid w:val="00226041"/>
    <w:rsid w:val="00227BF6"/>
    <w:rsid w:val="0024310C"/>
    <w:rsid w:val="00247D6C"/>
    <w:rsid w:val="00250014"/>
    <w:rsid w:val="00263D5D"/>
    <w:rsid w:val="002642E3"/>
    <w:rsid w:val="00275BB5"/>
    <w:rsid w:val="00277CF7"/>
    <w:rsid w:val="00286F6A"/>
    <w:rsid w:val="00291C8C"/>
    <w:rsid w:val="002A1ECE"/>
    <w:rsid w:val="002A2510"/>
    <w:rsid w:val="002A6B4D"/>
    <w:rsid w:val="002B27FD"/>
    <w:rsid w:val="002B4D1D"/>
    <w:rsid w:val="002C10B1"/>
    <w:rsid w:val="002D222A"/>
    <w:rsid w:val="002E6BF2"/>
    <w:rsid w:val="002F0F79"/>
    <w:rsid w:val="002F0FCC"/>
    <w:rsid w:val="002F48E8"/>
    <w:rsid w:val="003076FD"/>
    <w:rsid w:val="00311CD9"/>
    <w:rsid w:val="00312099"/>
    <w:rsid w:val="00317005"/>
    <w:rsid w:val="0033501D"/>
    <w:rsid w:val="00335259"/>
    <w:rsid w:val="00341751"/>
    <w:rsid w:val="00356B06"/>
    <w:rsid w:val="00381E8E"/>
    <w:rsid w:val="003929F1"/>
    <w:rsid w:val="003A1B63"/>
    <w:rsid w:val="003A41A1"/>
    <w:rsid w:val="003B2326"/>
    <w:rsid w:val="003B3690"/>
    <w:rsid w:val="003E007A"/>
    <w:rsid w:val="003F6009"/>
    <w:rsid w:val="004210BB"/>
    <w:rsid w:val="00427FD0"/>
    <w:rsid w:val="00435E74"/>
    <w:rsid w:val="00437ED0"/>
    <w:rsid w:val="00440CD8"/>
    <w:rsid w:val="00443837"/>
    <w:rsid w:val="00450F66"/>
    <w:rsid w:val="00461739"/>
    <w:rsid w:val="00467865"/>
    <w:rsid w:val="0048685F"/>
    <w:rsid w:val="004A1437"/>
    <w:rsid w:val="004A4198"/>
    <w:rsid w:val="004A54EA"/>
    <w:rsid w:val="004A6A6E"/>
    <w:rsid w:val="004B0578"/>
    <w:rsid w:val="004B252B"/>
    <w:rsid w:val="004C24ED"/>
    <w:rsid w:val="004D702E"/>
    <w:rsid w:val="004E34C6"/>
    <w:rsid w:val="004F62AD"/>
    <w:rsid w:val="00501AE8"/>
    <w:rsid w:val="00504B65"/>
    <w:rsid w:val="005114CE"/>
    <w:rsid w:val="0052122B"/>
    <w:rsid w:val="00527A90"/>
    <w:rsid w:val="00552518"/>
    <w:rsid w:val="005557F6"/>
    <w:rsid w:val="00563778"/>
    <w:rsid w:val="00563AB3"/>
    <w:rsid w:val="005848F5"/>
    <w:rsid w:val="0059011D"/>
    <w:rsid w:val="005B4AE2"/>
    <w:rsid w:val="005C4FE1"/>
    <w:rsid w:val="005D50EE"/>
    <w:rsid w:val="005E63CC"/>
    <w:rsid w:val="005F6E87"/>
    <w:rsid w:val="0060065E"/>
    <w:rsid w:val="00606B27"/>
    <w:rsid w:val="00613129"/>
    <w:rsid w:val="00617C65"/>
    <w:rsid w:val="0064307A"/>
    <w:rsid w:val="0066051C"/>
    <w:rsid w:val="00664C1E"/>
    <w:rsid w:val="0067358E"/>
    <w:rsid w:val="006764D3"/>
    <w:rsid w:val="00692FAE"/>
    <w:rsid w:val="006957B2"/>
    <w:rsid w:val="006B03BF"/>
    <w:rsid w:val="006C3F05"/>
    <w:rsid w:val="006C4610"/>
    <w:rsid w:val="006D2023"/>
    <w:rsid w:val="006D2635"/>
    <w:rsid w:val="006D779C"/>
    <w:rsid w:val="006E4F63"/>
    <w:rsid w:val="006E729E"/>
    <w:rsid w:val="007304FA"/>
    <w:rsid w:val="00745157"/>
    <w:rsid w:val="007564F5"/>
    <w:rsid w:val="007602AC"/>
    <w:rsid w:val="0076196A"/>
    <w:rsid w:val="00763B3C"/>
    <w:rsid w:val="00774B67"/>
    <w:rsid w:val="0078226F"/>
    <w:rsid w:val="00783A3F"/>
    <w:rsid w:val="00793AC6"/>
    <w:rsid w:val="007A71DE"/>
    <w:rsid w:val="007B199B"/>
    <w:rsid w:val="007B6119"/>
    <w:rsid w:val="007E2A15"/>
    <w:rsid w:val="007E37A1"/>
    <w:rsid w:val="007F25A9"/>
    <w:rsid w:val="007F6294"/>
    <w:rsid w:val="008107D6"/>
    <w:rsid w:val="0082682C"/>
    <w:rsid w:val="00827F78"/>
    <w:rsid w:val="00841645"/>
    <w:rsid w:val="00852EC6"/>
    <w:rsid w:val="0088782D"/>
    <w:rsid w:val="008B6F52"/>
    <w:rsid w:val="008B7081"/>
    <w:rsid w:val="008C4721"/>
    <w:rsid w:val="008C75A3"/>
    <w:rsid w:val="008E72CF"/>
    <w:rsid w:val="00902964"/>
    <w:rsid w:val="0090497E"/>
    <w:rsid w:val="00937437"/>
    <w:rsid w:val="0094076B"/>
    <w:rsid w:val="0094435D"/>
    <w:rsid w:val="0094790F"/>
    <w:rsid w:val="0096165C"/>
    <w:rsid w:val="00961FA3"/>
    <w:rsid w:val="00966B90"/>
    <w:rsid w:val="00967753"/>
    <w:rsid w:val="009737B7"/>
    <w:rsid w:val="009802C4"/>
    <w:rsid w:val="009976D9"/>
    <w:rsid w:val="00997A3E"/>
    <w:rsid w:val="009A4EA3"/>
    <w:rsid w:val="009A55DC"/>
    <w:rsid w:val="009B3848"/>
    <w:rsid w:val="009C220D"/>
    <w:rsid w:val="009D1461"/>
    <w:rsid w:val="009D2142"/>
    <w:rsid w:val="009D3BE7"/>
    <w:rsid w:val="009E5B13"/>
    <w:rsid w:val="00A10B2E"/>
    <w:rsid w:val="00A15C1D"/>
    <w:rsid w:val="00A211B2"/>
    <w:rsid w:val="00A2727E"/>
    <w:rsid w:val="00A35524"/>
    <w:rsid w:val="00A74F99"/>
    <w:rsid w:val="00A82BA3"/>
    <w:rsid w:val="00A92012"/>
    <w:rsid w:val="00A92036"/>
    <w:rsid w:val="00A93E14"/>
    <w:rsid w:val="00A94ACC"/>
    <w:rsid w:val="00AB2B44"/>
    <w:rsid w:val="00AD22DD"/>
    <w:rsid w:val="00AD282D"/>
    <w:rsid w:val="00AD79C2"/>
    <w:rsid w:val="00AE6FA4"/>
    <w:rsid w:val="00AF613D"/>
    <w:rsid w:val="00B03907"/>
    <w:rsid w:val="00B11811"/>
    <w:rsid w:val="00B146AA"/>
    <w:rsid w:val="00B311E1"/>
    <w:rsid w:val="00B36AB6"/>
    <w:rsid w:val="00B4735C"/>
    <w:rsid w:val="00B503DC"/>
    <w:rsid w:val="00B77CB0"/>
    <w:rsid w:val="00B84025"/>
    <w:rsid w:val="00B84A45"/>
    <w:rsid w:val="00B84F18"/>
    <w:rsid w:val="00B90EC2"/>
    <w:rsid w:val="00BA12C8"/>
    <w:rsid w:val="00BA268F"/>
    <w:rsid w:val="00BB7769"/>
    <w:rsid w:val="00BD463D"/>
    <w:rsid w:val="00BE794E"/>
    <w:rsid w:val="00BF17F9"/>
    <w:rsid w:val="00C00838"/>
    <w:rsid w:val="00C079CA"/>
    <w:rsid w:val="00C133F3"/>
    <w:rsid w:val="00C255F7"/>
    <w:rsid w:val="00C40AB8"/>
    <w:rsid w:val="00C554A3"/>
    <w:rsid w:val="00C67741"/>
    <w:rsid w:val="00C74647"/>
    <w:rsid w:val="00C76039"/>
    <w:rsid w:val="00C76480"/>
    <w:rsid w:val="00C83784"/>
    <w:rsid w:val="00C872BC"/>
    <w:rsid w:val="00C92FD6"/>
    <w:rsid w:val="00C95699"/>
    <w:rsid w:val="00C95EEF"/>
    <w:rsid w:val="00CC6598"/>
    <w:rsid w:val="00CC6BB1"/>
    <w:rsid w:val="00CD6C3C"/>
    <w:rsid w:val="00D03F2B"/>
    <w:rsid w:val="00D13C04"/>
    <w:rsid w:val="00D14E73"/>
    <w:rsid w:val="00D478A6"/>
    <w:rsid w:val="00D559FC"/>
    <w:rsid w:val="00D6155E"/>
    <w:rsid w:val="00D85405"/>
    <w:rsid w:val="00DB41EB"/>
    <w:rsid w:val="00DC47A2"/>
    <w:rsid w:val="00DC7056"/>
    <w:rsid w:val="00DE1551"/>
    <w:rsid w:val="00DE622B"/>
    <w:rsid w:val="00DE7FB7"/>
    <w:rsid w:val="00E163C0"/>
    <w:rsid w:val="00E20DDA"/>
    <w:rsid w:val="00E32A8B"/>
    <w:rsid w:val="00E36054"/>
    <w:rsid w:val="00E37E7B"/>
    <w:rsid w:val="00E46E04"/>
    <w:rsid w:val="00E536F9"/>
    <w:rsid w:val="00E6547D"/>
    <w:rsid w:val="00E833DA"/>
    <w:rsid w:val="00E84BFE"/>
    <w:rsid w:val="00E87396"/>
    <w:rsid w:val="00E8786F"/>
    <w:rsid w:val="00E93D6F"/>
    <w:rsid w:val="00EA44A1"/>
    <w:rsid w:val="00EC42A3"/>
    <w:rsid w:val="00F017C4"/>
    <w:rsid w:val="00F03FC7"/>
    <w:rsid w:val="00F07933"/>
    <w:rsid w:val="00F0793C"/>
    <w:rsid w:val="00F121EE"/>
    <w:rsid w:val="00F41461"/>
    <w:rsid w:val="00F72993"/>
    <w:rsid w:val="00F73332"/>
    <w:rsid w:val="00F83033"/>
    <w:rsid w:val="00F966AA"/>
    <w:rsid w:val="00FA7463"/>
    <w:rsid w:val="00FB538F"/>
    <w:rsid w:val="00FC0F45"/>
    <w:rsid w:val="00FC3071"/>
    <w:rsid w:val="00FD5902"/>
    <w:rsid w:val="00FF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link w:val="Heading1Char"/>
    <w:qFormat/>
    <w:rsid w:val="00DC7056"/>
    <w:pPr>
      <w:numPr>
        <w:numId w:val="13"/>
      </w:numPr>
      <w:tabs>
        <w:tab w:val="left" w:pos="7185"/>
      </w:tabs>
      <w:spacing w:before="120" w:after="120"/>
      <w:ind w:right="-360"/>
      <w:outlineLvl w:val="0"/>
    </w:pPr>
    <w:rPr>
      <w:b/>
      <w:color w:val="000000" w:themeColor="text1"/>
      <w:sz w:val="36"/>
      <w:szCs w:val="36"/>
    </w:rPr>
  </w:style>
  <w:style w:type="paragraph" w:styleId="Heading2">
    <w:name w:val="heading 2"/>
    <w:basedOn w:val="Normal"/>
    <w:next w:val="Normal"/>
    <w:qFormat/>
    <w:rsid w:val="00DC7056"/>
    <w:pPr>
      <w:numPr>
        <w:ilvl w:val="1"/>
        <w:numId w:val="13"/>
      </w:numPr>
      <w:tabs>
        <w:tab w:val="left" w:pos="7185"/>
      </w:tabs>
      <w:spacing w:before="120" w:after="180"/>
      <w:outlineLvl w:val="1"/>
    </w:pPr>
    <w:rPr>
      <w:b/>
    </w:rPr>
  </w:style>
  <w:style w:type="paragraph" w:styleId="Heading3">
    <w:name w:val="heading 3"/>
    <w:basedOn w:val="Normal"/>
    <w:next w:val="Normal"/>
    <w:qFormat/>
    <w:rsid w:val="00AD79C2"/>
    <w:pPr>
      <w:numPr>
        <w:ilvl w:val="2"/>
        <w:numId w:val="13"/>
      </w:numPr>
      <w:outlineLvl w:val="2"/>
    </w:pPr>
    <w:rPr>
      <w:b/>
      <w:szCs w:val="20"/>
    </w:rPr>
  </w:style>
  <w:style w:type="paragraph" w:styleId="Heading4">
    <w:name w:val="heading 4"/>
    <w:basedOn w:val="Normal"/>
    <w:next w:val="Normal"/>
    <w:link w:val="Heading4Char"/>
    <w:uiPriority w:val="9"/>
    <w:semiHidden/>
    <w:unhideWhenUsed/>
    <w:qFormat/>
    <w:rsid w:val="00DE622B"/>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622B"/>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622B"/>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622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622B"/>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622B"/>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qFormat/>
    <w:rsid w:val="00F73332"/>
    <w:pPr>
      <w:spacing w:before="120" w:after="120"/>
    </w:pPr>
    <w:rPr>
      <w:szCs w:val="19"/>
    </w:rPr>
  </w:style>
  <w:style w:type="paragraph" w:styleId="BodyText2">
    <w:name w:val="Body Text 2"/>
    <w:basedOn w:val="Normal"/>
    <w:rsid w:val="0066051C"/>
    <w:pPr>
      <w:tabs>
        <w:tab w:val="left" w:pos="1143"/>
        <w:tab w:val="left" w:pos="3600"/>
        <w:tab w:val="left" w:pos="7200"/>
      </w:tabs>
      <w:spacing w:before="60"/>
    </w:pPr>
    <w:rPr>
      <w:i/>
      <w:sz w:val="16"/>
      <w:szCs w:val="16"/>
    </w:rPr>
  </w:style>
  <w:style w:type="paragraph" w:customStyle="1" w:styleId="Checkbox">
    <w:name w:val="Checkbox"/>
    <w:basedOn w:val="Normal"/>
    <w:next w:val="Normal"/>
    <w:rsid w:val="00EA44A1"/>
    <w:pPr>
      <w:jc w:val="center"/>
    </w:pPr>
    <w:rPr>
      <w:sz w:val="19"/>
      <w:szCs w:val="19"/>
    </w:rPr>
  </w:style>
  <w:style w:type="paragraph" w:customStyle="1" w:styleId="FieldText">
    <w:name w:val="Field Text"/>
    <w:basedOn w:val="Normal"/>
    <w:link w:val="FieldTextChar"/>
    <w:rsid w:val="00BF17F9"/>
    <w:rPr>
      <w:b/>
      <w:sz w:val="19"/>
      <w:szCs w:val="19"/>
    </w:rPr>
  </w:style>
  <w:style w:type="character" w:customStyle="1" w:styleId="FieldTextChar">
    <w:name w:val="Field Text Char"/>
    <w:basedOn w:val="DefaultParagraphFont"/>
    <w:link w:val="FieldText"/>
    <w:rsid w:val="00BF17F9"/>
    <w:rPr>
      <w:rFonts w:ascii="Arial" w:hAnsi="Arial"/>
      <w:b/>
      <w:sz w:val="19"/>
      <w:szCs w:val="19"/>
      <w:lang w:val="en-US" w:eastAsia="en-US" w:bidi="ar-SA"/>
    </w:rPr>
  </w:style>
  <w:style w:type="paragraph" w:customStyle="1" w:styleId="BodyText4">
    <w:name w:val="Body Text 4"/>
    <w:basedOn w:val="Normal"/>
    <w:next w:val="Normal"/>
    <w:rsid w:val="0024310C"/>
    <w:pPr>
      <w:spacing w:before="120"/>
    </w:pPr>
    <w:rPr>
      <w:i/>
      <w:sz w:val="19"/>
      <w:szCs w:val="20"/>
    </w:rPr>
  </w:style>
  <w:style w:type="character" w:styleId="PlaceholderText">
    <w:name w:val="Placeholder Text"/>
    <w:basedOn w:val="DefaultParagraphFont"/>
    <w:uiPriority w:val="99"/>
    <w:semiHidden/>
    <w:rsid w:val="00156754"/>
    <w:rPr>
      <w:color w:val="808080"/>
    </w:rPr>
  </w:style>
  <w:style w:type="paragraph" w:styleId="DocumentMap">
    <w:name w:val="Document Map"/>
    <w:basedOn w:val="Normal"/>
    <w:link w:val="DocumentMapChar"/>
    <w:uiPriority w:val="99"/>
    <w:semiHidden/>
    <w:unhideWhenUsed/>
    <w:rsid w:val="00381E8E"/>
    <w:rPr>
      <w:rFonts w:ascii="Tahoma" w:hAnsi="Tahoma" w:cs="Tahoma"/>
      <w:sz w:val="16"/>
      <w:szCs w:val="16"/>
    </w:rPr>
  </w:style>
  <w:style w:type="character" w:customStyle="1" w:styleId="DocumentMapChar">
    <w:name w:val="Document Map Char"/>
    <w:basedOn w:val="DefaultParagraphFont"/>
    <w:link w:val="DocumentMap"/>
    <w:uiPriority w:val="99"/>
    <w:semiHidden/>
    <w:rsid w:val="00381E8E"/>
    <w:rPr>
      <w:rFonts w:ascii="Tahoma" w:hAnsi="Tahoma" w:cs="Tahoma"/>
      <w:sz w:val="16"/>
      <w:szCs w:val="16"/>
    </w:rPr>
  </w:style>
  <w:style w:type="paragraph" w:customStyle="1" w:styleId="MemoHeadline">
    <w:name w:val="MemoHeadline"/>
    <w:link w:val="MemoHeadlineChar"/>
    <w:qFormat/>
    <w:rsid w:val="0096165C"/>
    <w:pPr>
      <w:ind w:right="25"/>
    </w:pPr>
    <w:rPr>
      <w:rFonts w:ascii="Arial" w:hAnsi="Arial"/>
      <w:b/>
      <w:color w:val="808080"/>
      <w:sz w:val="28"/>
      <w:szCs w:val="36"/>
    </w:rPr>
  </w:style>
  <w:style w:type="paragraph" w:styleId="Title">
    <w:name w:val="Title"/>
    <w:basedOn w:val="Normal"/>
    <w:next w:val="Normal"/>
    <w:link w:val="TitleChar"/>
    <w:uiPriority w:val="10"/>
    <w:qFormat/>
    <w:rsid w:val="0096165C"/>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Heading1Char">
    <w:name w:val="Heading 1 Char"/>
    <w:basedOn w:val="DefaultParagraphFont"/>
    <w:link w:val="Heading1"/>
    <w:rsid w:val="00DC7056"/>
    <w:rPr>
      <w:rFonts w:ascii="Arial" w:hAnsi="Arial"/>
      <w:b/>
      <w:color w:val="000000" w:themeColor="text1"/>
      <w:sz w:val="36"/>
      <w:szCs w:val="36"/>
    </w:rPr>
  </w:style>
  <w:style w:type="character" w:customStyle="1" w:styleId="MemoHeadlineChar">
    <w:name w:val="MemoHeadline Char"/>
    <w:basedOn w:val="Heading1Char"/>
    <w:link w:val="MemoHeadline"/>
    <w:rsid w:val="0096165C"/>
    <w:rPr>
      <w:rFonts w:ascii="Arial" w:hAnsi="Arial"/>
      <w:b/>
      <w:color w:val="000000" w:themeColor="text1"/>
      <w:sz w:val="36"/>
      <w:szCs w:val="36"/>
    </w:rPr>
  </w:style>
  <w:style w:type="character" w:customStyle="1" w:styleId="TitleChar">
    <w:name w:val="Title Char"/>
    <w:basedOn w:val="DefaultParagraphFont"/>
    <w:link w:val="Title"/>
    <w:uiPriority w:val="10"/>
    <w:rsid w:val="0096165C"/>
    <w:rPr>
      <w:rFonts w:ascii="Arial" w:eastAsiaTheme="majorEastAsia" w:hAnsi="Arial" w:cstheme="majorBidi"/>
      <w:color w:val="17365D" w:themeColor="text2" w:themeShade="BF"/>
      <w:spacing w:val="5"/>
      <w:kern w:val="28"/>
      <w:sz w:val="52"/>
      <w:szCs w:val="52"/>
    </w:rPr>
  </w:style>
  <w:style w:type="paragraph" w:styleId="ListParagraph">
    <w:name w:val="List Paragraph"/>
    <w:basedOn w:val="Normal"/>
    <w:uiPriority w:val="34"/>
    <w:qFormat/>
    <w:rsid w:val="00DC7056"/>
    <w:pPr>
      <w:ind w:left="720"/>
    </w:pPr>
    <w:rPr>
      <w:rFonts w:ascii="Calibri" w:hAnsi="Calibri"/>
      <w:sz w:val="22"/>
      <w:szCs w:val="22"/>
    </w:rPr>
  </w:style>
  <w:style w:type="table" w:styleId="TableGrid">
    <w:name w:val="Table Grid"/>
    <w:basedOn w:val="TableNormal"/>
    <w:uiPriority w:val="59"/>
    <w:rsid w:val="00F73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E622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E622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E622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E622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E622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E622B"/>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link w:val="Heading1Char"/>
    <w:qFormat/>
    <w:rsid w:val="00DC7056"/>
    <w:pPr>
      <w:numPr>
        <w:numId w:val="13"/>
      </w:numPr>
      <w:tabs>
        <w:tab w:val="left" w:pos="7185"/>
      </w:tabs>
      <w:spacing w:before="120" w:after="120"/>
      <w:ind w:right="-360"/>
      <w:outlineLvl w:val="0"/>
    </w:pPr>
    <w:rPr>
      <w:b/>
      <w:color w:val="000000" w:themeColor="text1"/>
      <w:sz w:val="36"/>
      <w:szCs w:val="36"/>
    </w:rPr>
  </w:style>
  <w:style w:type="paragraph" w:styleId="Heading2">
    <w:name w:val="heading 2"/>
    <w:basedOn w:val="Normal"/>
    <w:next w:val="Normal"/>
    <w:qFormat/>
    <w:rsid w:val="00DC7056"/>
    <w:pPr>
      <w:numPr>
        <w:ilvl w:val="1"/>
        <w:numId w:val="13"/>
      </w:numPr>
      <w:tabs>
        <w:tab w:val="left" w:pos="7185"/>
      </w:tabs>
      <w:spacing w:before="120" w:after="180"/>
      <w:outlineLvl w:val="1"/>
    </w:pPr>
    <w:rPr>
      <w:b/>
    </w:rPr>
  </w:style>
  <w:style w:type="paragraph" w:styleId="Heading3">
    <w:name w:val="heading 3"/>
    <w:basedOn w:val="Normal"/>
    <w:next w:val="Normal"/>
    <w:qFormat/>
    <w:rsid w:val="00AD79C2"/>
    <w:pPr>
      <w:numPr>
        <w:ilvl w:val="2"/>
        <w:numId w:val="13"/>
      </w:numPr>
      <w:outlineLvl w:val="2"/>
    </w:pPr>
    <w:rPr>
      <w:b/>
      <w:szCs w:val="20"/>
    </w:rPr>
  </w:style>
  <w:style w:type="paragraph" w:styleId="Heading4">
    <w:name w:val="heading 4"/>
    <w:basedOn w:val="Normal"/>
    <w:next w:val="Normal"/>
    <w:link w:val="Heading4Char"/>
    <w:uiPriority w:val="9"/>
    <w:semiHidden/>
    <w:unhideWhenUsed/>
    <w:qFormat/>
    <w:rsid w:val="00DE622B"/>
    <w:pPr>
      <w:keepNext/>
      <w:keepLines/>
      <w:numPr>
        <w:ilvl w:val="3"/>
        <w:numId w:val="1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E622B"/>
    <w:pPr>
      <w:keepNext/>
      <w:keepLines/>
      <w:numPr>
        <w:ilvl w:val="4"/>
        <w:numId w:val="1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E622B"/>
    <w:pPr>
      <w:keepNext/>
      <w:keepLines/>
      <w:numPr>
        <w:ilvl w:val="5"/>
        <w:numId w:val="1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E622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622B"/>
    <w:pPr>
      <w:keepNext/>
      <w:keepLines/>
      <w:numPr>
        <w:ilvl w:val="7"/>
        <w:numId w:val="1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E622B"/>
    <w:pPr>
      <w:keepNext/>
      <w:keepLines/>
      <w:numPr>
        <w:ilvl w:val="8"/>
        <w:numId w:val="1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qFormat/>
    <w:rsid w:val="00F73332"/>
    <w:pPr>
      <w:spacing w:before="120" w:after="120"/>
    </w:pPr>
    <w:rPr>
      <w:szCs w:val="19"/>
    </w:rPr>
  </w:style>
  <w:style w:type="paragraph" w:styleId="BodyText2">
    <w:name w:val="Body Text 2"/>
    <w:basedOn w:val="Normal"/>
    <w:rsid w:val="0066051C"/>
    <w:pPr>
      <w:tabs>
        <w:tab w:val="left" w:pos="1143"/>
        <w:tab w:val="left" w:pos="3600"/>
        <w:tab w:val="left" w:pos="7200"/>
      </w:tabs>
      <w:spacing w:before="60"/>
    </w:pPr>
    <w:rPr>
      <w:i/>
      <w:sz w:val="16"/>
      <w:szCs w:val="16"/>
    </w:rPr>
  </w:style>
  <w:style w:type="paragraph" w:customStyle="1" w:styleId="Checkbox">
    <w:name w:val="Checkbox"/>
    <w:basedOn w:val="Normal"/>
    <w:next w:val="Normal"/>
    <w:rsid w:val="00EA44A1"/>
    <w:pPr>
      <w:jc w:val="center"/>
    </w:pPr>
    <w:rPr>
      <w:sz w:val="19"/>
      <w:szCs w:val="19"/>
    </w:rPr>
  </w:style>
  <w:style w:type="paragraph" w:customStyle="1" w:styleId="FieldText">
    <w:name w:val="Field Text"/>
    <w:basedOn w:val="Normal"/>
    <w:link w:val="FieldTextChar"/>
    <w:rsid w:val="00BF17F9"/>
    <w:rPr>
      <w:b/>
      <w:sz w:val="19"/>
      <w:szCs w:val="19"/>
    </w:rPr>
  </w:style>
  <w:style w:type="character" w:customStyle="1" w:styleId="FieldTextChar">
    <w:name w:val="Field Text Char"/>
    <w:basedOn w:val="DefaultParagraphFont"/>
    <w:link w:val="FieldText"/>
    <w:rsid w:val="00BF17F9"/>
    <w:rPr>
      <w:rFonts w:ascii="Arial" w:hAnsi="Arial"/>
      <w:b/>
      <w:sz w:val="19"/>
      <w:szCs w:val="19"/>
      <w:lang w:val="en-US" w:eastAsia="en-US" w:bidi="ar-SA"/>
    </w:rPr>
  </w:style>
  <w:style w:type="paragraph" w:customStyle="1" w:styleId="BodyText4">
    <w:name w:val="Body Text 4"/>
    <w:basedOn w:val="Normal"/>
    <w:next w:val="Normal"/>
    <w:rsid w:val="0024310C"/>
    <w:pPr>
      <w:spacing w:before="120"/>
    </w:pPr>
    <w:rPr>
      <w:i/>
      <w:sz w:val="19"/>
      <w:szCs w:val="20"/>
    </w:rPr>
  </w:style>
  <w:style w:type="character" w:styleId="PlaceholderText">
    <w:name w:val="Placeholder Text"/>
    <w:basedOn w:val="DefaultParagraphFont"/>
    <w:uiPriority w:val="99"/>
    <w:semiHidden/>
    <w:rsid w:val="00156754"/>
    <w:rPr>
      <w:color w:val="808080"/>
    </w:rPr>
  </w:style>
  <w:style w:type="paragraph" w:styleId="DocumentMap">
    <w:name w:val="Document Map"/>
    <w:basedOn w:val="Normal"/>
    <w:link w:val="DocumentMapChar"/>
    <w:uiPriority w:val="99"/>
    <w:semiHidden/>
    <w:unhideWhenUsed/>
    <w:rsid w:val="00381E8E"/>
    <w:rPr>
      <w:rFonts w:ascii="Tahoma" w:hAnsi="Tahoma" w:cs="Tahoma"/>
      <w:sz w:val="16"/>
      <w:szCs w:val="16"/>
    </w:rPr>
  </w:style>
  <w:style w:type="character" w:customStyle="1" w:styleId="DocumentMapChar">
    <w:name w:val="Document Map Char"/>
    <w:basedOn w:val="DefaultParagraphFont"/>
    <w:link w:val="DocumentMap"/>
    <w:uiPriority w:val="99"/>
    <w:semiHidden/>
    <w:rsid w:val="00381E8E"/>
    <w:rPr>
      <w:rFonts w:ascii="Tahoma" w:hAnsi="Tahoma" w:cs="Tahoma"/>
      <w:sz w:val="16"/>
      <w:szCs w:val="16"/>
    </w:rPr>
  </w:style>
  <w:style w:type="paragraph" w:customStyle="1" w:styleId="MemoHeadline">
    <w:name w:val="MemoHeadline"/>
    <w:link w:val="MemoHeadlineChar"/>
    <w:qFormat/>
    <w:rsid w:val="0096165C"/>
    <w:pPr>
      <w:ind w:right="25"/>
    </w:pPr>
    <w:rPr>
      <w:rFonts w:ascii="Arial" w:hAnsi="Arial"/>
      <w:b/>
      <w:color w:val="808080"/>
      <w:sz w:val="28"/>
      <w:szCs w:val="36"/>
    </w:rPr>
  </w:style>
  <w:style w:type="paragraph" w:styleId="Title">
    <w:name w:val="Title"/>
    <w:basedOn w:val="Normal"/>
    <w:next w:val="Normal"/>
    <w:link w:val="TitleChar"/>
    <w:uiPriority w:val="10"/>
    <w:qFormat/>
    <w:rsid w:val="0096165C"/>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Heading1Char">
    <w:name w:val="Heading 1 Char"/>
    <w:basedOn w:val="DefaultParagraphFont"/>
    <w:link w:val="Heading1"/>
    <w:rsid w:val="00DC7056"/>
    <w:rPr>
      <w:rFonts w:ascii="Arial" w:hAnsi="Arial"/>
      <w:b/>
      <w:color w:val="000000" w:themeColor="text1"/>
      <w:sz w:val="36"/>
      <w:szCs w:val="36"/>
    </w:rPr>
  </w:style>
  <w:style w:type="character" w:customStyle="1" w:styleId="MemoHeadlineChar">
    <w:name w:val="MemoHeadline Char"/>
    <w:basedOn w:val="Heading1Char"/>
    <w:link w:val="MemoHeadline"/>
    <w:rsid w:val="0096165C"/>
    <w:rPr>
      <w:rFonts w:ascii="Arial" w:hAnsi="Arial"/>
      <w:b/>
      <w:color w:val="000000" w:themeColor="text1"/>
      <w:sz w:val="36"/>
      <w:szCs w:val="36"/>
    </w:rPr>
  </w:style>
  <w:style w:type="character" w:customStyle="1" w:styleId="TitleChar">
    <w:name w:val="Title Char"/>
    <w:basedOn w:val="DefaultParagraphFont"/>
    <w:link w:val="Title"/>
    <w:uiPriority w:val="10"/>
    <w:rsid w:val="0096165C"/>
    <w:rPr>
      <w:rFonts w:ascii="Arial" w:eastAsiaTheme="majorEastAsia" w:hAnsi="Arial" w:cstheme="majorBidi"/>
      <w:color w:val="17365D" w:themeColor="text2" w:themeShade="BF"/>
      <w:spacing w:val="5"/>
      <w:kern w:val="28"/>
      <w:sz w:val="52"/>
      <w:szCs w:val="52"/>
    </w:rPr>
  </w:style>
  <w:style w:type="paragraph" w:styleId="ListParagraph">
    <w:name w:val="List Paragraph"/>
    <w:basedOn w:val="Normal"/>
    <w:uiPriority w:val="34"/>
    <w:qFormat/>
    <w:rsid w:val="00DC7056"/>
    <w:pPr>
      <w:ind w:left="720"/>
    </w:pPr>
    <w:rPr>
      <w:rFonts w:ascii="Calibri" w:hAnsi="Calibri"/>
      <w:sz w:val="22"/>
      <w:szCs w:val="22"/>
    </w:rPr>
  </w:style>
  <w:style w:type="table" w:styleId="TableGrid">
    <w:name w:val="Table Grid"/>
    <w:basedOn w:val="TableNormal"/>
    <w:uiPriority w:val="59"/>
    <w:rsid w:val="00F73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DE622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E622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E622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E622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E622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E622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1632">
      <w:bodyDiv w:val="1"/>
      <w:marLeft w:val="0"/>
      <w:marRight w:val="0"/>
      <w:marTop w:val="0"/>
      <w:marBottom w:val="0"/>
      <w:divBdr>
        <w:top w:val="none" w:sz="0" w:space="0" w:color="auto"/>
        <w:left w:val="none" w:sz="0" w:space="0" w:color="auto"/>
        <w:bottom w:val="none" w:sz="0" w:space="0" w:color="auto"/>
        <w:right w:val="none" w:sz="0" w:space="0" w:color="auto"/>
      </w:divBdr>
    </w:div>
    <w:div w:id="17054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y\AppData\Roaming\Microsoft\Templates\SGIP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SGIPMemo.dotx</Template>
  <TotalTime>385</TotalTime>
  <Pages>6</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Martin J. Burns</dc:creator>
  <cp:lastModifiedBy>Dr. Martin J. Burns</cp:lastModifiedBy>
  <cp:revision>20</cp:revision>
  <cp:lastPrinted>2002-06-26T15:25:00Z</cp:lastPrinted>
  <dcterms:created xsi:type="dcterms:W3CDTF">2011-12-19T14:55:00Z</dcterms:created>
  <dcterms:modified xsi:type="dcterms:W3CDTF">2011-12-23T13:01:00Z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TC061894421033</vt:lpwstr>
  </property>
</Properties>
</file>