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7" w:type="dxa"/>
        <w:tblLayout w:type="fixed"/>
        <w:tblCellMar>
          <w:left w:w="17" w:type="dxa"/>
          <w:right w:w="17" w:type="dxa"/>
        </w:tblCellMar>
        <w:tblLook w:val="0000" w:firstRow="0" w:lastRow="0" w:firstColumn="0" w:lastColumn="0" w:noHBand="0" w:noVBand="0"/>
      </w:tblPr>
      <w:tblGrid>
        <w:gridCol w:w="355"/>
        <w:gridCol w:w="360"/>
        <w:gridCol w:w="338"/>
        <w:gridCol w:w="99"/>
        <w:gridCol w:w="5667"/>
        <w:gridCol w:w="1259"/>
        <w:gridCol w:w="1619"/>
      </w:tblGrid>
      <w:tr w:rsidR="00700630" w14:paraId="69905F31" w14:textId="77777777" w:rsidTr="00A06EB8">
        <w:trPr>
          <w:tblHeader/>
        </w:trPr>
        <w:tc>
          <w:tcPr>
            <w:tcW w:w="9697" w:type="dxa"/>
            <w:gridSpan w:val="7"/>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391B10C" w:rsidR="00700630" w:rsidRDefault="00700630">
            <w:pPr>
              <w:pStyle w:val="TableText"/>
              <w:jc w:val="center"/>
              <w:rPr>
                <w:rFonts w:ascii="Times New Roman" w:hAnsi="Times New Roman"/>
                <w:sz w:val="18"/>
                <w:szCs w:val="18"/>
              </w:rPr>
            </w:pPr>
            <w:r>
              <w:rPr>
                <w:rFonts w:ascii="Times New Roman" w:hAnsi="Times New Roman"/>
                <w:b/>
                <w:sz w:val="18"/>
                <w:szCs w:val="18"/>
              </w:rPr>
              <w:t>2022 ANNUAL PLAN for the RETAIL MARKETS QUADRANT</w:t>
            </w:r>
          </w:p>
          <w:p w14:paraId="37238ACB" w14:textId="33AF4ECC" w:rsidR="00700630" w:rsidRDefault="00700630" w:rsidP="00EE24C1">
            <w:pPr>
              <w:pStyle w:val="TableText"/>
              <w:spacing w:after="120"/>
              <w:jc w:val="center"/>
              <w:rPr>
                <w:rFonts w:ascii="Times New Roman" w:hAnsi="Times New Roman"/>
                <w:b/>
                <w:sz w:val="18"/>
                <w:szCs w:val="18"/>
              </w:rPr>
            </w:pPr>
            <w:r>
              <w:rPr>
                <w:rFonts w:ascii="Times New Roman" w:hAnsi="Times New Roman"/>
                <w:b/>
                <w:sz w:val="18"/>
                <w:szCs w:val="18"/>
              </w:rPr>
              <w:t>Adopted by the Board of Directors</w:t>
            </w:r>
            <w:r w:rsidRPr="00CB622C">
              <w:rPr>
                <w:rFonts w:ascii="Times New Roman" w:hAnsi="Times New Roman"/>
                <w:b/>
                <w:sz w:val="18"/>
                <w:szCs w:val="18"/>
              </w:rPr>
              <w:t xml:space="preserve"> on </w:t>
            </w:r>
            <w:r w:rsidR="0010580E">
              <w:rPr>
                <w:rFonts w:ascii="Times New Roman" w:hAnsi="Times New Roman"/>
                <w:b/>
                <w:sz w:val="18"/>
                <w:szCs w:val="18"/>
              </w:rPr>
              <w:t>September 1</w:t>
            </w:r>
            <w:r w:rsidR="00AE2654">
              <w:rPr>
                <w:rFonts w:ascii="Times New Roman" w:hAnsi="Times New Roman"/>
                <w:b/>
                <w:sz w:val="18"/>
                <w:szCs w:val="18"/>
              </w:rPr>
              <w:t>, 2022</w:t>
            </w:r>
          </w:p>
        </w:tc>
      </w:tr>
      <w:tr w:rsidR="007127AE" w14:paraId="7554BD59" w14:textId="77777777" w:rsidTr="00A06EB8">
        <w:trPr>
          <w:tblHeader/>
        </w:trPr>
        <w:tc>
          <w:tcPr>
            <w:tcW w:w="355"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6464" w:type="dxa"/>
            <w:gridSpan w:val="4"/>
            <w:tcBorders>
              <w:top w:val="single" w:sz="4" w:space="0" w:color="auto"/>
              <w:bottom w:val="single" w:sz="4" w:space="0" w:color="auto"/>
            </w:tcBorders>
          </w:tcPr>
          <w:p w14:paraId="4CCB4BE4" w14:textId="76488241" w:rsidR="007127AE" w:rsidRDefault="007127AE">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19"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B13449" w14:paraId="4B774D4D" w14:textId="77777777" w:rsidTr="00A06EB8">
        <w:tc>
          <w:tcPr>
            <w:tcW w:w="355"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342" w:type="dxa"/>
            <w:gridSpan w:val="6"/>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3B06B9" w14:paraId="4A75D9D2" w14:textId="77777777" w:rsidTr="00A06EB8">
        <w:tc>
          <w:tcPr>
            <w:tcW w:w="355" w:type="dxa"/>
          </w:tcPr>
          <w:p w14:paraId="02439C7A" w14:textId="77777777" w:rsidR="003B06B9" w:rsidRDefault="003B06B9">
            <w:pPr>
              <w:pStyle w:val="TableText"/>
              <w:spacing w:before="60" w:after="60"/>
              <w:jc w:val="center"/>
              <w:rPr>
                <w:rFonts w:ascii="Times New Roman" w:hAnsi="Times New Roman"/>
                <w:color w:val="auto"/>
                <w:sz w:val="18"/>
                <w:szCs w:val="18"/>
              </w:rPr>
            </w:pPr>
          </w:p>
        </w:tc>
        <w:tc>
          <w:tcPr>
            <w:tcW w:w="360" w:type="dxa"/>
          </w:tcPr>
          <w:p w14:paraId="76D697FC" w14:textId="38D7D03E" w:rsidR="003B06B9" w:rsidRDefault="003B06B9" w:rsidP="00A14120">
            <w:pPr>
              <w:pStyle w:val="TableText"/>
              <w:spacing w:before="60" w:after="60"/>
              <w:jc w:val="center"/>
              <w:rPr>
                <w:rFonts w:ascii="Times New Roman" w:hAnsi="Times New Roman"/>
                <w:sz w:val="18"/>
                <w:szCs w:val="18"/>
              </w:rPr>
            </w:pPr>
            <w:r>
              <w:rPr>
                <w:rFonts w:ascii="Times New Roman" w:hAnsi="Times New Roman"/>
                <w:sz w:val="18"/>
                <w:szCs w:val="18"/>
              </w:rPr>
              <w:t>a.</w:t>
            </w:r>
          </w:p>
        </w:tc>
        <w:tc>
          <w:tcPr>
            <w:tcW w:w="338" w:type="dxa"/>
          </w:tcPr>
          <w:p w14:paraId="38CFBBF4" w14:textId="77777777" w:rsidR="003B06B9" w:rsidRPr="003060DA" w:rsidRDefault="003B06B9" w:rsidP="00FF753C">
            <w:pPr>
              <w:pStyle w:val="TableText"/>
              <w:spacing w:before="60" w:after="60"/>
              <w:ind w:left="147"/>
              <w:rPr>
                <w:rFonts w:ascii="Times New Roman" w:hAnsi="Times New Roman"/>
                <w:sz w:val="18"/>
                <w:szCs w:val="18"/>
              </w:rPr>
            </w:pPr>
          </w:p>
        </w:tc>
        <w:tc>
          <w:tcPr>
            <w:tcW w:w="5766" w:type="dxa"/>
            <w:gridSpan w:val="2"/>
          </w:tcPr>
          <w:p w14:paraId="47F79DCB" w14:textId="3C30D7B3" w:rsidR="003B06B9" w:rsidRDefault="003B06B9"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4A5CAF1E" w:rsidR="003B06B9" w:rsidRDefault="003B06B9"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676AB81E" w14:textId="44BA15CB" w:rsidR="003B06B9" w:rsidRDefault="003B06B9"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2022</w:t>
            </w:r>
          </w:p>
        </w:tc>
        <w:tc>
          <w:tcPr>
            <w:tcW w:w="1619" w:type="dxa"/>
          </w:tcPr>
          <w:p w14:paraId="0426401A" w14:textId="43ABB03E" w:rsidR="003B06B9" w:rsidRDefault="003B06B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B13449" w14:paraId="3291490A" w14:textId="77777777" w:rsidTr="00A06EB8">
        <w:tc>
          <w:tcPr>
            <w:tcW w:w="355" w:type="dxa"/>
          </w:tcPr>
          <w:p w14:paraId="1458EDDB" w14:textId="222836B4"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2</w:t>
            </w:r>
            <w:r w:rsidRPr="00F41462">
              <w:rPr>
                <w:rFonts w:ascii="Times New Roman" w:hAnsi="Times New Roman"/>
                <w:b/>
                <w:color w:val="auto"/>
                <w:sz w:val="18"/>
                <w:szCs w:val="18"/>
              </w:rPr>
              <w:t>.</w:t>
            </w:r>
          </w:p>
        </w:tc>
        <w:tc>
          <w:tcPr>
            <w:tcW w:w="9342" w:type="dxa"/>
            <w:gridSpan w:val="6"/>
          </w:tcPr>
          <w:p w14:paraId="2E73FBD8" w14:textId="146A55E3" w:rsidR="00B13449" w:rsidRDefault="00B13449" w:rsidP="00A14120">
            <w:pPr>
              <w:pStyle w:val="TableText"/>
              <w:spacing w:before="60" w:after="60"/>
              <w:ind w:left="162"/>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B06B9" w14:paraId="5FE52E17" w14:textId="77777777" w:rsidTr="00A06EB8">
        <w:tc>
          <w:tcPr>
            <w:tcW w:w="355" w:type="dxa"/>
          </w:tcPr>
          <w:p w14:paraId="5895A081" w14:textId="77777777" w:rsidR="003B06B9" w:rsidRDefault="003B06B9">
            <w:pPr>
              <w:pStyle w:val="TableText"/>
              <w:spacing w:before="60" w:after="60"/>
              <w:jc w:val="center"/>
              <w:rPr>
                <w:rFonts w:ascii="Times New Roman" w:hAnsi="Times New Roman"/>
                <w:color w:val="auto"/>
                <w:sz w:val="18"/>
                <w:szCs w:val="18"/>
              </w:rPr>
            </w:pPr>
          </w:p>
        </w:tc>
        <w:tc>
          <w:tcPr>
            <w:tcW w:w="360" w:type="dxa"/>
          </w:tcPr>
          <w:p w14:paraId="7F3B675A" w14:textId="31E2EFA7" w:rsidR="003B06B9" w:rsidRDefault="003B06B9" w:rsidP="00A14120">
            <w:pPr>
              <w:pStyle w:val="TableText"/>
              <w:spacing w:before="60" w:after="60"/>
              <w:jc w:val="center"/>
              <w:rPr>
                <w:rFonts w:ascii="Times New Roman" w:hAnsi="Times New Roman"/>
                <w:sz w:val="18"/>
                <w:szCs w:val="18"/>
              </w:rPr>
            </w:pPr>
            <w:r>
              <w:rPr>
                <w:rFonts w:ascii="Times New Roman" w:hAnsi="Times New Roman"/>
                <w:sz w:val="18"/>
                <w:szCs w:val="18"/>
              </w:rPr>
              <w:t>a.</w:t>
            </w:r>
          </w:p>
        </w:tc>
        <w:tc>
          <w:tcPr>
            <w:tcW w:w="338" w:type="dxa"/>
          </w:tcPr>
          <w:p w14:paraId="383B0945" w14:textId="77777777" w:rsidR="003B06B9" w:rsidRDefault="003B06B9" w:rsidP="00FF753C">
            <w:pPr>
              <w:pStyle w:val="TableText"/>
              <w:spacing w:before="60" w:after="60"/>
              <w:ind w:left="144"/>
              <w:rPr>
                <w:rFonts w:ascii="Times New Roman" w:hAnsi="Times New Roman"/>
                <w:sz w:val="18"/>
                <w:szCs w:val="18"/>
              </w:rPr>
            </w:pPr>
          </w:p>
        </w:tc>
        <w:tc>
          <w:tcPr>
            <w:tcW w:w="5766" w:type="dxa"/>
            <w:gridSpan w:val="2"/>
          </w:tcPr>
          <w:p w14:paraId="7E7779E5" w14:textId="5DF5C2B2" w:rsidR="003B06B9" w:rsidRDefault="003B06B9" w:rsidP="00FF753C">
            <w:pPr>
              <w:pStyle w:val="TableText"/>
              <w:spacing w:before="60" w:after="60"/>
              <w:ind w:left="144"/>
              <w:rPr>
                <w:rFonts w:ascii="Times New Roman" w:hAnsi="Times New Roman"/>
                <w:sz w:val="18"/>
                <w:szCs w:val="18"/>
              </w:rPr>
            </w:pPr>
            <w:r>
              <w:rPr>
                <w:rFonts w:ascii="Times New Roman" w:hAnsi="Times New Roman"/>
                <w:sz w:val="18"/>
                <w:szCs w:val="18"/>
              </w:rPr>
              <w:t xml:space="preserve">Develop technical implementation business practice standards to support automation of the current REC creation, accounting and retirement processes for voluntary markets consistent with the Base Contract for Sale and Purchase of </w:t>
            </w:r>
            <w:proofErr w:type="spellStart"/>
            <w:r>
              <w:rPr>
                <w:rFonts w:ascii="Times New Roman" w:hAnsi="Times New Roman"/>
                <w:sz w:val="18"/>
                <w:szCs w:val="18"/>
              </w:rPr>
              <w:t>RECs.</w:t>
            </w:r>
            <w:proofErr w:type="spellEnd"/>
          </w:p>
          <w:p w14:paraId="24F8D684" w14:textId="4F0CB078" w:rsidR="003B06B9" w:rsidRDefault="003B06B9" w:rsidP="00FF753C">
            <w:pPr>
              <w:pStyle w:val="TableText"/>
              <w:spacing w:before="60" w:after="60"/>
              <w:ind w:left="144"/>
              <w:rPr>
                <w:rFonts w:ascii="Times New Roman" w:hAnsi="Times New Roman"/>
                <w:sz w:val="18"/>
                <w:szCs w:val="18"/>
              </w:rPr>
            </w:pPr>
            <w:r>
              <w:rPr>
                <w:rFonts w:ascii="Times New Roman" w:hAnsi="Times New Roman"/>
                <w:sz w:val="18"/>
                <w:szCs w:val="18"/>
              </w:rPr>
              <w:t>Status: Started</w:t>
            </w:r>
          </w:p>
        </w:tc>
        <w:tc>
          <w:tcPr>
            <w:tcW w:w="1259" w:type="dxa"/>
          </w:tcPr>
          <w:p w14:paraId="794A524D" w14:textId="1C6A636C" w:rsidR="003B06B9" w:rsidRDefault="003B06B9"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2022</w:t>
            </w:r>
          </w:p>
        </w:tc>
        <w:tc>
          <w:tcPr>
            <w:tcW w:w="1619" w:type="dxa"/>
          </w:tcPr>
          <w:p w14:paraId="334457B3" w14:textId="239FBFBD" w:rsidR="003B06B9" w:rsidRDefault="003B06B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B13449" w14:paraId="38ED44CF" w14:textId="77777777" w:rsidTr="00A06EB8">
        <w:tc>
          <w:tcPr>
            <w:tcW w:w="355" w:type="dxa"/>
          </w:tcPr>
          <w:p w14:paraId="3C2B3F6C" w14:textId="17B765D8" w:rsidR="00B13449" w:rsidRPr="00A14120" w:rsidRDefault="00B13449">
            <w:pPr>
              <w:pStyle w:val="TableText"/>
              <w:spacing w:before="60" w:after="60"/>
              <w:jc w:val="center"/>
              <w:rPr>
                <w:rFonts w:ascii="Times New Roman" w:hAnsi="Times New Roman"/>
                <w:b/>
                <w:bCs/>
                <w:color w:val="auto"/>
                <w:sz w:val="18"/>
                <w:szCs w:val="18"/>
              </w:rPr>
            </w:pPr>
            <w:bookmarkStart w:id="0" w:name="_Hlk90022982"/>
            <w:r w:rsidRPr="00A14120">
              <w:rPr>
                <w:rFonts w:ascii="Times New Roman" w:hAnsi="Times New Roman"/>
                <w:b/>
                <w:bCs/>
                <w:color w:val="auto"/>
                <w:sz w:val="18"/>
                <w:szCs w:val="18"/>
              </w:rPr>
              <w:t>3.</w:t>
            </w:r>
          </w:p>
        </w:tc>
        <w:tc>
          <w:tcPr>
            <w:tcW w:w="9342" w:type="dxa"/>
            <w:gridSpan w:val="6"/>
          </w:tcPr>
          <w:p w14:paraId="1B4B75A7" w14:textId="4BDF7767" w:rsidR="00B13449" w:rsidRPr="00A14120" w:rsidRDefault="00B13449" w:rsidP="00FF753C">
            <w:pPr>
              <w:pStyle w:val="TableText"/>
              <w:spacing w:before="60" w:after="60"/>
              <w:ind w:left="144"/>
              <w:rPr>
                <w:rFonts w:ascii="Times New Roman" w:hAnsi="Times New Roman"/>
                <w:b/>
                <w:bCs/>
                <w:color w:val="auto"/>
                <w:sz w:val="18"/>
                <w:szCs w:val="18"/>
              </w:rPr>
            </w:pPr>
            <w:r w:rsidRPr="00A14120">
              <w:rPr>
                <w:rFonts w:ascii="Times New Roman" w:hAnsi="Times New Roman"/>
                <w:b/>
                <w:bCs/>
                <w:color w:val="auto"/>
                <w:sz w:val="18"/>
                <w:szCs w:val="18"/>
              </w:rPr>
              <w:t>Gas-Electric Coordination</w:t>
            </w:r>
          </w:p>
        </w:tc>
      </w:tr>
      <w:tr w:rsidR="003B06B9" w14:paraId="2A497859" w14:textId="77777777" w:rsidTr="00A06EB8">
        <w:tc>
          <w:tcPr>
            <w:tcW w:w="355" w:type="dxa"/>
          </w:tcPr>
          <w:p w14:paraId="55F3A0EF" w14:textId="77777777" w:rsidR="003B06B9" w:rsidRDefault="003B06B9">
            <w:pPr>
              <w:pStyle w:val="TableText"/>
              <w:spacing w:before="60" w:after="60"/>
              <w:jc w:val="center"/>
              <w:rPr>
                <w:rFonts w:ascii="Times New Roman" w:hAnsi="Times New Roman"/>
                <w:color w:val="auto"/>
                <w:sz w:val="18"/>
                <w:szCs w:val="18"/>
              </w:rPr>
            </w:pPr>
          </w:p>
        </w:tc>
        <w:tc>
          <w:tcPr>
            <w:tcW w:w="360" w:type="dxa"/>
          </w:tcPr>
          <w:p w14:paraId="7E71E196" w14:textId="39E70AD3" w:rsidR="003B06B9" w:rsidRDefault="003B06B9" w:rsidP="00A14120">
            <w:pPr>
              <w:pStyle w:val="TableText"/>
              <w:spacing w:before="60" w:after="60"/>
              <w:jc w:val="center"/>
              <w:rPr>
                <w:rFonts w:ascii="Times New Roman" w:hAnsi="Times New Roman"/>
                <w:sz w:val="18"/>
                <w:szCs w:val="18"/>
              </w:rPr>
            </w:pPr>
            <w:r>
              <w:rPr>
                <w:rFonts w:ascii="Times New Roman" w:hAnsi="Times New Roman"/>
                <w:sz w:val="18"/>
                <w:szCs w:val="18"/>
              </w:rPr>
              <w:t>a.</w:t>
            </w:r>
          </w:p>
        </w:tc>
        <w:tc>
          <w:tcPr>
            <w:tcW w:w="338" w:type="dxa"/>
          </w:tcPr>
          <w:p w14:paraId="35D60D30" w14:textId="77777777" w:rsidR="003B06B9" w:rsidRDefault="003B06B9" w:rsidP="00FF753C">
            <w:pPr>
              <w:pStyle w:val="TableText"/>
              <w:spacing w:before="60" w:after="60"/>
              <w:ind w:left="144"/>
              <w:rPr>
                <w:rFonts w:ascii="Times New Roman" w:hAnsi="Times New Roman"/>
                <w:sz w:val="18"/>
                <w:szCs w:val="18"/>
              </w:rPr>
            </w:pPr>
          </w:p>
        </w:tc>
        <w:tc>
          <w:tcPr>
            <w:tcW w:w="8644" w:type="dxa"/>
            <w:gridSpan w:val="4"/>
          </w:tcPr>
          <w:p w14:paraId="2810DF0B" w14:textId="36092294" w:rsidR="003B06B9" w:rsidRDefault="003B06B9" w:rsidP="002E7A96">
            <w:pPr>
              <w:pStyle w:val="TableText"/>
              <w:spacing w:before="60" w:after="60"/>
              <w:ind w:left="144"/>
              <w:rPr>
                <w:rFonts w:ascii="Times New Roman" w:hAnsi="Times New Roman"/>
                <w:color w:val="auto"/>
                <w:sz w:val="18"/>
                <w:szCs w:val="18"/>
              </w:rPr>
            </w:pPr>
            <w:r>
              <w:rPr>
                <w:rFonts w:ascii="Times New Roman" w:hAnsi="Times New Roman"/>
                <w:sz w:val="18"/>
                <w:szCs w:val="18"/>
              </w:rPr>
              <w:t>Develop standards to support enhanced commercial communications between the natural gas and electric markets during impending extreme weather-related emergency operating conditions</w:t>
            </w:r>
            <w:r w:rsidRPr="001B24D7">
              <w:rPr>
                <w:rFonts w:ascii="Times New Roman" w:hAnsi="Times New Roman"/>
                <w:sz w:val="18"/>
                <w:szCs w:val="18"/>
              </w:rPr>
              <w:t xml:space="preserve"> </w:t>
            </w:r>
            <w:r>
              <w:rPr>
                <w:rFonts w:ascii="Times New Roman" w:hAnsi="Times New Roman"/>
                <w:sz w:val="18"/>
                <w:szCs w:val="18"/>
              </w:rPr>
              <w:t>(</w:t>
            </w:r>
            <w:hyperlink r:id="rId8" w:history="1">
              <w:r w:rsidRPr="001B24D7">
                <w:rPr>
                  <w:rStyle w:val="Hyperlink"/>
                  <w:rFonts w:ascii="Times New Roman" w:hAnsi="Times New Roman"/>
                  <w:sz w:val="18"/>
                  <w:szCs w:val="18"/>
                </w:rPr>
                <w:t>R21006</w:t>
              </w:r>
            </w:hyperlink>
            <w:r>
              <w:rPr>
                <w:rFonts w:ascii="Times New Roman" w:hAnsi="Times New Roman"/>
                <w:sz w:val="18"/>
                <w:szCs w:val="18"/>
              </w:rPr>
              <w:t>)</w:t>
            </w:r>
          </w:p>
        </w:tc>
      </w:tr>
      <w:tr w:rsidR="003B06B9" w14:paraId="5EE1C1A9" w14:textId="77777777" w:rsidTr="00A06EB8">
        <w:tc>
          <w:tcPr>
            <w:tcW w:w="355" w:type="dxa"/>
          </w:tcPr>
          <w:p w14:paraId="06974980" w14:textId="77777777" w:rsidR="003B06B9" w:rsidRDefault="003B06B9" w:rsidP="003B06B9">
            <w:pPr>
              <w:pStyle w:val="TableText"/>
              <w:spacing w:before="60" w:after="60"/>
              <w:jc w:val="center"/>
              <w:rPr>
                <w:rFonts w:ascii="Times New Roman" w:hAnsi="Times New Roman"/>
                <w:color w:val="auto"/>
                <w:sz w:val="18"/>
                <w:szCs w:val="18"/>
              </w:rPr>
            </w:pPr>
          </w:p>
        </w:tc>
        <w:tc>
          <w:tcPr>
            <w:tcW w:w="360" w:type="dxa"/>
          </w:tcPr>
          <w:p w14:paraId="74EB5C68" w14:textId="79F08ED8" w:rsidR="003B06B9" w:rsidRDefault="003B06B9" w:rsidP="003B06B9">
            <w:pPr>
              <w:pStyle w:val="TableText"/>
              <w:spacing w:before="60" w:after="60"/>
              <w:jc w:val="right"/>
              <w:rPr>
                <w:rFonts w:ascii="Times New Roman" w:hAnsi="Times New Roman"/>
                <w:sz w:val="18"/>
                <w:szCs w:val="18"/>
              </w:rPr>
            </w:pPr>
          </w:p>
        </w:tc>
        <w:tc>
          <w:tcPr>
            <w:tcW w:w="338" w:type="dxa"/>
          </w:tcPr>
          <w:p w14:paraId="697FB6EA" w14:textId="1CA4FF50" w:rsidR="003B06B9" w:rsidRPr="003B06B9" w:rsidRDefault="00700630" w:rsidP="003B06B9">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6" w:type="dxa"/>
            <w:gridSpan w:val="2"/>
          </w:tcPr>
          <w:p w14:paraId="4F2816C5" w14:textId="6FC4BC7B" w:rsidR="003B06B9" w:rsidRPr="003B06B9" w:rsidRDefault="003B06B9" w:rsidP="003B06B9">
            <w:pPr>
              <w:pStyle w:val="TableText"/>
              <w:spacing w:before="60" w:after="60"/>
              <w:ind w:left="144"/>
              <w:rPr>
                <w:rFonts w:ascii="Times New Roman" w:hAnsi="Times New Roman"/>
                <w:sz w:val="18"/>
                <w:szCs w:val="18"/>
              </w:rPr>
            </w:pPr>
            <w:r w:rsidRPr="003B06B9">
              <w:rPr>
                <w:rFonts w:ascii="Times New Roman" w:hAnsi="Times New Roman"/>
                <w:sz w:val="18"/>
                <w:szCs w:val="18"/>
              </w:rPr>
              <w:t>Define a standard for the declaration of an impending extreme weather-related emergency operating condition by balancing authorities and natural gas pipelines consistent with other industry designations which would include the development and definition of what might constitute an impending extreme weather-related emergency operating condition</w:t>
            </w:r>
          </w:p>
          <w:p w14:paraId="044508BB" w14:textId="4FFE620D" w:rsidR="003B06B9" w:rsidRPr="003B06B9" w:rsidRDefault="003B06B9" w:rsidP="003B06B9">
            <w:pPr>
              <w:pStyle w:val="TableText"/>
              <w:spacing w:before="60" w:after="60"/>
              <w:ind w:left="144"/>
              <w:rPr>
                <w:rFonts w:ascii="Times New Roman" w:hAnsi="Times New Roman"/>
                <w:sz w:val="18"/>
                <w:szCs w:val="18"/>
              </w:rPr>
            </w:pPr>
            <w:r w:rsidRPr="003B06B9">
              <w:rPr>
                <w:rFonts w:ascii="Times New Roman" w:hAnsi="Times New Roman"/>
                <w:sz w:val="18"/>
                <w:szCs w:val="18"/>
              </w:rPr>
              <w:t>Status: Started</w:t>
            </w:r>
          </w:p>
        </w:tc>
        <w:tc>
          <w:tcPr>
            <w:tcW w:w="1259" w:type="dxa"/>
          </w:tcPr>
          <w:p w14:paraId="676CA6A7" w14:textId="6D04686F" w:rsidR="003B06B9" w:rsidRPr="003B06B9" w:rsidRDefault="003B06B9" w:rsidP="003B06B9">
            <w:pPr>
              <w:pStyle w:val="TableText"/>
              <w:spacing w:before="60" w:after="60"/>
              <w:ind w:left="144"/>
              <w:jc w:val="center"/>
              <w:rPr>
                <w:rFonts w:ascii="Times New Roman" w:hAnsi="Times New Roman"/>
                <w:sz w:val="18"/>
                <w:szCs w:val="18"/>
              </w:rPr>
            </w:pPr>
            <w:r w:rsidRPr="003B06B9">
              <w:rPr>
                <w:rFonts w:ascii="Times New Roman" w:hAnsi="Times New Roman"/>
                <w:sz w:val="18"/>
                <w:szCs w:val="18"/>
              </w:rPr>
              <w:t>2</w:t>
            </w:r>
            <w:r w:rsidRPr="003B06B9">
              <w:rPr>
                <w:rFonts w:ascii="Times New Roman" w:hAnsi="Times New Roman"/>
                <w:sz w:val="18"/>
                <w:szCs w:val="18"/>
                <w:vertAlign w:val="superscript"/>
              </w:rPr>
              <w:t>nd</w:t>
            </w:r>
            <w:r w:rsidRPr="003B06B9">
              <w:rPr>
                <w:rFonts w:ascii="Times New Roman" w:hAnsi="Times New Roman"/>
                <w:sz w:val="18"/>
                <w:szCs w:val="18"/>
              </w:rPr>
              <w:t xml:space="preserve"> Q, 2022</w:t>
            </w:r>
          </w:p>
        </w:tc>
        <w:tc>
          <w:tcPr>
            <w:tcW w:w="1619" w:type="dxa"/>
          </w:tcPr>
          <w:p w14:paraId="4E4241C3" w14:textId="5D2750C0" w:rsidR="003B06B9" w:rsidRPr="003B06B9" w:rsidRDefault="003B06B9" w:rsidP="003B06B9">
            <w:pPr>
              <w:pStyle w:val="TableText"/>
              <w:spacing w:before="60" w:after="60"/>
              <w:ind w:left="144"/>
              <w:jc w:val="center"/>
              <w:rPr>
                <w:rFonts w:ascii="Times New Roman" w:hAnsi="Times New Roman"/>
                <w:color w:val="auto"/>
                <w:sz w:val="18"/>
                <w:szCs w:val="18"/>
              </w:rPr>
            </w:pPr>
            <w:r w:rsidRPr="003B06B9">
              <w:rPr>
                <w:rFonts w:ascii="Times New Roman" w:hAnsi="Times New Roman"/>
                <w:sz w:val="18"/>
                <w:szCs w:val="18"/>
              </w:rPr>
              <w:t xml:space="preserve"> Joint RMQ/WEQ/WGQ BPS</w:t>
            </w:r>
          </w:p>
        </w:tc>
      </w:tr>
      <w:tr w:rsidR="003B06B9" w14:paraId="12A6455D" w14:textId="77777777" w:rsidTr="00A06EB8">
        <w:tc>
          <w:tcPr>
            <w:tcW w:w="355" w:type="dxa"/>
          </w:tcPr>
          <w:p w14:paraId="6C1C6C8B" w14:textId="77777777" w:rsidR="003B06B9" w:rsidRDefault="003B06B9" w:rsidP="003B06B9">
            <w:pPr>
              <w:pStyle w:val="TableText"/>
              <w:spacing w:before="60" w:after="60"/>
              <w:jc w:val="center"/>
              <w:rPr>
                <w:rFonts w:ascii="Times New Roman" w:hAnsi="Times New Roman"/>
                <w:color w:val="auto"/>
                <w:sz w:val="18"/>
                <w:szCs w:val="18"/>
              </w:rPr>
            </w:pPr>
          </w:p>
        </w:tc>
        <w:tc>
          <w:tcPr>
            <w:tcW w:w="360" w:type="dxa"/>
          </w:tcPr>
          <w:p w14:paraId="197D083C" w14:textId="470070B5" w:rsidR="003B06B9" w:rsidRDefault="003B06B9" w:rsidP="003B06B9">
            <w:pPr>
              <w:pStyle w:val="TableText"/>
              <w:spacing w:before="60" w:after="60"/>
              <w:jc w:val="right"/>
              <w:rPr>
                <w:rFonts w:ascii="Times New Roman" w:hAnsi="Times New Roman"/>
                <w:sz w:val="18"/>
                <w:szCs w:val="18"/>
              </w:rPr>
            </w:pPr>
          </w:p>
        </w:tc>
        <w:tc>
          <w:tcPr>
            <w:tcW w:w="338" w:type="dxa"/>
          </w:tcPr>
          <w:p w14:paraId="01E6B3A5" w14:textId="76F0AAF0" w:rsidR="003B06B9" w:rsidRPr="003B06B9" w:rsidRDefault="00700630" w:rsidP="003B06B9">
            <w:pPr>
              <w:pStyle w:val="TableText"/>
              <w:spacing w:before="60" w:after="60"/>
              <w:ind w:left="144"/>
              <w:rPr>
                <w:rFonts w:ascii="Times New Roman" w:hAnsi="Times New Roman"/>
                <w:sz w:val="18"/>
                <w:szCs w:val="18"/>
              </w:rPr>
            </w:pPr>
            <w:r>
              <w:rPr>
                <w:rFonts w:ascii="Times New Roman" w:hAnsi="Times New Roman"/>
                <w:sz w:val="18"/>
                <w:szCs w:val="18"/>
              </w:rPr>
              <w:t>ii.</w:t>
            </w:r>
          </w:p>
        </w:tc>
        <w:tc>
          <w:tcPr>
            <w:tcW w:w="5766" w:type="dxa"/>
            <w:gridSpan w:val="2"/>
          </w:tcPr>
          <w:p w14:paraId="05F14409" w14:textId="63990F24" w:rsidR="003B06B9" w:rsidRPr="003B06B9" w:rsidRDefault="003B06B9" w:rsidP="003B06B9">
            <w:pPr>
              <w:pStyle w:val="TableText"/>
              <w:spacing w:before="60" w:after="60"/>
              <w:ind w:left="144"/>
              <w:rPr>
                <w:rFonts w:ascii="Times New Roman" w:hAnsi="Times New Roman"/>
                <w:sz w:val="18"/>
                <w:szCs w:val="18"/>
              </w:rPr>
            </w:pPr>
            <w:r w:rsidRPr="003B06B9">
              <w:rPr>
                <w:rFonts w:ascii="Times New Roman" w:hAnsi="Times New Roman"/>
                <w:sz w:val="18"/>
                <w:szCs w:val="18"/>
              </w:rPr>
              <w:t>Define standards and communication protocols that support information sharing between critical parties during impending extreme weather-related emergency operating conditions</w:t>
            </w:r>
          </w:p>
          <w:p w14:paraId="6CB1A376" w14:textId="13CBBB47" w:rsidR="003B06B9" w:rsidRPr="003B06B9" w:rsidRDefault="003B06B9" w:rsidP="003B06B9">
            <w:pPr>
              <w:pStyle w:val="TableText"/>
              <w:spacing w:before="60" w:after="60"/>
              <w:ind w:left="144"/>
              <w:rPr>
                <w:rFonts w:ascii="Times New Roman" w:hAnsi="Times New Roman"/>
                <w:sz w:val="18"/>
                <w:szCs w:val="18"/>
              </w:rPr>
            </w:pPr>
            <w:r w:rsidRPr="003B06B9">
              <w:rPr>
                <w:rFonts w:ascii="Times New Roman" w:hAnsi="Times New Roman"/>
                <w:sz w:val="18"/>
                <w:szCs w:val="18"/>
              </w:rPr>
              <w:t>Status: Not Started</w:t>
            </w:r>
          </w:p>
        </w:tc>
        <w:tc>
          <w:tcPr>
            <w:tcW w:w="1259" w:type="dxa"/>
          </w:tcPr>
          <w:p w14:paraId="75D8D283" w14:textId="09DC5A81" w:rsidR="003B06B9" w:rsidRPr="003B06B9" w:rsidRDefault="003B06B9" w:rsidP="003B06B9">
            <w:pPr>
              <w:pStyle w:val="TableText"/>
              <w:spacing w:before="60" w:after="60"/>
              <w:ind w:left="144"/>
              <w:jc w:val="center"/>
              <w:rPr>
                <w:rFonts w:ascii="Times New Roman" w:hAnsi="Times New Roman"/>
                <w:sz w:val="18"/>
                <w:szCs w:val="18"/>
              </w:rPr>
            </w:pPr>
            <w:r w:rsidRPr="003B06B9">
              <w:rPr>
                <w:rFonts w:ascii="Times New Roman" w:hAnsi="Times New Roman"/>
                <w:sz w:val="18"/>
                <w:szCs w:val="18"/>
              </w:rPr>
              <w:t>2022</w:t>
            </w:r>
          </w:p>
        </w:tc>
        <w:tc>
          <w:tcPr>
            <w:tcW w:w="1619" w:type="dxa"/>
          </w:tcPr>
          <w:p w14:paraId="1A10D41E" w14:textId="6588B3D1" w:rsidR="003B06B9" w:rsidRPr="003B06B9" w:rsidRDefault="003B06B9" w:rsidP="003B06B9">
            <w:pPr>
              <w:pStyle w:val="TableText"/>
              <w:spacing w:before="60" w:after="60"/>
              <w:ind w:left="144"/>
              <w:jc w:val="center"/>
              <w:rPr>
                <w:rFonts w:ascii="Times New Roman" w:hAnsi="Times New Roman"/>
                <w:color w:val="auto"/>
                <w:sz w:val="18"/>
                <w:szCs w:val="18"/>
              </w:rPr>
            </w:pPr>
            <w:r w:rsidRPr="003B06B9">
              <w:rPr>
                <w:rFonts w:ascii="Times New Roman" w:hAnsi="Times New Roman"/>
                <w:sz w:val="18"/>
                <w:szCs w:val="18"/>
              </w:rPr>
              <w:t>Joint RMQ/WEQ/WGQ BPS</w:t>
            </w:r>
          </w:p>
        </w:tc>
      </w:tr>
      <w:bookmarkEnd w:id="0"/>
      <w:tr w:rsidR="00B13449" w14:paraId="3E43618C" w14:textId="77777777" w:rsidTr="00A06EB8">
        <w:tc>
          <w:tcPr>
            <w:tcW w:w="355" w:type="dxa"/>
          </w:tcPr>
          <w:p w14:paraId="6B6921AA" w14:textId="6C607951" w:rsidR="00B13449" w:rsidRPr="00F41462" w:rsidRDefault="00B13449"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4</w:t>
            </w:r>
            <w:r w:rsidRPr="00F41462">
              <w:rPr>
                <w:rFonts w:ascii="Times New Roman" w:hAnsi="Times New Roman"/>
                <w:b/>
                <w:color w:val="auto"/>
                <w:sz w:val="18"/>
                <w:szCs w:val="18"/>
              </w:rPr>
              <w:t>.</w:t>
            </w:r>
          </w:p>
        </w:tc>
        <w:tc>
          <w:tcPr>
            <w:tcW w:w="9342" w:type="dxa"/>
            <w:gridSpan w:val="6"/>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4"/>
            </w:r>
          </w:p>
        </w:tc>
      </w:tr>
      <w:tr w:rsidR="00700630" w14:paraId="12A5B3AD" w14:textId="77777777" w:rsidTr="00A06EB8">
        <w:tc>
          <w:tcPr>
            <w:tcW w:w="355"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56069253" w14:textId="72E335B7" w:rsidR="00700630" w:rsidRDefault="00700630" w:rsidP="00A374B4">
            <w:pPr>
              <w:keepNext/>
              <w:spacing w:before="60" w:after="60"/>
              <w:ind w:left="144"/>
              <w:rPr>
                <w:sz w:val="18"/>
                <w:szCs w:val="18"/>
              </w:rPr>
            </w:pPr>
            <w:r>
              <w:rPr>
                <w:sz w:val="18"/>
                <w:szCs w:val="18"/>
              </w:rPr>
              <w:t>a.</w:t>
            </w:r>
          </w:p>
        </w:tc>
        <w:tc>
          <w:tcPr>
            <w:tcW w:w="5766"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A06EB8">
        <w:tc>
          <w:tcPr>
            <w:tcW w:w="355"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089DD844" w14:textId="6B6E1C6B" w:rsidR="00700630" w:rsidRDefault="00700630" w:rsidP="00A374B4">
            <w:pPr>
              <w:keepNext/>
              <w:spacing w:before="60" w:after="60"/>
              <w:ind w:left="144"/>
              <w:rPr>
                <w:sz w:val="18"/>
                <w:szCs w:val="18"/>
              </w:rPr>
            </w:pPr>
            <w:r>
              <w:rPr>
                <w:sz w:val="18"/>
                <w:szCs w:val="18"/>
              </w:rPr>
              <w:t>b.</w:t>
            </w:r>
          </w:p>
        </w:tc>
        <w:tc>
          <w:tcPr>
            <w:tcW w:w="5766"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A06EB8">
        <w:tc>
          <w:tcPr>
            <w:tcW w:w="355"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4D63B9B8" w14:textId="67AF585E" w:rsidR="00700630" w:rsidRDefault="00700630" w:rsidP="00A374B4">
            <w:pPr>
              <w:keepNext/>
              <w:spacing w:before="60" w:after="60"/>
              <w:ind w:left="144"/>
              <w:rPr>
                <w:sz w:val="18"/>
                <w:szCs w:val="18"/>
              </w:rPr>
            </w:pPr>
            <w:r>
              <w:rPr>
                <w:sz w:val="18"/>
                <w:szCs w:val="18"/>
              </w:rPr>
              <w:t>c.</w:t>
            </w:r>
          </w:p>
        </w:tc>
        <w:tc>
          <w:tcPr>
            <w:tcW w:w="5766"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A06EB8">
        <w:tc>
          <w:tcPr>
            <w:tcW w:w="355"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618BF615" w14:textId="63280D2F" w:rsidR="00700630" w:rsidRDefault="00700630" w:rsidP="00A374B4">
            <w:pPr>
              <w:spacing w:before="60" w:after="60"/>
              <w:ind w:left="144"/>
              <w:rPr>
                <w:sz w:val="18"/>
                <w:szCs w:val="18"/>
              </w:rPr>
            </w:pPr>
            <w:r>
              <w:rPr>
                <w:sz w:val="18"/>
                <w:szCs w:val="18"/>
              </w:rPr>
              <w:t>d.</w:t>
            </w:r>
          </w:p>
        </w:tc>
        <w:tc>
          <w:tcPr>
            <w:tcW w:w="5766"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A06EB8">
        <w:tc>
          <w:tcPr>
            <w:tcW w:w="355"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48109652" w14:textId="3EB48774" w:rsidR="00700630" w:rsidRDefault="00700630" w:rsidP="00A374B4">
            <w:pPr>
              <w:spacing w:before="60" w:after="60"/>
              <w:ind w:left="144"/>
              <w:rPr>
                <w:sz w:val="18"/>
                <w:szCs w:val="18"/>
              </w:rPr>
            </w:pPr>
            <w:r>
              <w:rPr>
                <w:sz w:val="18"/>
                <w:szCs w:val="18"/>
              </w:rPr>
              <w:t>e.</w:t>
            </w:r>
          </w:p>
        </w:tc>
        <w:tc>
          <w:tcPr>
            <w:tcW w:w="5766"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A06EB8">
        <w:tc>
          <w:tcPr>
            <w:tcW w:w="355"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6EDA3106" w14:textId="477264D9" w:rsidR="00700630" w:rsidRDefault="00700630" w:rsidP="00A374B4">
            <w:pPr>
              <w:spacing w:before="60" w:after="60"/>
              <w:ind w:left="144"/>
              <w:rPr>
                <w:sz w:val="18"/>
                <w:szCs w:val="18"/>
              </w:rPr>
            </w:pPr>
            <w:r>
              <w:rPr>
                <w:sz w:val="18"/>
                <w:szCs w:val="18"/>
              </w:rPr>
              <w:t>f.</w:t>
            </w:r>
          </w:p>
        </w:tc>
        <w:tc>
          <w:tcPr>
            <w:tcW w:w="5766"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876F6F">
        <w:tc>
          <w:tcPr>
            <w:tcW w:w="355" w:type="dxa"/>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2D8D2B24" w14:textId="6B446468" w:rsidR="00700630" w:rsidRDefault="00700630" w:rsidP="00A374B4">
            <w:pPr>
              <w:spacing w:before="60" w:after="60"/>
              <w:ind w:left="144"/>
              <w:rPr>
                <w:sz w:val="18"/>
                <w:szCs w:val="18"/>
              </w:rPr>
            </w:pPr>
            <w:r>
              <w:rPr>
                <w:sz w:val="18"/>
                <w:szCs w:val="18"/>
              </w:rPr>
              <w:t>g.</w:t>
            </w:r>
          </w:p>
        </w:tc>
        <w:tc>
          <w:tcPr>
            <w:tcW w:w="5766" w:type="dxa"/>
            <w:gridSpan w:val="2"/>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19" w:type="dxa"/>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876F6F">
        <w:trPr>
          <w:trHeight w:val="278"/>
        </w:trPr>
        <w:tc>
          <w:tcPr>
            <w:tcW w:w="9697" w:type="dxa"/>
            <w:gridSpan w:val="7"/>
            <w:tcBorders>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3B06B9" w14:paraId="7AA59883" w14:textId="77777777" w:rsidTr="00876F6F">
        <w:tc>
          <w:tcPr>
            <w:tcW w:w="355" w:type="dxa"/>
            <w:tcBorders>
              <w:top w:val="single" w:sz="4" w:space="0" w:color="auto"/>
            </w:tcBorders>
          </w:tcPr>
          <w:p w14:paraId="2741B0AA" w14:textId="77777777"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360" w:type="dxa"/>
            <w:tcBorders>
              <w:top w:val="single" w:sz="4" w:space="0" w:color="auto"/>
            </w:tcBorders>
          </w:tcPr>
          <w:p w14:paraId="4403306F" w14:textId="4CC4F547" w:rsidR="003B06B9" w:rsidRDefault="00B13449"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437" w:type="dxa"/>
            <w:gridSpan w:val="2"/>
            <w:tcBorders>
              <w:top w:val="single" w:sz="4" w:space="0" w:color="auto"/>
            </w:tcBorders>
          </w:tcPr>
          <w:p w14:paraId="1E233D15" w14:textId="32E16B9E"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8545" w:type="dxa"/>
            <w:gridSpan w:val="3"/>
            <w:tcBorders>
              <w:top w:val="single" w:sz="4" w:space="0" w:color="auto"/>
            </w:tcBorders>
          </w:tcPr>
          <w:p w14:paraId="48EB0181" w14:textId="77777777" w:rsidR="003B06B9" w:rsidRDefault="003B06B9" w:rsidP="00FF753C">
            <w:pPr>
              <w:pStyle w:val="TableText"/>
              <w:keepNext/>
              <w:keepLines/>
              <w:widowControl w:val="0"/>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3B06B9" w14:paraId="68E70EA3" w14:textId="77777777" w:rsidTr="00A06EB8">
        <w:tc>
          <w:tcPr>
            <w:tcW w:w="355" w:type="dxa"/>
          </w:tcPr>
          <w:p w14:paraId="3DD8D3F3" w14:textId="77777777"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360" w:type="dxa"/>
          </w:tcPr>
          <w:p w14:paraId="669D735E" w14:textId="27985359" w:rsidR="003B06B9" w:rsidRDefault="00B13449"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437" w:type="dxa"/>
            <w:gridSpan w:val="2"/>
          </w:tcPr>
          <w:p w14:paraId="4247DC95" w14:textId="2902A331"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8545" w:type="dxa"/>
            <w:gridSpan w:val="3"/>
          </w:tcPr>
          <w:p w14:paraId="59E608A9" w14:textId="77777777" w:rsidR="003B06B9" w:rsidRDefault="003B06B9"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3B06B9" w14:paraId="5CBDD736" w14:textId="77777777" w:rsidTr="00A06EB8">
        <w:tc>
          <w:tcPr>
            <w:tcW w:w="355" w:type="dxa"/>
          </w:tcPr>
          <w:p w14:paraId="03297BDA"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121B2124" w14:textId="347DAB42"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437" w:type="dxa"/>
            <w:gridSpan w:val="2"/>
          </w:tcPr>
          <w:p w14:paraId="69811E9A" w14:textId="3A28E425" w:rsidR="003B06B9" w:rsidRDefault="003B06B9">
            <w:pPr>
              <w:pStyle w:val="TableText"/>
              <w:spacing w:before="60" w:after="60"/>
              <w:ind w:left="144"/>
              <w:rPr>
                <w:rFonts w:ascii="Times New Roman" w:hAnsi="Times New Roman"/>
                <w:color w:val="auto"/>
                <w:sz w:val="18"/>
                <w:szCs w:val="18"/>
              </w:rPr>
            </w:pPr>
          </w:p>
        </w:tc>
        <w:tc>
          <w:tcPr>
            <w:tcW w:w="8545" w:type="dxa"/>
            <w:gridSpan w:val="3"/>
          </w:tcPr>
          <w:p w14:paraId="197FF3EF" w14:textId="77777777" w:rsidR="003B06B9" w:rsidRDefault="003B06B9"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3B06B9" w14:paraId="1A19074F" w14:textId="77777777" w:rsidTr="00A06EB8">
        <w:tc>
          <w:tcPr>
            <w:tcW w:w="355" w:type="dxa"/>
          </w:tcPr>
          <w:p w14:paraId="79F62614"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01DFACDE" w14:textId="06AE20BB"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437" w:type="dxa"/>
            <w:gridSpan w:val="2"/>
          </w:tcPr>
          <w:p w14:paraId="731FC9F2" w14:textId="48BEA4F4" w:rsidR="003B06B9" w:rsidRDefault="003B06B9" w:rsidP="00EF2FCF">
            <w:pPr>
              <w:pStyle w:val="TableText"/>
              <w:spacing w:before="60" w:after="60"/>
              <w:ind w:left="144"/>
              <w:rPr>
                <w:rFonts w:ascii="Times New Roman" w:hAnsi="Times New Roman"/>
                <w:color w:val="auto"/>
                <w:sz w:val="18"/>
                <w:szCs w:val="18"/>
              </w:rPr>
            </w:pPr>
          </w:p>
        </w:tc>
        <w:tc>
          <w:tcPr>
            <w:tcW w:w="8545" w:type="dxa"/>
            <w:gridSpan w:val="3"/>
          </w:tcPr>
          <w:p w14:paraId="25932C59" w14:textId="77777777" w:rsidR="003B06B9" w:rsidRDefault="003B06B9"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3B06B9" w14:paraId="0E092914" w14:textId="77777777" w:rsidTr="00A06EB8">
        <w:tc>
          <w:tcPr>
            <w:tcW w:w="355" w:type="dxa"/>
          </w:tcPr>
          <w:p w14:paraId="4D3A2549"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DCF8E8C" w14:textId="0617C623"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437" w:type="dxa"/>
            <w:gridSpan w:val="2"/>
          </w:tcPr>
          <w:p w14:paraId="4AB53537" w14:textId="138ABB44" w:rsidR="003B06B9" w:rsidRDefault="003B06B9" w:rsidP="00EF2FCF">
            <w:pPr>
              <w:pStyle w:val="TableText"/>
              <w:spacing w:before="60" w:after="60"/>
              <w:ind w:left="144"/>
              <w:rPr>
                <w:rFonts w:ascii="Times New Roman" w:hAnsi="Times New Roman"/>
                <w:color w:val="auto"/>
                <w:sz w:val="18"/>
                <w:szCs w:val="18"/>
              </w:rPr>
            </w:pPr>
          </w:p>
        </w:tc>
        <w:tc>
          <w:tcPr>
            <w:tcW w:w="8545" w:type="dxa"/>
            <w:gridSpan w:val="3"/>
          </w:tcPr>
          <w:p w14:paraId="24C754B3" w14:textId="77777777" w:rsidR="003B06B9" w:rsidRDefault="003B06B9"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3B06B9" w14:paraId="71E70790" w14:textId="77777777" w:rsidTr="00A06EB8">
        <w:tc>
          <w:tcPr>
            <w:tcW w:w="355" w:type="dxa"/>
          </w:tcPr>
          <w:p w14:paraId="107993C6"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1C765ED" w14:textId="60ACA0C8"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437" w:type="dxa"/>
            <w:gridSpan w:val="2"/>
          </w:tcPr>
          <w:p w14:paraId="2326CC8D" w14:textId="00580E84" w:rsidR="003B06B9" w:rsidDel="00EF2FCF" w:rsidRDefault="003B06B9" w:rsidP="00EF2FCF">
            <w:pPr>
              <w:pStyle w:val="TableText"/>
              <w:spacing w:before="60" w:after="60"/>
              <w:ind w:left="144"/>
              <w:rPr>
                <w:rFonts w:ascii="Times New Roman" w:hAnsi="Times New Roman"/>
                <w:color w:val="auto"/>
                <w:sz w:val="18"/>
                <w:szCs w:val="18"/>
              </w:rPr>
            </w:pPr>
          </w:p>
        </w:tc>
        <w:tc>
          <w:tcPr>
            <w:tcW w:w="8545" w:type="dxa"/>
            <w:gridSpan w:val="3"/>
          </w:tcPr>
          <w:p w14:paraId="22820ADA" w14:textId="1BEE24F2" w:rsidR="003B06B9" w:rsidRDefault="003B06B9" w:rsidP="00FF753C">
            <w:pPr>
              <w:spacing w:before="60" w:after="60"/>
              <w:ind w:left="144"/>
              <w:rPr>
                <w:sz w:val="18"/>
                <w:szCs w:val="18"/>
              </w:rPr>
            </w:pPr>
            <w:r>
              <w:rPr>
                <w:sz w:val="18"/>
                <w:szCs w:val="18"/>
              </w:rPr>
              <w:t>Support the activities of the Retail Structure Review Committee related to standards development.</w:t>
            </w:r>
          </w:p>
        </w:tc>
      </w:tr>
      <w:tr w:rsidR="003B06B9" w14:paraId="6B906438" w14:textId="77777777" w:rsidTr="00A06EB8">
        <w:tc>
          <w:tcPr>
            <w:tcW w:w="355" w:type="dxa"/>
          </w:tcPr>
          <w:p w14:paraId="02B9823C"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4BEA0A50" w14:textId="6417C112"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437" w:type="dxa"/>
            <w:gridSpan w:val="2"/>
          </w:tcPr>
          <w:p w14:paraId="21C5FB76" w14:textId="32C1405C" w:rsidR="003B06B9" w:rsidRDefault="003B06B9" w:rsidP="00EF2FCF">
            <w:pPr>
              <w:pStyle w:val="TableText"/>
              <w:spacing w:before="60" w:after="60"/>
              <w:ind w:left="144"/>
              <w:rPr>
                <w:rFonts w:ascii="Times New Roman" w:hAnsi="Times New Roman"/>
                <w:color w:val="auto"/>
                <w:sz w:val="18"/>
                <w:szCs w:val="18"/>
              </w:rPr>
            </w:pPr>
          </w:p>
        </w:tc>
        <w:tc>
          <w:tcPr>
            <w:tcW w:w="8545" w:type="dxa"/>
            <w:gridSpan w:val="3"/>
          </w:tcPr>
          <w:p w14:paraId="434C922B" w14:textId="37EC39E1" w:rsidR="003B06B9" w:rsidRDefault="003B06B9"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A06EB8">
        <w:tc>
          <w:tcPr>
            <w:tcW w:w="9697" w:type="dxa"/>
            <w:gridSpan w:val="7"/>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3B06B9" w14:paraId="7B539D8A" w14:textId="77777777" w:rsidTr="00A06EB8">
        <w:tc>
          <w:tcPr>
            <w:tcW w:w="355" w:type="dxa"/>
          </w:tcPr>
          <w:p w14:paraId="6786FA40"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289038B4" w14:textId="5C177989"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437" w:type="dxa"/>
            <w:gridSpan w:val="2"/>
          </w:tcPr>
          <w:p w14:paraId="403B664E" w14:textId="58BA6432" w:rsidR="003B06B9" w:rsidRDefault="003B06B9">
            <w:pPr>
              <w:pStyle w:val="TableText"/>
              <w:spacing w:before="60" w:after="60"/>
              <w:ind w:left="144"/>
              <w:rPr>
                <w:rFonts w:ascii="Times New Roman" w:hAnsi="Times New Roman"/>
                <w:color w:val="auto"/>
                <w:sz w:val="18"/>
                <w:szCs w:val="18"/>
              </w:rPr>
            </w:pPr>
          </w:p>
        </w:tc>
        <w:tc>
          <w:tcPr>
            <w:tcW w:w="8545" w:type="dxa"/>
            <w:gridSpan w:val="3"/>
          </w:tcPr>
          <w:p w14:paraId="41D09E3F"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3B06B9" w14:paraId="1BB7E1DF" w14:textId="77777777" w:rsidTr="00A06EB8">
        <w:tc>
          <w:tcPr>
            <w:tcW w:w="355" w:type="dxa"/>
          </w:tcPr>
          <w:p w14:paraId="51CFC259"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7C39CAB0" w14:textId="33C713E0"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437" w:type="dxa"/>
            <w:gridSpan w:val="2"/>
          </w:tcPr>
          <w:p w14:paraId="2A5FBD0E" w14:textId="188805A0" w:rsidR="003B06B9" w:rsidRDefault="003B06B9">
            <w:pPr>
              <w:pStyle w:val="TableText"/>
              <w:spacing w:before="60" w:after="60"/>
              <w:ind w:left="144"/>
              <w:rPr>
                <w:rFonts w:ascii="Times New Roman" w:hAnsi="Times New Roman"/>
                <w:color w:val="auto"/>
                <w:sz w:val="18"/>
                <w:szCs w:val="18"/>
              </w:rPr>
            </w:pPr>
          </w:p>
        </w:tc>
        <w:tc>
          <w:tcPr>
            <w:tcW w:w="8545" w:type="dxa"/>
            <w:gridSpan w:val="3"/>
          </w:tcPr>
          <w:p w14:paraId="35E48B11"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3B06B9" w14:paraId="2ABA6D57" w14:textId="77777777" w:rsidTr="00A06EB8">
        <w:tc>
          <w:tcPr>
            <w:tcW w:w="355" w:type="dxa"/>
          </w:tcPr>
          <w:p w14:paraId="7860E18E"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AEAE7C6" w14:textId="20BB87B1"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437" w:type="dxa"/>
            <w:gridSpan w:val="2"/>
          </w:tcPr>
          <w:p w14:paraId="37B9F19C" w14:textId="34D1FFA3" w:rsidR="003B06B9" w:rsidRDefault="003B06B9">
            <w:pPr>
              <w:pStyle w:val="TableText"/>
              <w:spacing w:before="60" w:after="60"/>
              <w:ind w:left="144"/>
              <w:rPr>
                <w:rFonts w:ascii="Times New Roman" w:hAnsi="Times New Roman"/>
                <w:color w:val="auto"/>
                <w:sz w:val="18"/>
                <w:szCs w:val="18"/>
              </w:rPr>
            </w:pPr>
          </w:p>
        </w:tc>
        <w:tc>
          <w:tcPr>
            <w:tcW w:w="8545" w:type="dxa"/>
            <w:gridSpan w:val="3"/>
          </w:tcPr>
          <w:p w14:paraId="7376AC3C"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5C9CD669" w:rsidR="00C57D9C" w:rsidRDefault="00990B31" w:rsidP="00053B02">
      <w:pPr>
        <w:keepNext/>
        <w:keepLines/>
        <w:spacing w:before="480"/>
        <w:rPr>
          <w:sz w:val="18"/>
          <w:szCs w:val="18"/>
        </w:rPr>
      </w:pPr>
      <w:r>
        <w:rPr>
          <w:sz w:val="18"/>
          <w:szCs w:val="18"/>
        </w:rPr>
        <w:lastRenderedPageBreak/>
        <w:t xml:space="preserve">NAESB </w:t>
      </w:r>
      <w:r w:rsidR="00F337D6">
        <w:rPr>
          <w:sz w:val="18"/>
          <w:szCs w:val="18"/>
        </w:rPr>
        <w:t xml:space="preserve">2022 </w:t>
      </w:r>
      <w:r>
        <w:rPr>
          <w:sz w:val="18"/>
          <w:szCs w:val="18"/>
        </w:rPr>
        <w:t>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2625DE40"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40716E">
        <w:rPr>
          <w:sz w:val="18"/>
          <w:szCs w:val="18"/>
        </w:rPr>
        <w:t>Larry Lackey</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9"/>
      <w:footerReference w:type="default" r:id="rId10"/>
      <w:headerReference w:type="first" r:id="rId11"/>
      <w:footerReference w:type="firs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7AF23" w14:textId="77777777" w:rsidR="007B711A" w:rsidRDefault="007B711A">
      <w:r>
        <w:separator/>
      </w:r>
    </w:p>
  </w:endnote>
  <w:endnote w:type="continuationSeparator" w:id="0">
    <w:p w14:paraId="528524AD" w14:textId="77777777" w:rsidR="007B711A" w:rsidRDefault="007B711A">
      <w:r>
        <w:continuationSeparator/>
      </w:r>
    </w:p>
  </w:endnote>
  <w:endnote w:id="1">
    <w:p w14:paraId="067EA41E" w14:textId="159ECD18" w:rsidR="007127AE" w:rsidRDefault="007127AE">
      <w:pPr>
        <w:pStyle w:val="EndnoteText"/>
        <w:rPr>
          <w:b/>
          <w:sz w:val="18"/>
          <w:szCs w:val="18"/>
        </w:rPr>
      </w:pPr>
      <w:r>
        <w:rPr>
          <w:b/>
          <w:sz w:val="18"/>
          <w:szCs w:val="18"/>
        </w:rPr>
        <w:t>RMQ 2022 Annual Plan End Notes:</w:t>
      </w:r>
    </w:p>
    <w:p w14:paraId="436ABCC9" w14:textId="77777777" w:rsidR="007127AE" w:rsidRDefault="007127AE" w:rsidP="00FF753C">
      <w:pPr>
        <w:pStyle w:val="EndnoteText"/>
        <w:spacing w:before="40" w:after="40"/>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6091" w14:textId="0B831766" w:rsidR="009A06A5" w:rsidRDefault="009A06A5" w:rsidP="00854A78">
    <w:pPr>
      <w:pStyle w:val="Footer"/>
      <w:pBdr>
        <w:top w:val="single" w:sz="4" w:space="1" w:color="auto"/>
      </w:pBdr>
      <w:ind w:right="-180"/>
      <w:jc w:val="right"/>
      <w:rPr>
        <w:sz w:val="18"/>
        <w:szCs w:val="18"/>
      </w:rPr>
    </w:pPr>
    <w:bookmarkStart w:id="1" w:name="_Hlk20821358"/>
    <w:r>
      <w:rPr>
        <w:sz w:val="18"/>
        <w:szCs w:val="18"/>
      </w:rPr>
      <w:t>2022 RMQ Annual Plan Adopted by the Board of Directors</w:t>
    </w:r>
    <w:r w:rsidRPr="00CB622C">
      <w:rPr>
        <w:bCs/>
        <w:sz w:val="18"/>
        <w:szCs w:val="18"/>
      </w:rPr>
      <w:t xml:space="preserve"> on </w:t>
    </w:r>
    <w:r w:rsidR="0010580E">
      <w:rPr>
        <w:bCs/>
        <w:sz w:val="18"/>
        <w:szCs w:val="18"/>
      </w:rPr>
      <w:t>September 1</w:t>
    </w:r>
    <w:r w:rsidR="00AE2654">
      <w:rPr>
        <w:bCs/>
        <w:sz w:val="18"/>
        <w:szCs w:val="18"/>
      </w:rPr>
      <w:t>, 2022</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9461" w14:textId="77777777" w:rsidR="007B711A" w:rsidRDefault="007B711A">
      <w:r>
        <w:separator/>
      </w:r>
    </w:p>
  </w:footnote>
  <w:footnote w:type="continuationSeparator" w:id="0">
    <w:p w14:paraId="21419A76" w14:textId="77777777" w:rsidR="007B711A" w:rsidRDefault="007B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446FE"/>
    <w:rsid w:val="00046D01"/>
    <w:rsid w:val="00053B02"/>
    <w:rsid w:val="0007235B"/>
    <w:rsid w:val="000742D1"/>
    <w:rsid w:val="000753AF"/>
    <w:rsid w:val="000A489E"/>
    <w:rsid w:val="000B56CB"/>
    <w:rsid w:val="000B6D4B"/>
    <w:rsid w:val="000C2516"/>
    <w:rsid w:val="000D2497"/>
    <w:rsid w:val="000D3022"/>
    <w:rsid w:val="000E296A"/>
    <w:rsid w:val="000E2B86"/>
    <w:rsid w:val="000E3B59"/>
    <w:rsid w:val="000F2FC2"/>
    <w:rsid w:val="0010580E"/>
    <w:rsid w:val="00105A21"/>
    <w:rsid w:val="0010655C"/>
    <w:rsid w:val="00106FE3"/>
    <w:rsid w:val="0011000F"/>
    <w:rsid w:val="00120CFD"/>
    <w:rsid w:val="00122558"/>
    <w:rsid w:val="00134A8C"/>
    <w:rsid w:val="00135445"/>
    <w:rsid w:val="00140316"/>
    <w:rsid w:val="00145AC2"/>
    <w:rsid w:val="001477D5"/>
    <w:rsid w:val="001506B8"/>
    <w:rsid w:val="00153460"/>
    <w:rsid w:val="00154BE6"/>
    <w:rsid w:val="00156483"/>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2318C"/>
    <w:rsid w:val="0022509D"/>
    <w:rsid w:val="002253D1"/>
    <w:rsid w:val="00227A60"/>
    <w:rsid w:val="00232B93"/>
    <w:rsid w:val="00234958"/>
    <w:rsid w:val="00235E07"/>
    <w:rsid w:val="00245442"/>
    <w:rsid w:val="00245B63"/>
    <w:rsid w:val="00247717"/>
    <w:rsid w:val="002509C2"/>
    <w:rsid w:val="002612F6"/>
    <w:rsid w:val="00261D76"/>
    <w:rsid w:val="0026207B"/>
    <w:rsid w:val="00262970"/>
    <w:rsid w:val="00265DFD"/>
    <w:rsid w:val="00271DC3"/>
    <w:rsid w:val="0028487F"/>
    <w:rsid w:val="00292B10"/>
    <w:rsid w:val="00292CA0"/>
    <w:rsid w:val="002A214C"/>
    <w:rsid w:val="002B14D5"/>
    <w:rsid w:val="002B6956"/>
    <w:rsid w:val="002C5947"/>
    <w:rsid w:val="002E440B"/>
    <w:rsid w:val="002E5671"/>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1FD9"/>
    <w:rsid w:val="003554B0"/>
    <w:rsid w:val="00360C5A"/>
    <w:rsid w:val="00361942"/>
    <w:rsid w:val="003635D0"/>
    <w:rsid w:val="00363668"/>
    <w:rsid w:val="0037625C"/>
    <w:rsid w:val="0038246B"/>
    <w:rsid w:val="00382DE3"/>
    <w:rsid w:val="00383A26"/>
    <w:rsid w:val="003850C1"/>
    <w:rsid w:val="00387A25"/>
    <w:rsid w:val="00391381"/>
    <w:rsid w:val="00391B14"/>
    <w:rsid w:val="00394F7C"/>
    <w:rsid w:val="003A5196"/>
    <w:rsid w:val="003B06B9"/>
    <w:rsid w:val="003B4465"/>
    <w:rsid w:val="003C6064"/>
    <w:rsid w:val="003E2058"/>
    <w:rsid w:val="003E3358"/>
    <w:rsid w:val="003F010E"/>
    <w:rsid w:val="003F0E27"/>
    <w:rsid w:val="003F1C9E"/>
    <w:rsid w:val="003F5164"/>
    <w:rsid w:val="004021DD"/>
    <w:rsid w:val="0040716E"/>
    <w:rsid w:val="00412246"/>
    <w:rsid w:val="004129DA"/>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55B"/>
    <w:rsid w:val="004C7D00"/>
    <w:rsid w:val="004D1838"/>
    <w:rsid w:val="004D327E"/>
    <w:rsid w:val="004D3EA8"/>
    <w:rsid w:val="004D59AE"/>
    <w:rsid w:val="004D650B"/>
    <w:rsid w:val="004F5CB6"/>
    <w:rsid w:val="005029DB"/>
    <w:rsid w:val="0051543A"/>
    <w:rsid w:val="00523387"/>
    <w:rsid w:val="005347D6"/>
    <w:rsid w:val="00534C5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A2D09"/>
    <w:rsid w:val="005B6DAD"/>
    <w:rsid w:val="005C1A5C"/>
    <w:rsid w:val="005C1B63"/>
    <w:rsid w:val="005C3007"/>
    <w:rsid w:val="005C6C80"/>
    <w:rsid w:val="005C7FCD"/>
    <w:rsid w:val="005D18E7"/>
    <w:rsid w:val="005D19CA"/>
    <w:rsid w:val="005D5FC3"/>
    <w:rsid w:val="005D7384"/>
    <w:rsid w:val="005E7B10"/>
    <w:rsid w:val="005F2530"/>
    <w:rsid w:val="005F321C"/>
    <w:rsid w:val="005F3EE9"/>
    <w:rsid w:val="005F476C"/>
    <w:rsid w:val="006040D6"/>
    <w:rsid w:val="00614669"/>
    <w:rsid w:val="00616515"/>
    <w:rsid w:val="00617644"/>
    <w:rsid w:val="00617DFF"/>
    <w:rsid w:val="0062095F"/>
    <w:rsid w:val="00622A87"/>
    <w:rsid w:val="00635298"/>
    <w:rsid w:val="0063533D"/>
    <w:rsid w:val="00645815"/>
    <w:rsid w:val="006478CD"/>
    <w:rsid w:val="006737C4"/>
    <w:rsid w:val="00673F4B"/>
    <w:rsid w:val="00674E74"/>
    <w:rsid w:val="006911CF"/>
    <w:rsid w:val="006966E1"/>
    <w:rsid w:val="006A1FE0"/>
    <w:rsid w:val="006A6CE6"/>
    <w:rsid w:val="006B166E"/>
    <w:rsid w:val="006C01CA"/>
    <w:rsid w:val="006C1CED"/>
    <w:rsid w:val="006C4913"/>
    <w:rsid w:val="006D1C15"/>
    <w:rsid w:val="006D1C9C"/>
    <w:rsid w:val="006D3129"/>
    <w:rsid w:val="006E0375"/>
    <w:rsid w:val="006E108E"/>
    <w:rsid w:val="006E3C2C"/>
    <w:rsid w:val="006F2321"/>
    <w:rsid w:val="00700214"/>
    <w:rsid w:val="00700630"/>
    <w:rsid w:val="00703946"/>
    <w:rsid w:val="00710EB7"/>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F7C26"/>
    <w:rsid w:val="008007EB"/>
    <w:rsid w:val="008010F9"/>
    <w:rsid w:val="0080443A"/>
    <w:rsid w:val="00807F53"/>
    <w:rsid w:val="00815483"/>
    <w:rsid w:val="00836FE9"/>
    <w:rsid w:val="0084406E"/>
    <w:rsid w:val="008539A7"/>
    <w:rsid w:val="00854A78"/>
    <w:rsid w:val="00855B5C"/>
    <w:rsid w:val="0086038D"/>
    <w:rsid w:val="008632FA"/>
    <w:rsid w:val="00876F6F"/>
    <w:rsid w:val="00884B81"/>
    <w:rsid w:val="008935B5"/>
    <w:rsid w:val="00893AC5"/>
    <w:rsid w:val="008C245A"/>
    <w:rsid w:val="008C65A1"/>
    <w:rsid w:val="008D0CC9"/>
    <w:rsid w:val="008D2D75"/>
    <w:rsid w:val="008D3D6A"/>
    <w:rsid w:val="008D5F77"/>
    <w:rsid w:val="008E2130"/>
    <w:rsid w:val="008E3985"/>
    <w:rsid w:val="008E41AD"/>
    <w:rsid w:val="008E6638"/>
    <w:rsid w:val="008E7B56"/>
    <w:rsid w:val="008E7C30"/>
    <w:rsid w:val="008F1C21"/>
    <w:rsid w:val="008F4472"/>
    <w:rsid w:val="008F6575"/>
    <w:rsid w:val="008F75DE"/>
    <w:rsid w:val="00900F6A"/>
    <w:rsid w:val="00901DBE"/>
    <w:rsid w:val="00911472"/>
    <w:rsid w:val="0091187B"/>
    <w:rsid w:val="00921FE1"/>
    <w:rsid w:val="009340A7"/>
    <w:rsid w:val="00934851"/>
    <w:rsid w:val="00936587"/>
    <w:rsid w:val="009407FB"/>
    <w:rsid w:val="0094642D"/>
    <w:rsid w:val="009520F4"/>
    <w:rsid w:val="00957FB2"/>
    <w:rsid w:val="0096298D"/>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64BA"/>
    <w:rsid w:val="009D7787"/>
    <w:rsid w:val="009E1730"/>
    <w:rsid w:val="00A06EB8"/>
    <w:rsid w:val="00A10AC1"/>
    <w:rsid w:val="00A10F56"/>
    <w:rsid w:val="00A14120"/>
    <w:rsid w:val="00A26C7E"/>
    <w:rsid w:val="00A30004"/>
    <w:rsid w:val="00A33FA7"/>
    <w:rsid w:val="00A374B4"/>
    <w:rsid w:val="00A3794F"/>
    <w:rsid w:val="00A42D0F"/>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F06"/>
    <w:rsid w:val="00AD58F1"/>
    <w:rsid w:val="00AE067A"/>
    <w:rsid w:val="00AE1100"/>
    <w:rsid w:val="00AE16C9"/>
    <w:rsid w:val="00AE2654"/>
    <w:rsid w:val="00AE746C"/>
    <w:rsid w:val="00B0322C"/>
    <w:rsid w:val="00B113DA"/>
    <w:rsid w:val="00B11C14"/>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32D3"/>
    <w:rsid w:val="00B847C6"/>
    <w:rsid w:val="00B8671F"/>
    <w:rsid w:val="00B9098D"/>
    <w:rsid w:val="00B948D8"/>
    <w:rsid w:val="00B9499E"/>
    <w:rsid w:val="00BA6AC3"/>
    <w:rsid w:val="00BB2EC0"/>
    <w:rsid w:val="00BB4D5D"/>
    <w:rsid w:val="00BB54AE"/>
    <w:rsid w:val="00BB6A3F"/>
    <w:rsid w:val="00BD3AA9"/>
    <w:rsid w:val="00BE1AA5"/>
    <w:rsid w:val="00BE3C39"/>
    <w:rsid w:val="00BE66D0"/>
    <w:rsid w:val="00BF18F0"/>
    <w:rsid w:val="00BF1DF7"/>
    <w:rsid w:val="00C044C1"/>
    <w:rsid w:val="00C07906"/>
    <w:rsid w:val="00C150FF"/>
    <w:rsid w:val="00C152EF"/>
    <w:rsid w:val="00C212DB"/>
    <w:rsid w:val="00C22816"/>
    <w:rsid w:val="00C23CAA"/>
    <w:rsid w:val="00C23DF1"/>
    <w:rsid w:val="00C31A61"/>
    <w:rsid w:val="00C417BD"/>
    <w:rsid w:val="00C42409"/>
    <w:rsid w:val="00C47681"/>
    <w:rsid w:val="00C50762"/>
    <w:rsid w:val="00C51AB1"/>
    <w:rsid w:val="00C5264B"/>
    <w:rsid w:val="00C53050"/>
    <w:rsid w:val="00C55219"/>
    <w:rsid w:val="00C55570"/>
    <w:rsid w:val="00C57D9C"/>
    <w:rsid w:val="00C66038"/>
    <w:rsid w:val="00C70FBC"/>
    <w:rsid w:val="00C76CE6"/>
    <w:rsid w:val="00C8321E"/>
    <w:rsid w:val="00CA2FFE"/>
    <w:rsid w:val="00CA56E9"/>
    <w:rsid w:val="00CA6110"/>
    <w:rsid w:val="00CB2F99"/>
    <w:rsid w:val="00CB5538"/>
    <w:rsid w:val="00CB622C"/>
    <w:rsid w:val="00CB7E72"/>
    <w:rsid w:val="00CC1BF5"/>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59AC"/>
    <w:rsid w:val="00DA733F"/>
    <w:rsid w:val="00DD1FA5"/>
    <w:rsid w:val="00DD2FF9"/>
    <w:rsid w:val="00DD5E4E"/>
    <w:rsid w:val="00DD7067"/>
    <w:rsid w:val="00DE04FD"/>
    <w:rsid w:val="00DE3E25"/>
    <w:rsid w:val="00DE3F89"/>
    <w:rsid w:val="00DF42BC"/>
    <w:rsid w:val="00DF5DAC"/>
    <w:rsid w:val="00E008ED"/>
    <w:rsid w:val="00E02B53"/>
    <w:rsid w:val="00E06F4B"/>
    <w:rsid w:val="00E21947"/>
    <w:rsid w:val="00E23E1D"/>
    <w:rsid w:val="00E2569F"/>
    <w:rsid w:val="00E31600"/>
    <w:rsid w:val="00E356E1"/>
    <w:rsid w:val="00E3796D"/>
    <w:rsid w:val="00E37A90"/>
    <w:rsid w:val="00E40A44"/>
    <w:rsid w:val="00E42336"/>
    <w:rsid w:val="00E53EDF"/>
    <w:rsid w:val="00E55FCF"/>
    <w:rsid w:val="00E67311"/>
    <w:rsid w:val="00E679B1"/>
    <w:rsid w:val="00E708EE"/>
    <w:rsid w:val="00E74B3F"/>
    <w:rsid w:val="00E7505D"/>
    <w:rsid w:val="00E908F7"/>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71DD"/>
    <w:rsid w:val="00F22FC1"/>
    <w:rsid w:val="00F337D6"/>
    <w:rsid w:val="00F41462"/>
    <w:rsid w:val="00F47155"/>
    <w:rsid w:val="00F56B25"/>
    <w:rsid w:val="00F56D9B"/>
    <w:rsid w:val="00F60016"/>
    <w:rsid w:val="00F65133"/>
    <w:rsid w:val="00F72A93"/>
    <w:rsid w:val="00F7660A"/>
    <w:rsid w:val="00F76914"/>
    <w:rsid w:val="00F773A6"/>
    <w:rsid w:val="00F8007C"/>
    <w:rsid w:val="00F869D9"/>
    <w:rsid w:val="00FA2C47"/>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21006.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71B1-F902-477C-B872-D84A7601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3</cp:revision>
  <cp:lastPrinted>2019-09-25T19:22:00Z</cp:lastPrinted>
  <dcterms:created xsi:type="dcterms:W3CDTF">2022-09-13T17:46:00Z</dcterms:created>
  <dcterms:modified xsi:type="dcterms:W3CDTF">2022-09-13T17:49:00Z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