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E3F" w:rsidRDefault="009D0BA5" w:rsidP="009D0BA5">
      <w:pPr>
        <w:tabs>
          <w:tab w:val="left" w:pos="1200"/>
        </w:tabs>
        <w:jc w:val="center"/>
        <w:rPr>
          <w:b/>
        </w:rPr>
      </w:pPr>
      <w:r w:rsidRPr="009D0BA5">
        <w:rPr>
          <w:b/>
        </w:rPr>
        <w:t xml:space="preserve">NAESB Board Gas-Electric Harmonization Committee Group </w:t>
      </w:r>
      <w:r w:rsidR="00EC6EA1">
        <w:rPr>
          <w:b/>
        </w:rPr>
        <w:t>3</w:t>
      </w:r>
    </w:p>
    <w:p w:rsidR="00982564" w:rsidRDefault="00EC6EA1" w:rsidP="009D0BA5">
      <w:pPr>
        <w:tabs>
          <w:tab w:val="left" w:pos="1200"/>
        </w:tabs>
        <w:jc w:val="center"/>
        <w:rPr>
          <w:b/>
        </w:rPr>
      </w:pPr>
      <w:r>
        <w:rPr>
          <w:b/>
        </w:rPr>
        <w:t>Operations and Commercial Practices</w:t>
      </w:r>
    </w:p>
    <w:p w:rsidR="009D0BA5" w:rsidRDefault="00EC6EA1" w:rsidP="009D0BA5">
      <w:pPr>
        <w:tabs>
          <w:tab w:val="left" w:pos="1200"/>
        </w:tabs>
        <w:jc w:val="center"/>
        <w:rPr>
          <w:b/>
        </w:rPr>
      </w:pPr>
      <w:r>
        <w:rPr>
          <w:b/>
        </w:rPr>
        <w:t>March 2</w:t>
      </w:r>
      <w:r w:rsidR="009D0BA5">
        <w:rPr>
          <w:b/>
        </w:rPr>
        <w:t>, 2012</w:t>
      </w:r>
    </w:p>
    <w:p w:rsidR="009D0BA5" w:rsidRDefault="009D0BA5" w:rsidP="009D0BA5">
      <w:pPr>
        <w:tabs>
          <w:tab w:val="left" w:pos="1200"/>
        </w:tabs>
        <w:jc w:val="center"/>
        <w:rPr>
          <w:b/>
        </w:rPr>
      </w:pPr>
    </w:p>
    <w:p w:rsidR="009D0BA5" w:rsidRDefault="009D0BA5" w:rsidP="009D0BA5">
      <w:pPr>
        <w:tabs>
          <w:tab w:val="left" w:pos="1200"/>
        </w:tabs>
      </w:pPr>
    </w:p>
    <w:p w:rsidR="00772313" w:rsidRDefault="00772313" w:rsidP="00772313">
      <w:pPr>
        <w:tabs>
          <w:tab w:val="left" w:pos="1200"/>
        </w:tabs>
        <w:rPr>
          <w:b/>
          <w:u w:val="single"/>
        </w:rPr>
      </w:pPr>
      <w:r>
        <w:rPr>
          <w:b/>
          <w:u w:val="single"/>
        </w:rPr>
        <w:t>Key Questions and definition of the problem:</w:t>
      </w:r>
    </w:p>
    <w:p w:rsidR="004E0591" w:rsidRPr="00982564" w:rsidRDefault="00112341" w:rsidP="004A4054">
      <w:pPr>
        <w:numPr>
          <w:ilvl w:val="0"/>
          <w:numId w:val="37"/>
        </w:numPr>
        <w:tabs>
          <w:tab w:val="left" w:pos="1200"/>
        </w:tabs>
        <w:spacing w:before="120"/>
      </w:pPr>
      <w:r>
        <w:t xml:space="preserve">To support the harmonization of the two markets, what has to happen to </w:t>
      </w:r>
      <w:r w:rsidR="009E29AF">
        <w:t>synchronize</w:t>
      </w:r>
      <w:r>
        <w:t xml:space="preserve"> and service the growing capacity market in the existing infrastructure, and what has to happen to add capacity to the market?</w:t>
      </w:r>
    </w:p>
    <w:p w:rsidR="00772313" w:rsidRPr="00982564" w:rsidRDefault="00772313" w:rsidP="00772313">
      <w:pPr>
        <w:tabs>
          <w:tab w:val="left" w:pos="1200"/>
        </w:tabs>
        <w:rPr>
          <w:u w:val="single"/>
        </w:rPr>
      </w:pPr>
    </w:p>
    <w:p w:rsidR="009D0BA5" w:rsidRDefault="009D0BA5" w:rsidP="009D0BA5">
      <w:pPr>
        <w:tabs>
          <w:tab w:val="left" w:pos="1200"/>
        </w:tabs>
        <w:rPr>
          <w:b/>
          <w:u w:val="single"/>
        </w:rPr>
      </w:pPr>
      <w:r w:rsidRPr="009D0BA5">
        <w:rPr>
          <w:b/>
          <w:u w:val="single"/>
        </w:rPr>
        <w:t>Core Issues</w:t>
      </w:r>
    </w:p>
    <w:p w:rsidR="00112341" w:rsidRPr="00112341" w:rsidRDefault="00112341" w:rsidP="00112341">
      <w:pPr>
        <w:numPr>
          <w:ilvl w:val="0"/>
          <w:numId w:val="37"/>
        </w:numPr>
        <w:tabs>
          <w:tab w:val="left" w:pos="1200"/>
          <w:tab w:val="left" w:pos="1440"/>
        </w:tabs>
        <w:spacing w:before="120"/>
      </w:pPr>
      <w:r>
        <w:t>Scheduling and inconsistences in the interactions of the two markets impacts the effectiveness of providing gas and electric service.</w:t>
      </w:r>
    </w:p>
    <w:p w:rsidR="00112341" w:rsidRPr="00112341" w:rsidRDefault="00112341" w:rsidP="00112341">
      <w:pPr>
        <w:numPr>
          <w:ilvl w:val="0"/>
          <w:numId w:val="37"/>
        </w:numPr>
        <w:tabs>
          <w:tab w:val="left" w:pos="1200"/>
        </w:tabs>
        <w:spacing w:before="120"/>
      </w:pPr>
      <w:r>
        <w:t xml:space="preserve">Capacity issues including the availability and determination to use firm and interruptible </w:t>
      </w:r>
      <w:r w:rsidR="00DB272D">
        <w:t>capacity to support load requirements is a core issue in the interdependencies of the two markets</w:t>
      </w:r>
      <w:r w:rsidR="009E29AF">
        <w:t xml:space="preserve">, for both the day of and the day </w:t>
      </w:r>
      <w:proofErr w:type="gramStart"/>
      <w:r w:rsidR="009E29AF">
        <w:t>ahead</w:t>
      </w:r>
      <w:proofErr w:type="gramEnd"/>
      <w:r w:rsidR="009E29AF">
        <w:t xml:space="preserve"> markets</w:t>
      </w:r>
      <w:r w:rsidR="00DB272D">
        <w:t>.</w:t>
      </w:r>
      <w:r>
        <w:t xml:space="preserve"> </w:t>
      </w:r>
    </w:p>
    <w:p w:rsidR="00112341" w:rsidRPr="00112341" w:rsidRDefault="00112341" w:rsidP="00112341">
      <w:pPr>
        <w:numPr>
          <w:ilvl w:val="0"/>
          <w:numId w:val="37"/>
        </w:numPr>
        <w:tabs>
          <w:tab w:val="left" w:pos="1200"/>
        </w:tabs>
        <w:spacing w:before="120"/>
      </w:pPr>
      <w:r>
        <w:t xml:space="preserve">Curtailment policies and practices </w:t>
      </w:r>
      <w:r w:rsidR="00DB272D">
        <w:t>is a component of the interdependency of the two markets that impacts the  harmonization.</w:t>
      </w:r>
    </w:p>
    <w:p w:rsidR="009D0BA5" w:rsidRDefault="00DB272D" w:rsidP="00B034D3">
      <w:pPr>
        <w:numPr>
          <w:ilvl w:val="0"/>
          <w:numId w:val="37"/>
        </w:numPr>
        <w:tabs>
          <w:tab w:val="left" w:pos="1200"/>
        </w:tabs>
        <w:spacing w:before="120"/>
      </w:pPr>
      <w:r>
        <w:t>Additional and more formal structure for communications of the parties in the gas and electric markets is needed, particularly for unanticipated demand situations.</w:t>
      </w:r>
    </w:p>
    <w:p w:rsidR="009D0BA5" w:rsidRDefault="009D0BA5" w:rsidP="009D0BA5">
      <w:pPr>
        <w:tabs>
          <w:tab w:val="left" w:pos="1200"/>
        </w:tabs>
      </w:pPr>
    </w:p>
    <w:p w:rsidR="009D0BA5" w:rsidRDefault="009D0BA5" w:rsidP="009D0BA5">
      <w:pPr>
        <w:tabs>
          <w:tab w:val="left" w:pos="1200"/>
        </w:tabs>
        <w:rPr>
          <w:b/>
          <w:u w:val="single"/>
        </w:rPr>
      </w:pPr>
      <w:r w:rsidRPr="009D0BA5">
        <w:rPr>
          <w:b/>
          <w:u w:val="single"/>
        </w:rPr>
        <w:t>Secondary / Cross-cutting Issues</w:t>
      </w:r>
    </w:p>
    <w:p w:rsidR="002A759C" w:rsidRPr="00DB272D" w:rsidRDefault="00112341" w:rsidP="00112341">
      <w:pPr>
        <w:numPr>
          <w:ilvl w:val="0"/>
          <w:numId w:val="37"/>
        </w:numPr>
        <w:tabs>
          <w:tab w:val="left" w:pos="1200"/>
        </w:tabs>
        <w:spacing w:before="120"/>
        <w:rPr>
          <w:b/>
          <w:u w:val="single"/>
        </w:rPr>
      </w:pPr>
      <w:r>
        <w:t xml:space="preserve">All communication issues noted </w:t>
      </w:r>
      <w:r w:rsidR="00DB272D">
        <w:t>are a cross-over issue with group 1.</w:t>
      </w:r>
    </w:p>
    <w:p w:rsidR="00DB272D" w:rsidRDefault="00DB272D" w:rsidP="00112341">
      <w:pPr>
        <w:numPr>
          <w:ilvl w:val="0"/>
          <w:numId w:val="37"/>
        </w:numPr>
        <w:tabs>
          <w:tab w:val="left" w:pos="1200"/>
        </w:tabs>
        <w:spacing w:before="120"/>
        <w:rPr>
          <w:b/>
          <w:u w:val="single"/>
        </w:rPr>
      </w:pPr>
      <w:r>
        <w:t>All scheduling issues noted are a cross over issue with group 2.</w:t>
      </w:r>
    </w:p>
    <w:p w:rsidR="009D0BA5" w:rsidRDefault="009D0BA5" w:rsidP="00B034D3">
      <w:pPr>
        <w:tabs>
          <w:tab w:val="left" w:pos="1200"/>
        </w:tabs>
      </w:pPr>
    </w:p>
    <w:p w:rsidR="00B034D3" w:rsidRDefault="00B034D3" w:rsidP="00B034D3">
      <w:pPr>
        <w:tabs>
          <w:tab w:val="left" w:pos="1200"/>
        </w:tabs>
        <w:rPr>
          <w:b/>
          <w:u w:val="single"/>
        </w:rPr>
      </w:pPr>
      <w:r w:rsidRPr="00B034D3">
        <w:rPr>
          <w:b/>
          <w:u w:val="single"/>
        </w:rPr>
        <w:t xml:space="preserve">Observations Made by the Group on March </w:t>
      </w:r>
      <w:r w:rsidR="00E95526">
        <w:rPr>
          <w:b/>
          <w:u w:val="single"/>
        </w:rPr>
        <w:t>2</w:t>
      </w:r>
      <w:r w:rsidRPr="00B034D3">
        <w:rPr>
          <w:b/>
          <w:u w:val="single"/>
        </w:rPr>
        <w:t>, 2012</w:t>
      </w:r>
    </w:p>
    <w:p w:rsidR="00EC6EA1" w:rsidRPr="00E95526" w:rsidRDefault="00E95526" w:rsidP="00E95526">
      <w:pPr>
        <w:numPr>
          <w:ilvl w:val="0"/>
          <w:numId w:val="37"/>
        </w:numPr>
        <w:tabs>
          <w:tab w:val="left" w:pos="1200"/>
        </w:tabs>
        <w:spacing w:before="120"/>
        <w:rPr>
          <w:b/>
          <w:u w:val="single"/>
        </w:rPr>
      </w:pPr>
      <w:r>
        <w:t xml:space="preserve">Overlap between group 2 and </w:t>
      </w:r>
      <w:r w:rsidR="00DB272D">
        <w:t xml:space="preserve">group </w:t>
      </w:r>
      <w:r>
        <w:t>3 is becomi</w:t>
      </w:r>
      <w:r w:rsidR="00DB272D">
        <w:t>ng evident from the notes taken in yesterday’s meeting.</w:t>
      </w:r>
      <w:r>
        <w:t xml:space="preserve"> </w:t>
      </w:r>
    </w:p>
    <w:p w:rsidR="00E95526" w:rsidRPr="00E95526" w:rsidRDefault="00E95526" w:rsidP="00E95526">
      <w:pPr>
        <w:numPr>
          <w:ilvl w:val="0"/>
          <w:numId w:val="37"/>
        </w:numPr>
        <w:tabs>
          <w:tab w:val="left" w:pos="1200"/>
        </w:tabs>
        <w:spacing w:before="120"/>
        <w:rPr>
          <w:b/>
          <w:u w:val="single"/>
        </w:rPr>
      </w:pPr>
      <w:r>
        <w:t xml:space="preserve">Categories of topics to be considered </w:t>
      </w:r>
      <w:r w:rsidR="00DB272D">
        <w:t xml:space="preserve">for group 3 </w:t>
      </w:r>
      <w:r>
        <w:t>are:</w:t>
      </w:r>
    </w:p>
    <w:p w:rsidR="00E95526" w:rsidRPr="00E95526" w:rsidRDefault="003F7464" w:rsidP="00E95526">
      <w:pPr>
        <w:numPr>
          <w:ilvl w:val="1"/>
          <w:numId w:val="39"/>
        </w:numPr>
        <w:tabs>
          <w:tab w:val="left" w:pos="1440"/>
        </w:tabs>
        <w:spacing w:before="120"/>
        <w:rPr>
          <w:b/>
          <w:u w:val="single"/>
        </w:rPr>
      </w:pPr>
      <w:r>
        <w:t xml:space="preserve">Scheduling.  </w:t>
      </w:r>
      <w:r w:rsidR="00E95526">
        <w:t>Scheduling between the two markets</w:t>
      </w:r>
      <w:r>
        <w:t xml:space="preserve"> is a cross-over issue that impacts operational and commercial practices.</w:t>
      </w:r>
    </w:p>
    <w:p w:rsidR="006A3FD4" w:rsidRPr="00E95526" w:rsidRDefault="00E95526" w:rsidP="006A3FD4">
      <w:pPr>
        <w:numPr>
          <w:ilvl w:val="1"/>
          <w:numId w:val="39"/>
        </w:numPr>
        <w:spacing w:before="120"/>
        <w:rPr>
          <w:b/>
          <w:u w:val="single"/>
        </w:rPr>
      </w:pPr>
      <w:r>
        <w:t>Capacity</w:t>
      </w:r>
      <w:r w:rsidR="003F7464">
        <w:t>.  Capacity</w:t>
      </w:r>
      <w:r>
        <w:t xml:space="preserve"> issues – firm versus interruptible</w:t>
      </w:r>
      <w:r w:rsidR="003F7464">
        <w:t xml:space="preserve"> service is an issue that will also impact operational and commercial practices.</w:t>
      </w:r>
      <w:r w:rsidR="00802DFF">
        <w:t xml:space="preserve">  </w:t>
      </w:r>
      <w:r w:rsidR="006A3FD4">
        <w:t>Reliability of service is a necessary component of capacity – such as the reliability of linepack and storage to serve market.</w:t>
      </w:r>
    </w:p>
    <w:p w:rsidR="003F7464" w:rsidRPr="006A3FD4" w:rsidRDefault="003F7464" w:rsidP="00E95526">
      <w:pPr>
        <w:numPr>
          <w:ilvl w:val="1"/>
          <w:numId w:val="39"/>
        </w:numPr>
        <w:spacing w:before="120"/>
        <w:rPr>
          <w:b/>
          <w:u w:val="single"/>
        </w:rPr>
      </w:pPr>
      <w:r>
        <w:t xml:space="preserve">Curtailment.  </w:t>
      </w:r>
      <w:r w:rsidR="00E95526">
        <w:t xml:space="preserve">Curtailment policies at the state level have not been reviewed for some states in several years.  NARUC has a study </w:t>
      </w:r>
      <w:r w:rsidR="0040557D">
        <w:t xml:space="preserve">on state curtailment policies </w:t>
      </w:r>
      <w:r w:rsidR="00E95526">
        <w:t>available that will be added to the list of documents.  The report was completed in 2005-2006.</w:t>
      </w:r>
      <w:r>
        <w:t xml:space="preserve">  All end use curtailment plans are pro-rata at the interstate gas pipeline level.  At the state level, the LDC capacity plan will be enacted but it will not overrule the pro-rata curtailment at the interstate level.  Some generators may purchase gas from LDCs and as such it may be both a federal and state issue.  Storage factors into curtailment policies and relieve bottlenecks that could occur during peak periods.</w:t>
      </w:r>
      <w:r w:rsidR="00802DFF">
        <w:t xml:space="preserve"> If a state wants a generator served by an LDC wants the gas moved, are there adequate </w:t>
      </w:r>
      <w:smartTag w:uri="urn:schemas-microsoft-com:office:smarttags" w:element="PersonName">
        <w:r w:rsidR="00802DFF">
          <w:t>stan</w:t>
        </w:r>
      </w:smartTag>
      <w:r w:rsidR="00802DFF">
        <w:t>dards available accomplish that move?</w:t>
      </w:r>
    </w:p>
    <w:p w:rsidR="006A3FD4" w:rsidRPr="003F7464" w:rsidRDefault="006A3FD4" w:rsidP="00E95526">
      <w:pPr>
        <w:numPr>
          <w:ilvl w:val="1"/>
          <w:numId w:val="39"/>
        </w:numPr>
        <w:spacing w:before="120"/>
        <w:rPr>
          <w:b/>
          <w:u w:val="single"/>
        </w:rPr>
      </w:pPr>
      <w:r>
        <w:t>Communications.  Gas curtailment of service in southwest points to the need for additional communications to support gas and electric operations for an emergency basis including a mech</w:t>
      </w:r>
      <w:r w:rsidR="00063A8E">
        <w:t xml:space="preserve">anism </w:t>
      </w:r>
      <w:r w:rsidR="00063A8E">
        <w:lastRenderedPageBreak/>
        <w:t>for communications – expanding communications to including reliability operators.  There are restrictions in place today that may impede this communication.</w:t>
      </w:r>
    </w:p>
    <w:p w:rsidR="00E95526" w:rsidRDefault="006A3FD4" w:rsidP="00E95526">
      <w:pPr>
        <w:numPr>
          <w:ilvl w:val="0"/>
          <w:numId w:val="37"/>
        </w:numPr>
        <w:tabs>
          <w:tab w:val="left" w:pos="1200"/>
        </w:tabs>
        <w:spacing w:before="120"/>
      </w:pPr>
      <w:r w:rsidRPr="006A3FD4">
        <w:t>Re</w:t>
      </w:r>
      <w:r>
        <w:t>l</w:t>
      </w:r>
      <w:r w:rsidRPr="006A3FD4">
        <w:t>ationship between residential demand for gas and demand for gas for power generation</w:t>
      </w:r>
    </w:p>
    <w:p w:rsidR="006A3FD4" w:rsidRDefault="006A3FD4" w:rsidP="00E95526">
      <w:pPr>
        <w:numPr>
          <w:ilvl w:val="0"/>
          <w:numId w:val="37"/>
        </w:numPr>
        <w:tabs>
          <w:tab w:val="left" w:pos="1200"/>
        </w:tabs>
        <w:spacing w:before="120"/>
      </w:pPr>
      <w:r>
        <w:t xml:space="preserve">Improvement of </w:t>
      </w:r>
      <w:smartTag w:uri="urn:schemas-microsoft-com:office:smarttags" w:element="PersonName">
        <w:r>
          <w:t>stan</w:t>
        </w:r>
      </w:smartTag>
      <w:r>
        <w:t>dard 1.3.80</w:t>
      </w:r>
      <w:r w:rsidR="00063A8E">
        <w:t xml:space="preserve"> bears review</w:t>
      </w:r>
      <w:r>
        <w:t xml:space="preserve"> – ICE like market, where firm capacity could be diverted at the right price, which may need access to information and rules for moving the gas.</w:t>
      </w:r>
    </w:p>
    <w:p w:rsidR="006A3FD4" w:rsidRDefault="00063A8E" w:rsidP="00E95526">
      <w:pPr>
        <w:numPr>
          <w:ilvl w:val="0"/>
          <w:numId w:val="37"/>
        </w:numPr>
        <w:tabs>
          <w:tab w:val="left" w:pos="1200"/>
        </w:tabs>
        <w:spacing w:before="120"/>
      </w:pPr>
      <w:r>
        <w:t>Under FERC Order 698, mechanisms are in place to provide information between the pipelines and gas operations group of the generators.  Much of the information that is needed is managed on an informal basis.  It may be that a more formal structure would be advisable on the state of the electric system and the availability of gas from the pipelines.</w:t>
      </w:r>
      <w:r w:rsidR="00687BD6">
        <w:t xml:space="preserve">  Knowing which generators are going to run and under which service they are operating (firm and interruptible) is needed for the pipelines.  On peak days, notifications are sent when there are issues.  A</w:t>
      </w:r>
      <w:r w:rsidR="00907E52">
        <w:t>n example of t</w:t>
      </w:r>
      <w:r w:rsidR="00687BD6">
        <w:t xml:space="preserve">he notice </w:t>
      </w:r>
      <w:r w:rsidR="00907E52">
        <w:t xml:space="preserve">was provided by Richard.  It may be reasonable to provide additional structure on the communication. </w:t>
      </w:r>
    </w:p>
    <w:p w:rsidR="009B4DE5" w:rsidRDefault="00907E52" w:rsidP="00E95526">
      <w:pPr>
        <w:numPr>
          <w:ilvl w:val="0"/>
          <w:numId w:val="37"/>
        </w:numPr>
        <w:tabs>
          <w:tab w:val="left" w:pos="1200"/>
        </w:tabs>
        <w:spacing w:before="120"/>
      </w:pPr>
      <w:r>
        <w:t>Maintenance will increase that emphasizes the importance of communication process</w:t>
      </w:r>
      <w:r w:rsidR="009B4DE5">
        <w:t xml:space="preserve"> – including transmission maintenance, pipeline maintenance, to ensure adequate planning.  There is a strong regional component to the discussion.  </w:t>
      </w:r>
    </w:p>
    <w:p w:rsidR="00907E52" w:rsidRDefault="009B4DE5" w:rsidP="00E95526">
      <w:pPr>
        <w:numPr>
          <w:ilvl w:val="0"/>
          <w:numId w:val="37"/>
        </w:numPr>
        <w:tabs>
          <w:tab w:val="left" w:pos="1200"/>
        </w:tabs>
        <w:spacing w:before="120"/>
      </w:pPr>
      <w:r>
        <w:t>Generation signing up for firm capacity has pricing rules that signal for that capacity, and regional differences may impact the signals.</w:t>
      </w:r>
      <w:r w:rsidR="00AC5F91">
        <w:t xml:space="preserve">  Are there regional differences that impact the price signals and economic decisions that generators use in determining the type of service needed?  From a reliability perspective, designated network resources are expected to have firm fuel and transportation or dual fuel capacity for generation.</w:t>
      </w:r>
      <w:r w:rsidR="006964EF">
        <w:t xml:space="preserve">  The ISOs may manage the capacity requirements differently.  Independent power producers may have other factors that are at play in making their fuel service decisions.  For investments</w:t>
      </w:r>
      <w:r w:rsidR="00FB7BFA">
        <w:t xml:space="preserve"> in merchant generators</w:t>
      </w:r>
      <w:r w:rsidR="006964EF">
        <w:t xml:space="preserve">, </w:t>
      </w:r>
      <w:r w:rsidR="00FB7BFA">
        <w:t xml:space="preserve">banks use </w:t>
      </w:r>
      <w:r w:rsidR="006964EF">
        <w:t xml:space="preserve">production cost studies </w:t>
      </w:r>
      <w:r w:rsidR="00FB7BFA">
        <w:t xml:space="preserve">that </w:t>
      </w:r>
      <w:r w:rsidR="006964EF">
        <w:t xml:space="preserve">are done for economic dispatch, and the resulting profiles </w:t>
      </w:r>
      <w:r w:rsidR="00FB7BFA">
        <w:t xml:space="preserve">indicate the expected revenue, run times, operational requirements, capacity requirements, and the breakdown of firm and interruptible service requirements.  </w:t>
      </w:r>
      <w:r w:rsidR="00561A46">
        <w:t>After financing, generators sometimes change their transport contracts to reduce operating costs</w:t>
      </w:r>
      <w:bookmarkStart w:id="0" w:name="_GoBack"/>
      <w:bookmarkEnd w:id="0"/>
      <w:r w:rsidR="00FB7BFA">
        <w:t>.</w:t>
      </w:r>
    </w:p>
    <w:p w:rsidR="00AC5F91" w:rsidRDefault="00FB7BFA" w:rsidP="00E95526">
      <w:pPr>
        <w:numPr>
          <w:ilvl w:val="0"/>
          <w:numId w:val="37"/>
        </w:numPr>
        <w:tabs>
          <w:tab w:val="left" w:pos="1200"/>
        </w:tabs>
        <w:spacing w:before="120"/>
      </w:pPr>
      <w:r>
        <w:t>Under what conditions do generators determine to use firm fuel and firm capacity?</w:t>
      </w:r>
    </w:p>
    <w:p w:rsidR="00FB7BFA" w:rsidRDefault="00A65F0A" w:rsidP="00E95526">
      <w:pPr>
        <w:numPr>
          <w:ilvl w:val="0"/>
          <w:numId w:val="37"/>
        </w:numPr>
        <w:tabs>
          <w:tab w:val="left" w:pos="1200"/>
        </w:tabs>
        <w:spacing w:before="120"/>
      </w:pPr>
      <w:r>
        <w:t>How much pipeline capacity is needed to provide the service that generators need to meet their must-serve loads?</w:t>
      </w:r>
    </w:p>
    <w:p w:rsidR="00A65F0A" w:rsidRDefault="00A65F0A" w:rsidP="00E95526">
      <w:pPr>
        <w:numPr>
          <w:ilvl w:val="0"/>
          <w:numId w:val="37"/>
        </w:numPr>
        <w:tabs>
          <w:tab w:val="left" w:pos="1200"/>
        </w:tabs>
        <w:spacing w:before="120"/>
      </w:pPr>
      <w:r>
        <w:t xml:space="preserve">What barriers </w:t>
      </w:r>
      <w:r w:rsidR="007E72D1">
        <w:t xml:space="preserve">or economic forces </w:t>
      </w:r>
      <w:r>
        <w:t>are in place that impede generators from contracting for the appropriate service to meet their must-serve loads?</w:t>
      </w:r>
    </w:p>
    <w:p w:rsidR="00A65F0A" w:rsidRDefault="00A65F0A" w:rsidP="00E95526">
      <w:pPr>
        <w:numPr>
          <w:ilvl w:val="0"/>
          <w:numId w:val="37"/>
        </w:numPr>
        <w:tabs>
          <w:tab w:val="left" w:pos="1200"/>
        </w:tabs>
        <w:spacing w:before="120"/>
      </w:pPr>
      <w:r>
        <w:t xml:space="preserve">Looking ahead to increased use of natural gas for power generation, </w:t>
      </w:r>
      <w:r w:rsidR="007E72D1">
        <w:t>the historical roadmap does not provide enough information as the landscape is changing.  The ultimate decision should not be profit to the generator, but  how best to serve the customer balancing the cost of delivered power to the assurance that service is not interrupted in peak day conditions.</w:t>
      </w:r>
    </w:p>
    <w:p w:rsidR="007E72D1" w:rsidRDefault="007E72D1" w:rsidP="00E95526">
      <w:pPr>
        <w:numPr>
          <w:ilvl w:val="0"/>
          <w:numId w:val="37"/>
        </w:numPr>
        <w:tabs>
          <w:tab w:val="left" w:pos="1200"/>
        </w:tabs>
        <w:spacing w:before="120"/>
      </w:pPr>
      <w:r>
        <w:t>In organized markets, with consideration for how plants are dispatched, the price differentials between firm service and interruptible service should be examined.  This does highlight the need for customer education and the definition of reasonable costs to support reliable service.</w:t>
      </w:r>
    </w:p>
    <w:p w:rsidR="00923B4D" w:rsidRDefault="00923B4D" w:rsidP="00E95526">
      <w:pPr>
        <w:numPr>
          <w:ilvl w:val="0"/>
          <w:numId w:val="37"/>
        </w:numPr>
        <w:tabs>
          <w:tab w:val="left" w:pos="1200"/>
        </w:tabs>
        <w:spacing w:before="120"/>
      </w:pPr>
      <w:r>
        <w:t>RTO capacity markets may not give any value to generators that hold firm capacity.  Standards or practices may be helpful in determining the factors to be considered in making the decisions to hold firm capacity.</w:t>
      </w:r>
    </w:p>
    <w:p w:rsidR="00923B4D" w:rsidRDefault="00923B4D" w:rsidP="00E95526">
      <w:pPr>
        <w:numPr>
          <w:ilvl w:val="0"/>
          <w:numId w:val="37"/>
        </w:numPr>
        <w:tabs>
          <w:tab w:val="left" w:pos="1200"/>
        </w:tabs>
        <w:spacing w:before="120"/>
      </w:pPr>
      <w:r>
        <w:t>Unanticipated demand, specifically in the shoulder months, poses problems more than in the colder or hotter months where conditions can be more predictable.</w:t>
      </w:r>
      <w:r w:rsidR="00852D65">
        <w:t xml:space="preserve">  Gas-fired electric generation can become a chokehold in the system as more generation comes online that is gas-fired, and procedures and regional considerations including the price impacts points to a reliability quotient as part of the price of electricity.</w:t>
      </w:r>
    </w:p>
    <w:p w:rsidR="008B764A" w:rsidRDefault="008B764A" w:rsidP="00E95526">
      <w:pPr>
        <w:numPr>
          <w:ilvl w:val="0"/>
          <w:numId w:val="37"/>
        </w:numPr>
        <w:tabs>
          <w:tab w:val="left" w:pos="1200"/>
        </w:tabs>
        <w:spacing w:before="120"/>
      </w:pPr>
      <w:r>
        <w:t>It may make sense to hold a meeting in DC at either FERC or DoE once we have a framework of points to be considered for the recommendations which may include a case study, such as the recent event with ISO-NE.</w:t>
      </w:r>
    </w:p>
    <w:p w:rsidR="008B764A" w:rsidRDefault="008B764A" w:rsidP="00E95526">
      <w:pPr>
        <w:numPr>
          <w:ilvl w:val="0"/>
          <w:numId w:val="37"/>
        </w:numPr>
        <w:tabs>
          <w:tab w:val="left" w:pos="1200"/>
        </w:tabs>
        <w:spacing w:before="120"/>
      </w:pPr>
      <w:r>
        <w:lastRenderedPageBreak/>
        <w:t>It may be more efficient to collapse the three groups.</w:t>
      </w:r>
      <w:r w:rsidR="00085027">
        <w:t xml:space="preserve">  We may need to bring everyone to a common under</w:t>
      </w:r>
      <w:smartTag w:uri="urn:schemas-microsoft-com:office:smarttags" w:element="PersonName">
        <w:r w:rsidR="00085027">
          <w:t>stan</w:t>
        </w:r>
      </w:smartTag>
      <w:r w:rsidR="00085027">
        <w:t>ding of the issue.</w:t>
      </w:r>
    </w:p>
    <w:p w:rsidR="00085027" w:rsidRDefault="00085027" w:rsidP="00E95526">
      <w:pPr>
        <w:numPr>
          <w:ilvl w:val="0"/>
          <w:numId w:val="37"/>
        </w:numPr>
        <w:tabs>
          <w:tab w:val="left" w:pos="1200"/>
        </w:tabs>
        <w:spacing w:before="120"/>
      </w:pPr>
      <w:r>
        <w:t xml:space="preserve">Communications between pipelines and gas-fired generators, ISOs and RTOs, communications with regulators, and communications between pipelines and LDCs should be included in discussions on recommendations.  Use of variable energy resources </w:t>
      </w:r>
      <w:r w:rsidR="00C90DEC">
        <w:t>is a factor to be addressed, including impact on transmission systems.</w:t>
      </w:r>
      <w:r>
        <w:t xml:space="preserve">  </w:t>
      </w:r>
    </w:p>
    <w:p w:rsidR="00C90DEC" w:rsidRDefault="00C90DEC" w:rsidP="00E95526">
      <w:pPr>
        <w:numPr>
          <w:ilvl w:val="0"/>
          <w:numId w:val="37"/>
        </w:numPr>
        <w:tabs>
          <w:tab w:val="left" w:pos="1200"/>
        </w:tabs>
        <w:spacing w:before="120"/>
      </w:pPr>
      <w:r>
        <w:t>What economic decisions should be made regarding the costs assumed by the gas fired generators to back up the variable energy resources used.</w:t>
      </w:r>
    </w:p>
    <w:p w:rsidR="009C676F" w:rsidRDefault="009C676F" w:rsidP="00E95526">
      <w:pPr>
        <w:numPr>
          <w:ilvl w:val="0"/>
          <w:numId w:val="37"/>
        </w:numPr>
        <w:tabs>
          <w:tab w:val="left" w:pos="1200"/>
        </w:tabs>
        <w:spacing w:before="120"/>
      </w:pPr>
      <w:r>
        <w:t>What has to happen to optimize and service the growing capacity market and what has to happen to add capacity to the market?  Process improvement measures and structured communications is an example.  It should be stressed that this is not solely focused on generators and pipelines, it also includes aggregators, customers, transmission and other segments of the market.</w:t>
      </w:r>
    </w:p>
    <w:p w:rsidR="009C676F" w:rsidRPr="006A3FD4" w:rsidRDefault="009C676F" w:rsidP="00E95526">
      <w:pPr>
        <w:numPr>
          <w:ilvl w:val="0"/>
          <w:numId w:val="37"/>
        </w:numPr>
        <w:tabs>
          <w:tab w:val="left" w:pos="1200"/>
        </w:tabs>
        <w:spacing w:before="120"/>
      </w:pPr>
      <w:r>
        <w:t>Are there the right incentives to entice others into the market increasing liquidity (1.3.80)?</w:t>
      </w:r>
      <w:r w:rsidR="00CB0994">
        <w:t xml:space="preserve">  This plays into use of existing assets.  The current dynamics point more to regional discussions and solutions.</w:t>
      </w:r>
    </w:p>
    <w:sectPr w:rsidR="009C676F" w:rsidRPr="006A3FD4" w:rsidSect="00E939AF">
      <w:headerReference w:type="default" r:id="rId8"/>
      <w:footerReference w:type="default" r:id="rId9"/>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5FA" w:rsidRDefault="00F505FA">
      <w:r>
        <w:separator/>
      </w:r>
    </w:p>
  </w:endnote>
  <w:endnote w:type="continuationSeparator" w:id="0">
    <w:p w:rsidR="00F505FA" w:rsidRDefault="00F5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96" w:rsidRDefault="00FD0096" w:rsidP="00AF3235">
    <w:pPr>
      <w:pStyle w:val="Footer"/>
      <w:pBdr>
        <w:top w:val="single" w:sz="18" w:space="1" w:color="auto"/>
      </w:pBdr>
      <w:jc w:val="right"/>
    </w:pPr>
    <w:r>
      <w:t xml:space="preserve">NAESB Board Gas-Electric Harmonization Committee </w:t>
    </w:r>
    <w:r w:rsidR="004E181C">
      <w:t xml:space="preserve">Team </w:t>
    </w:r>
    <w:r w:rsidR="00EC6EA1">
      <w:t>3</w:t>
    </w:r>
    <w:r w:rsidR="004E181C">
      <w:t xml:space="preserve"> </w:t>
    </w:r>
    <w:r>
      <w:t xml:space="preserve">Notes – </w:t>
    </w:r>
    <w:r w:rsidR="00EC6EA1">
      <w:t>March 2</w:t>
    </w:r>
    <w:r w:rsidR="004E181C">
      <w:t>, 2012</w:t>
    </w:r>
  </w:p>
  <w:p w:rsidR="00FD0096" w:rsidRDefault="00FD0096" w:rsidP="00AF3235">
    <w:pPr>
      <w:pStyle w:val="Footer"/>
      <w:pBdr>
        <w:top w:val="single" w:sz="18" w:space="1" w:color="auto"/>
      </w:pBdr>
      <w:jc w:val="right"/>
    </w:pPr>
    <w:r>
      <w:t xml:space="preserve">Page </w:t>
    </w:r>
    <w:r>
      <w:fldChar w:fldCharType="begin"/>
    </w:r>
    <w:r>
      <w:instrText xml:space="preserve"> PAGE </w:instrText>
    </w:r>
    <w:r>
      <w:fldChar w:fldCharType="separate"/>
    </w:r>
    <w:r w:rsidR="00561A46">
      <w:rPr>
        <w:noProof/>
      </w:rPr>
      <w:t>2</w:t>
    </w:r>
    <w:r>
      <w:fldChar w:fldCharType="end"/>
    </w:r>
    <w:r>
      <w:t xml:space="preserve"> of </w:t>
    </w:r>
    <w:r w:rsidR="00F505FA">
      <w:fldChar w:fldCharType="begin"/>
    </w:r>
    <w:r w:rsidR="00F505FA">
      <w:instrText xml:space="preserve"> NUMPAGES </w:instrText>
    </w:r>
    <w:r w:rsidR="00F505FA">
      <w:fldChar w:fldCharType="separate"/>
    </w:r>
    <w:r w:rsidR="00561A46">
      <w:rPr>
        <w:noProof/>
      </w:rPr>
      <w:t>3</w:t>
    </w:r>
    <w:r w:rsidR="00F505F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5FA" w:rsidRDefault="00F505FA">
      <w:r>
        <w:separator/>
      </w:r>
    </w:p>
  </w:footnote>
  <w:footnote w:type="continuationSeparator" w:id="0">
    <w:p w:rsidR="00F505FA" w:rsidRDefault="00F50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96" w:rsidRDefault="00DB272D">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8240"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noProof/>
      </w:rPr>
      <mc:AlternateContent>
        <mc:Choice Requires="wps">
          <w:drawing>
            <wp:anchor distT="0" distB="0" distL="114300" distR="114300" simplePos="0" relativeHeight="251657216" behindDoc="1" locked="0" layoutInCell="1" allowOverlap="1">
              <wp:simplePos x="0" y="0"/>
              <wp:positionH relativeFrom="column">
                <wp:posOffset>-23495</wp:posOffset>
              </wp:positionH>
              <wp:positionV relativeFrom="paragraph">
                <wp:posOffset>12065</wp:posOffset>
              </wp:positionV>
              <wp:extent cx="45085" cy="146685"/>
              <wp:effectExtent l="0" t="254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096" w:rsidRDefault="00FD009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FD0096" w:rsidRDefault="00FD0096"/>
                </w:txbxContent>
              </v:textbox>
            </v:rect>
          </w:pict>
        </mc:Fallback>
      </mc:AlternateContent>
    </w:r>
  </w:p>
  <w:p w:rsidR="00FD0096" w:rsidRDefault="00FD0096">
    <w:pPr>
      <w:pStyle w:val="Header"/>
      <w:tabs>
        <w:tab w:val="left" w:pos="1080"/>
      </w:tabs>
      <w:ind w:left="2160"/>
      <w:rPr>
        <w:rFonts w:ascii="Bookman Old Style" w:hAnsi="Bookman Old Style"/>
        <w:b/>
        <w:sz w:val="28"/>
      </w:rPr>
    </w:pPr>
  </w:p>
  <w:p w:rsidR="00FD0096" w:rsidRPr="00EC31F4" w:rsidRDefault="00FD0096" w:rsidP="00E939AF">
    <w:pPr>
      <w:pStyle w:val="Header"/>
      <w:tabs>
        <w:tab w:val="left" w:pos="1080"/>
      </w:tabs>
      <w:ind w:left="1800"/>
      <w:jc w:val="right"/>
      <w:rPr>
        <w:b/>
        <w:spacing w:val="20"/>
        <w:sz w:val="32"/>
      </w:rPr>
    </w:pPr>
    <w:r w:rsidRPr="00EC31F4">
      <w:rPr>
        <w:b/>
        <w:spacing w:val="20"/>
        <w:sz w:val="32"/>
      </w:rPr>
      <w:t>North American Energy Standards Board</w:t>
    </w:r>
  </w:p>
  <w:p w:rsidR="00FD0096" w:rsidRPr="00EC31F4" w:rsidRDefault="00FD0096"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rsidR="00FD0096" w:rsidRPr="006579E3" w:rsidRDefault="00FD0096" w:rsidP="00E939AF">
    <w:pPr>
      <w:pStyle w:val="Header"/>
      <w:ind w:left="1800"/>
      <w:jc w:val="right"/>
      <w:rPr>
        <w:lang w:val="fr-FR"/>
      </w:rPr>
    </w:pPr>
    <w:r w:rsidRPr="006579E3">
      <w:rPr>
        <w:lang w:val="fr-FR"/>
      </w:rPr>
      <w:t>Phone</w:t>
    </w:r>
    <w:proofErr w:type="gramStart"/>
    <w:r w:rsidRPr="006579E3">
      <w:rPr>
        <w:lang w:val="fr-FR"/>
      </w:rPr>
      <w:t xml:space="preserve">:  </w:t>
    </w:r>
    <w:smartTag w:uri="urn:schemas-microsoft-com:office:smarttags" w:element="phone">
      <w:smartTagPr>
        <w:attr w:uri="urn:schemas-microsoft-com:office:office" w:name="ls" w:val="trans"/>
        <w:attr w:name="phonenumber" w:val="$6356$$$"/>
      </w:smartTagPr>
      <w:r w:rsidRPr="006579E3">
        <w:rPr>
          <w:lang w:val="fr-FR"/>
        </w:rPr>
        <w:t>(</w:t>
      </w:r>
      <w:proofErr w:type="gramEnd"/>
      <w:r w:rsidRPr="006579E3">
        <w:rPr>
          <w:lang w:val="fr-FR"/>
        </w:rPr>
        <w:t xml:space="preserve">713) </w:t>
      </w:r>
      <w:smartTag w:uri="urn:schemas-microsoft-com:office:smarttags" w:element="phone">
        <w:smartTagPr>
          <w:attr w:uri="urn:schemas-microsoft-com:office:office" w:name="ls" w:val="trans"/>
          <w:attr w:name="phonenumber" w:val="$6356$$$"/>
        </w:smartTagPr>
        <w:r w:rsidRPr="006579E3">
          <w:rPr>
            <w:lang w:val="fr-FR"/>
          </w:rPr>
          <w:t>356-0060</w:t>
        </w:r>
      </w:smartTag>
    </w:smartTag>
    <w:r w:rsidRPr="006579E3">
      <w:rPr>
        <w:lang w:val="fr-FR"/>
      </w:rPr>
      <w:t xml:space="preserve">, Fax:  </w:t>
    </w:r>
    <w:smartTag w:uri="urn:schemas-microsoft-com:office:smarttags" w:element="phone">
      <w:smartTagPr>
        <w:attr w:uri="urn:schemas-microsoft-com:office:office" w:name="ls" w:val="trans"/>
        <w:attr w:name="phonenumber" w:val="$6356$$$"/>
      </w:smartTagPr>
      <w:r w:rsidRPr="006579E3">
        <w:rPr>
          <w:lang w:val="fr-FR"/>
        </w:rPr>
        <w:t xml:space="preserve">(713) </w:t>
      </w:r>
      <w:smartTag w:uri="urn:schemas-microsoft-com:office:smarttags" w:element="phone">
        <w:smartTagPr>
          <w:attr w:uri="urn:schemas-microsoft-com:office:office" w:name="ls" w:val="trans"/>
          <w:attr w:name="phonenumber" w:val="$6356$$$"/>
        </w:smartTagPr>
        <w:r w:rsidRPr="006579E3">
          <w:rPr>
            <w:lang w:val="fr-FR"/>
          </w:rPr>
          <w:t>356-0067</w:t>
        </w:r>
      </w:smartTag>
    </w:smartTag>
    <w:r w:rsidRPr="006579E3">
      <w:rPr>
        <w:lang w:val="fr-FR"/>
      </w:rPr>
      <w:t>, E-mail: naesb@naesb.org</w:t>
    </w:r>
  </w:p>
  <w:p w:rsidR="00FD0096" w:rsidRPr="00EC31F4" w:rsidRDefault="00FD0096" w:rsidP="00E939AF">
    <w:pPr>
      <w:pStyle w:val="Header"/>
      <w:pBdr>
        <w:bottom w:val="single" w:sz="18" w:space="1" w:color="auto"/>
      </w:pBdr>
      <w:ind w:left="1800" w:hanging="1800"/>
      <w:jc w:val="right"/>
    </w:pPr>
    <w:r w:rsidRPr="006579E3">
      <w:rPr>
        <w:lang w:val="fr-FR"/>
      </w:rPr>
      <w:tab/>
    </w:r>
    <w:r w:rsidRPr="00EC31F4">
      <w:t xml:space="preserve">Home Page: </w:t>
    </w:r>
    <w:hyperlink r:id="rId2" w:history="1">
      <w:r w:rsidRPr="00EC31F4">
        <w:rPr>
          <w:rStyle w:val="Hyperlink"/>
        </w:rPr>
        <w:t>www.naesb.org</w:t>
      </w:r>
    </w:hyperlink>
  </w:p>
  <w:p w:rsidR="00FD0096" w:rsidRPr="00EC31F4" w:rsidRDefault="00FD0096">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015EB4"/>
    <w:multiLevelType w:val="hybridMultilevel"/>
    <w:tmpl w:val="EB48ED52"/>
    <w:lvl w:ilvl="0" w:tplc="4E9E81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BD2BE7"/>
    <w:multiLevelType w:val="multilevel"/>
    <w:tmpl w:val="80106C22"/>
    <w:lvl w:ilvl="0">
      <w:start w:val="1"/>
      <w:numFmt w:val="lowerLetter"/>
      <w:lvlText w:val="%1)"/>
      <w:lvlJc w:val="left"/>
      <w:pPr>
        <w:tabs>
          <w:tab w:val="num" w:pos="4680"/>
        </w:tabs>
        <w:ind w:left="4680" w:hanging="360"/>
      </w:pPr>
    </w:lvl>
    <w:lvl w:ilvl="1">
      <w:start w:val="1"/>
      <w:numFmt w:val="lowerLetter"/>
      <w:lvlText w:val="%2."/>
      <w:lvlJc w:val="left"/>
      <w:pPr>
        <w:tabs>
          <w:tab w:val="num" w:pos="3240"/>
        </w:tabs>
        <w:ind w:left="3240" w:hanging="360"/>
      </w:pPr>
    </w:lvl>
    <w:lvl w:ilvl="2">
      <w:start w:val="1"/>
      <w:numFmt w:val="lowerLetter"/>
      <w:lvlText w:val="%3)"/>
      <w:lvlJc w:val="left"/>
      <w:pPr>
        <w:tabs>
          <w:tab w:val="num" w:pos="4140"/>
        </w:tabs>
        <w:ind w:left="4140" w:hanging="36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8">
    <w:nsid w:val="24AF7B62"/>
    <w:multiLevelType w:val="hybridMultilevel"/>
    <w:tmpl w:val="78F4861A"/>
    <w:lvl w:ilvl="0" w:tplc="18AE2810">
      <w:start w:val="5"/>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4C845FF"/>
    <w:multiLevelType w:val="hybridMultilevel"/>
    <w:tmpl w:val="03B460CE"/>
    <w:lvl w:ilvl="0" w:tplc="A98A8C26">
      <w:numFmt w:val="bullet"/>
      <w:lvlText w:val=""/>
      <w:lvlJc w:val="left"/>
      <w:pPr>
        <w:tabs>
          <w:tab w:val="num" w:pos="1440"/>
        </w:tabs>
        <w:ind w:left="1440" w:hanging="360"/>
      </w:pPr>
      <w:rPr>
        <w:rFonts w:ascii="Symbol" w:hAnsi="Symbol" w:cs="Tahoma"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C87D34"/>
    <w:multiLevelType w:val="hybridMultilevel"/>
    <w:tmpl w:val="1C707FEE"/>
    <w:lvl w:ilvl="0" w:tplc="A98A8C26">
      <w:numFmt w:val="bullet"/>
      <w:lvlText w:val=""/>
      <w:lvlJc w:val="left"/>
      <w:pPr>
        <w:tabs>
          <w:tab w:val="num" w:pos="1440"/>
        </w:tabs>
        <w:ind w:left="1440" w:hanging="360"/>
      </w:pPr>
      <w:rPr>
        <w:rFonts w:ascii="Symbol" w:hAnsi="Symbol" w:cs="Tahoma"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nsid w:val="2A0B2F54"/>
    <w:multiLevelType w:val="hybridMultilevel"/>
    <w:tmpl w:val="BBE61678"/>
    <w:lvl w:ilvl="0" w:tplc="A98A8C26">
      <w:numFmt w:val="bullet"/>
      <w:lvlText w:val=""/>
      <w:lvlJc w:val="left"/>
      <w:pPr>
        <w:tabs>
          <w:tab w:val="num" w:pos="1440"/>
        </w:tabs>
        <w:ind w:left="1440" w:hanging="360"/>
      </w:pPr>
      <w:rPr>
        <w:rFonts w:ascii="Symbol" w:hAnsi="Symbol" w:cs="Tahoma"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nsid w:val="2D6B2AE7"/>
    <w:multiLevelType w:val="hybridMultilevel"/>
    <w:tmpl w:val="C06A4D42"/>
    <w:lvl w:ilvl="0" w:tplc="04090001">
      <w:start w:val="1"/>
      <w:numFmt w:val="bullet"/>
      <w:lvlText w:val=""/>
      <w:lvlJc w:val="left"/>
      <w:pPr>
        <w:tabs>
          <w:tab w:val="num" w:pos="720"/>
        </w:tabs>
        <w:ind w:left="720" w:hanging="360"/>
      </w:pPr>
      <w:rPr>
        <w:rFonts w:ascii="Symbol" w:hAnsi="Symbol" w:hint="default"/>
      </w:rPr>
    </w:lvl>
    <w:lvl w:ilvl="1" w:tplc="4E9E81B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nsid w:val="36BD1C44"/>
    <w:multiLevelType w:val="hybridMultilevel"/>
    <w:tmpl w:val="025AA9D6"/>
    <w:lvl w:ilvl="0" w:tplc="4E9E81B2">
      <w:start w:val="1"/>
      <w:numFmt w:val="bullet"/>
      <w:lvlText w:val=""/>
      <w:lvlJc w:val="left"/>
      <w:pPr>
        <w:tabs>
          <w:tab w:val="num" w:pos="720"/>
        </w:tabs>
        <w:ind w:left="720" w:hanging="360"/>
      </w:pPr>
      <w:rPr>
        <w:rFonts w:ascii="Symbol" w:hAnsi="Symbol" w:hint="default"/>
        <w:color w:val="auto"/>
      </w:rPr>
    </w:lvl>
    <w:lvl w:ilvl="1" w:tplc="FC40D150">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D703147"/>
    <w:multiLevelType w:val="hybridMultilevel"/>
    <w:tmpl w:val="6B60D966"/>
    <w:lvl w:ilvl="0" w:tplc="A98A8C26">
      <w:numFmt w:val="bullet"/>
      <w:lvlText w:val=""/>
      <w:lvlJc w:val="left"/>
      <w:pPr>
        <w:tabs>
          <w:tab w:val="num" w:pos="1440"/>
        </w:tabs>
        <w:ind w:left="1440" w:hanging="360"/>
      </w:pPr>
      <w:rPr>
        <w:rFonts w:ascii="Symbol" w:hAnsi="Symbol" w:cs="Tahoma"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6">
    <w:nsid w:val="4E332E26"/>
    <w:multiLevelType w:val="hybridMultilevel"/>
    <w:tmpl w:val="32E61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9">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AF1B75"/>
    <w:multiLevelType w:val="hybridMultilevel"/>
    <w:tmpl w:val="3DAC6756"/>
    <w:lvl w:ilvl="0" w:tplc="A98A8C26">
      <w:numFmt w:val="bullet"/>
      <w:lvlText w:val=""/>
      <w:lvlJc w:val="left"/>
      <w:pPr>
        <w:tabs>
          <w:tab w:val="num" w:pos="1440"/>
        </w:tabs>
        <w:ind w:left="1440" w:hanging="360"/>
      </w:pPr>
      <w:rPr>
        <w:rFonts w:ascii="Symbol" w:hAnsi="Symbol" w:cs="Tahoma"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D92F25"/>
    <w:multiLevelType w:val="hybridMultilevel"/>
    <w:tmpl w:val="BDE0E40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4">
    <w:nsid w:val="729632B3"/>
    <w:multiLevelType w:val="hybridMultilevel"/>
    <w:tmpl w:val="5A7E0E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6">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37">
    <w:nsid w:val="7AC70865"/>
    <w:multiLevelType w:val="hybridMultilevel"/>
    <w:tmpl w:val="623288DC"/>
    <w:lvl w:ilvl="0" w:tplc="4E9E81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FD86920"/>
    <w:multiLevelType w:val="multilevel"/>
    <w:tmpl w:val="BB02BA5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
  </w:num>
  <w:num w:numId="4">
    <w:abstractNumId w:val="29"/>
  </w:num>
  <w:num w:numId="5">
    <w:abstractNumId w:val="3"/>
  </w:num>
  <w:num w:numId="6">
    <w:abstractNumId w:val="16"/>
  </w:num>
  <w:num w:numId="7">
    <w:abstractNumId w:val="5"/>
  </w:num>
  <w:num w:numId="8">
    <w:abstractNumId w:val="24"/>
  </w:num>
  <w:num w:numId="9">
    <w:abstractNumId w:val="27"/>
  </w:num>
  <w:num w:numId="10">
    <w:abstractNumId w:val="36"/>
  </w:num>
  <w:num w:numId="11">
    <w:abstractNumId w:val="4"/>
  </w:num>
  <w:num w:numId="12">
    <w:abstractNumId w:val="15"/>
  </w:num>
  <w:num w:numId="13">
    <w:abstractNumId w:val="35"/>
  </w:num>
  <w:num w:numId="14">
    <w:abstractNumId w:val="13"/>
  </w:num>
  <w:num w:numId="15">
    <w:abstractNumId w:val="11"/>
  </w:num>
  <w:num w:numId="16">
    <w:abstractNumId w:val="23"/>
  </w:num>
  <w:num w:numId="17">
    <w:abstractNumId w:val="17"/>
  </w:num>
  <w:num w:numId="18">
    <w:abstractNumId w:val="0"/>
  </w:num>
  <w:num w:numId="19">
    <w:abstractNumId w:val="28"/>
  </w:num>
  <w:num w:numId="20">
    <w:abstractNumId w:val="7"/>
  </w:num>
  <w:num w:numId="21">
    <w:abstractNumId w:val="33"/>
  </w:num>
  <w:num w:numId="22">
    <w:abstractNumId w:val="9"/>
  </w:num>
  <w:num w:numId="23">
    <w:abstractNumId w:val="10"/>
  </w:num>
  <w:num w:numId="24">
    <w:abstractNumId w:val="12"/>
  </w:num>
  <w:num w:numId="25">
    <w:abstractNumId w:val="22"/>
  </w:num>
  <w:num w:numId="26">
    <w:abstractNumId w:val="31"/>
  </w:num>
  <w:num w:numId="27">
    <w:abstractNumId w:val="30"/>
  </w:num>
  <w:num w:numId="28">
    <w:abstractNumId w:val="2"/>
  </w:num>
  <w:num w:numId="29">
    <w:abstractNumId w:val="25"/>
  </w:num>
  <w:num w:numId="30">
    <w:abstractNumId w:val="34"/>
  </w:num>
  <w:num w:numId="31">
    <w:abstractNumId w:val="8"/>
  </w:num>
  <w:num w:numId="32">
    <w:abstractNumId w:val="21"/>
  </w:num>
  <w:num w:numId="33">
    <w:abstractNumId w:val="26"/>
  </w:num>
  <w:num w:numId="34">
    <w:abstractNumId w:val="14"/>
  </w:num>
  <w:num w:numId="35">
    <w:abstractNumId w:val="6"/>
  </w:num>
  <w:num w:numId="36">
    <w:abstractNumId w:val="37"/>
  </w:num>
  <w:num w:numId="37">
    <w:abstractNumId w:val="32"/>
  </w:num>
  <w:num w:numId="38">
    <w:abstractNumId w:val="38"/>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A1"/>
    <w:rsid w:val="00003953"/>
    <w:rsid w:val="00024715"/>
    <w:rsid w:val="00024C68"/>
    <w:rsid w:val="000255E4"/>
    <w:rsid w:val="0003417B"/>
    <w:rsid w:val="00034CEE"/>
    <w:rsid w:val="00044D04"/>
    <w:rsid w:val="00047E2B"/>
    <w:rsid w:val="000601F6"/>
    <w:rsid w:val="00063A8E"/>
    <w:rsid w:val="00065F6B"/>
    <w:rsid w:val="00070A6A"/>
    <w:rsid w:val="0007484E"/>
    <w:rsid w:val="00085027"/>
    <w:rsid w:val="000A4991"/>
    <w:rsid w:val="000B1749"/>
    <w:rsid w:val="000C4C37"/>
    <w:rsid w:val="000D1584"/>
    <w:rsid w:val="000E3E80"/>
    <w:rsid w:val="000F31AC"/>
    <w:rsid w:val="00103F06"/>
    <w:rsid w:val="00112341"/>
    <w:rsid w:val="0013131B"/>
    <w:rsid w:val="00160969"/>
    <w:rsid w:val="00162105"/>
    <w:rsid w:val="001658A6"/>
    <w:rsid w:val="0017020C"/>
    <w:rsid w:val="00170364"/>
    <w:rsid w:val="0017169E"/>
    <w:rsid w:val="00172143"/>
    <w:rsid w:val="00173834"/>
    <w:rsid w:val="0017473D"/>
    <w:rsid w:val="001858C1"/>
    <w:rsid w:val="0019349D"/>
    <w:rsid w:val="001A009C"/>
    <w:rsid w:val="001A0C0E"/>
    <w:rsid w:val="001A33FC"/>
    <w:rsid w:val="001B4BEF"/>
    <w:rsid w:val="001D09C7"/>
    <w:rsid w:val="001D12B4"/>
    <w:rsid w:val="001D3693"/>
    <w:rsid w:val="001F0F54"/>
    <w:rsid w:val="0020071A"/>
    <w:rsid w:val="002043E3"/>
    <w:rsid w:val="00206EF1"/>
    <w:rsid w:val="00211C7C"/>
    <w:rsid w:val="00231CBC"/>
    <w:rsid w:val="00235FEC"/>
    <w:rsid w:val="00242D31"/>
    <w:rsid w:val="00256F3D"/>
    <w:rsid w:val="00264361"/>
    <w:rsid w:val="00264C91"/>
    <w:rsid w:val="00282BB3"/>
    <w:rsid w:val="002851FA"/>
    <w:rsid w:val="00285E54"/>
    <w:rsid w:val="002A4FEF"/>
    <w:rsid w:val="002A674A"/>
    <w:rsid w:val="002A759C"/>
    <w:rsid w:val="002B09FA"/>
    <w:rsid w:val="002B1272"/>
    <w:rsid w:val="002C222C"/>
    <w:rsid w:val="002C639B"/>
    <w:rsid w:val="002D0129"/>
    <w:rsid w:val="002D2F8B"/>
    <w:rsid w:val="002D4F39"/>
    <w:rsid w:val="002E5FDC"/>
    <w:rsid w:val="002F60D5"/>
    <w:rsid w:val="003005E1"/>
    <w:rsid w:val="00302586"/>
    <w:rsid w:val="0031790F"/>
    <w:rsid w:val="00323556"/>
    <w:rsid w:val="00323CB0"/>
    <w:rsid w:val="003349BD"/>
    <w:rsid w:val="0033762C"/>
    <w:rsid w:val="00337B9B"/>
    <w:rsid w:val="00345778"/>
    <w:rsid w:val="00362E73"/>
    <w:rsid w:val="00372D29"/>
    <w:rsid w:val="003A771A"/>
    <w:rsid w:val="003B15F3"/>
    <w:rsid w:val="003D35D4"/>
    <w:rsid w:val="003D4E77"/>
    <w:rsid w:val="003E6A91"/>
    <w:rsid w:val="003F4637"/>
    <w:rsid w:val="003F6C54"/>
    <w:rsid w:val="003F7464"/>
    <w:rsid w:val="0040046E"/>
    <w:rsid w:val="00400A8D"/>
    <w:rsid w:val="0040557D"/>
    <w:rsid w:val="00407DDB"/>
    <w:rsid w:val="00414405"/>
    <w:rsid w:val="00430FBC"/>
    <w:rsid w:val="00436A79"/>
    <w:rsid w:val="00440802"/>
    <w:rsid w:val="00451981"/>
    <w:rsid w:val="00455994"/>
    <w:rsid w:val="004621F3"/>
    <w:rsid w:val="00463943"/>
    <w:rsid w:val="00466958"/>
    <w:rsid w:val="00470400"/>
    <w:rsid w:val="004868AC"/>
    <w:rsid w:val="00495145"/>
    <w:rsid w:val="004A2A99"/>
    <w:rsid w:val="004A3C27"/>
    <w:rsid w:val="004A4054"/>
    <w:rsid w:val="004A431C"/>
    <w:rsid w:val="004B2FA1"/>
    <w:rsid w:val="004B4FD0"/>
    <w:rsid w:val="004B6230"/>
    <w:rsid w:val="004C3EC1"/>
    <w:rsid w:val="004C5B87"/>
    <w:rsid w:val="004D5C81"/>
    <w:rsid w:val="004E0591"/>
    <w:rsid w:val="004E181C"/>
    <w:rsid w:val="004E2E3F"/>
    <w:rsid w:val="004E428D"/>
    <w:rsid w:val="004E677D"/>
    <w:rsid w:val="004F1A97"/>
    <w:rsid w:val="004F72FD"/>
    <w:rsid w:val="00500D0C"/>
    <w:rsid w:val="00500D2A"/>
    <w:rsid w:val="005015F7"/>
    <w:rsid w:val="00502777"/>
    <w:rsid w:val="0050637F"/>
    <w:rsid w:val="005067DD"/>
    <w:rsid w:val="00523C69"/>
    <w:rsid w:val="0053069A"/>
    <w:rsid w:val="005325DD"/>
    <w:rsid w:val="005360F5"/>
    <w:rsid w:val="00537D52"/>
    <w:rsid w:val="00544734"/>
    <w:rsid w:val="00547CA0"/>
    <w:rsid w:val="005554AF"/>
    <w:rsid w:val="00561A46"/>
    <w:rsid w:val="0056585B"/>
    <w:rsid w:val="005813C1"/>
    <w:rsid w:val="005834B2"/>
    <w:rsid w:val="005A74F0"/>
    <w:rsid w:val="005B7705"/>
    <w:rsid w:val="005C004D"/>
    <w:rsid w:val="005C2545"/>
    <w:rsid w:val="005C718D"/>
    <w:rsid w:val="005D5BAC"/>
    <w:rsid w:val="005D7E60"/>
    <w:rsid w:val="005E0ECA"/>
    <w:rsid w:val="005E4A02"/>
    <w:rsid w:val="005E5A78"/>
    <w:rsid w:val="005F0C86"/>
    <w:rsid w:val="005F125A"/>
    <w:rsid w:val="00600886"/>
    <w:rsid w:val="00605FC5"/>
    <w:rsid w:val="0061079E"/>
    <w:rsid w:val="00650964"/>
    <w:rsid w:val="006528AC"/>
    <w:rsid w:val="0065551E"/>
    <w:rsid w:val="00655C1C"/>
    <w:rsid w:val="006579E3"/>
    <w:rsid w:val="006607B8"/>
    <w:rsid w:val="00662A6F"/>
    <w:rsid w:val="006848B0"/>
    <w:rsid w:val="00687BD6"/>
    <w:rsid w:val="00692FDB"/>
    <w:rsid w:val="006964EF"/>
    <w:rsid w:val="006A3FD4"/>
    <w:rsid w:val="006A60C9"/>
    <w:rsid w:val="006A6526"/>
    <w:rsid w:val="006B360C"/>
    <w:rsid w:val="006B4B62"/>
    <w:rsid w:val="006D16BE"/>
    <w:rsid w:val="006D277E"/>
    <w:rsid w:val="006D38BC"/>
    <w:rsid w:val="006D7639"/>
    <w:rsid w:val="006E78F3"/>
    <w:rsid w:val="006F09D6"/>
    <w:rsid w:val="007352F3"/>
    <w:rsid w:val="007353D5"/>
    <w:rsid w:val="00754DAD"/>
    <w:rsid w:val="007576B3"/>
    <w:rsid w:val="00766CA4"/>
    <w:rsid w:val="00772313"/>
    <w:rsid w:val="00772717"/>
    <w:rsid w:val="007776E5"/>
    <w:rsid w:val="00791B90"/>
    <w:rsid w:val="007B113D"/>
    <w:rsid w:val="007C0744"/>
    <w:rsid w:val="007C4CE4"/>
    <w:rsid w:val="007C77C5"/>
    <w:rsid w:val="007E13E0"/>
    <w:rsid w:val="007E1AFC"/>
    <w:rsid w:val="007E4686"/>
    <w:rsid w:val="007E5C93"/>
    <w:rsid w:val="007E72D1"/>
    <w:rsid w:val="00802DFF"/>
    <w:rsid w:val="00810DF5"/>
    <w:rsid w:val="00811E63"/>
    <w:rsid w:val="00833921"/>
    <w:rsid w:val="00840BF5"/>
    <w:rsid w:val="0084604B"/>
    <w:rsid w:val="00847C74"/>
    <w:rsid w:val="008522FB"/>
    <w:rsid w:val="00852D65"/>
    <w:rsid w:val="00854D7B"/>
    <w:rsid w:val="00861B0E"/>
    <w:rsid w:val="00886A96"/>
    <w:rsid w:val="00892464"/>
    <w:rsid w:val="008A4476"/>
    <w:rsid w:val="008A49EB"/>
    <w:rsid w:val="008A6990"/>
    <w:rsid w:val="008B764A"/>
    <w:rsid w:val="008C264A"/>
    <w:rsid w:val="008C429F"/>
    <w:rsid w:val="008C5C7F"/>
    <w:rsid w:val="008D0B3B"/>
    <w:rsid w:val="008D3E7E"/>
    <w:rsid w:val="008D7F73"/>
    <w:rsid w:val="008E0386"/>
    <w:rsid w:val="00907E52"/>
    <w:rsid w:val="00923B4D"/>
    <w:rsid w:val="0093107B"/>
    <w:rsid w:val="0093271D"/>
    <w:rsid w:val="00943DC1"/>
    <w:rsid w:val="00944211"/>
    <w:rsid w:val="00944D4A"/>
    <w:rsid w:val="00954C9A"/>
    <w:rsid w:val="009556CC"/>
    <w:rsid w:val="0095650B"/>
    <w:rsid w:val="0096713A"/>
    <w:rsid w:val="009674C1"/>
    <w:rsid w:val="00972901"/>
    <w:rsid w:val="00972E34"/>
    <w:rsid w:val="009737A4"/>
    <w:rsid w:val="00980C92"/>
    <w:rsid w:val="00982564"/>
    <w:rsid w:val="00990464"/>
    <w:rsid w:val="00991CC1"/>
    <w:rsid w:val="009A1435"/>
    <w:rsid w:val="009B4731"/>
    <w:rsid w:val="009B4DE5"/>
    <w:rsid w:val="009B75D8"/>
    <w:rsid w:val="009C319C"/>
    <w:rsid w:val="009C5D86"/>
    <w:rsid w:val="009C676F"/>
    <w:rsid w:val="009D0BA5"/>
    <w:rsid w:val="009E29AF"/>
    <w:rsid w:val="009E4862"/>
    <w:rsid w:val="009F3F41"/>
    <w:rsid w:val="00A01789"/>
    <w:rsid w:val="00A07548"/>
    <w:rsid w:val="00A443FC"/>
    <w:rsid w:val="00A46FB3"/>
    <w:rsid w:val="00A51A9F"/>
    <w:rsid w:val="00A55B10"/>
    <w:rsid w:val="00A65F0A"/>
    <w:rsid w:val="00A67B0D"/>
    <w:rsid w:val="00A71C11"/>
    <w:rsid w:val="00A769CD"/>
    <w:rsid w:val="00A85A88"/>
    <w:rsid w:val="00AA2ED3"/>
    <w:rsid w:val="00AB216E"/>
    <w:rsid w:val="00AB2D5C"/>
    <w:rsid w:val="00AB55F7"/>
    <w:rsid w:val="00AC5F91"/>
    <w:rsid w:val="00AF3235"/>
    <w:rsid w:val="00AF59F8"/>
    <w:rsid w:val="00B00D46"/>
    <w:rsid w:val="00B01503"/>
    <w:rsid w:val="00B034D3"/>
    <w:rsid w:val="00B05179"/>
    <w:rsid w:val="00B13BFA"/>
    <w:rsid w:val="00B17D8B"/>
    <w:rsid w:val="00B27EA2"/>
    <w:rsid w:val="00B30407"/>
    <w:rsid w:val="00B3782B"/>
    <w:rsid w:val="00B40E09"/>
    <w:rsid w:val="00B50586"/>
    <w:rsid w:val="00B61277"/>
    <w:rsid w:val="00B61AD2"/>
    <w:rsid w:val="00B704A3"/>
    <w:rsid w:val="00B70BCC"/>
    <w:rsid w:val="00B7535C"/>
    <w:rsid w:val="00B75638"/>
    <w:rsid w:val="00B81F19"/>
    <w:rsid w:val="00BB04E1"/>
    <w:rsid w:val="00BB5519"/>
    <w:rsid w:val="00BC0CDA"/>
    <w:rsid w:val="00BC6C4B"/>
    <w:rsid w:val="00BD18DC"/>
    <w:rsid w:val="00BD5B3D"/>
    <w:rsid w:val="00BE049A"/>
    <w:rsid w:val="00BE2D6E"/>
    <w:rsid w:val="00BF00C2"/>
    <w:rsid w:val="00BF0C8E"/>
    <w:rsid w:val="00BF1454"/>
    <w:rsid w:val="00BF462A"/>
    <w:rsid w:val="00BF71CB"/>
    <w:rsid w:val="00C01D2A"/>
    <w:rsid w:val="00C041D3"/>
    <w:rsid w:val="00C21B8E"/>
    <w:rsid w:val="00C5249F"/>
    <w:rsid w:val="00C57CD7"/>
    <w:rsid w:val="00C73BFD"/>
    <w:rsid w:val="00C77E66"/>
    <w:rsid w:val="00C90DEC"/>
    <w:rsid w:val="00C96EE6"/>
    <w:rsid w:val="00C97114"/>
    <w:rsid w:val="00CB0994"/>
    <w:rsid w:val="00CB1EC7"/>
    <w:rsid w:val="00CB3CA0"/>
    <w:rsid w:val="00CB4B7B"/>
    <w:rsid w:val="00CB524E"/>
    <w:rsid w:val="00CD219F"/>
    <w:rsid w:val="00CD39E2"/>
    <w:rsid w:val="00CD3CEF"/>
    <w:rsid w:val="00CE5683"/>
    <w:rsid w:val="00CE6AD4"/>
    <w:rsid w:val="00CF4737"/>
    <w:rsid w:val="00D004A9"/>
    <w:rsid w:val="00D13C24"/>
    <w:rsid w:val="00D1572D"/>
    <w:rsid w:val="00D21C98"/>
    <w:rsid w:val="00D240C5"/>
    <w:rsid w:val="00D252C1"/>
    <w:rsid w:val="00D27C90"/>
    <w:rsid w:val="00D32CFC"/>
    <w:rsid w:val="00D3687A"/>
    <w:rsid w:val="00D4230E"/>
    <w:rsid w:val="00D45163"/>
    <w:rsid w:val="00D4576B"/>
    <w:rsid w:val="00D4589E"/>
    <w:rsid w:val="00D63057"/>
    <w:rsid w:val="00D63C2A"/>
    <w:rsid w:val="00D70576"/>
    <w:rsid w:val="00D73664"/>
    <w:rsid w:val="00D90DC0"/>
    <w:rsid w:val="00D95961"/>
    <w:rsid w:val="00DA06C0"/>
    <w:rsid w:val="00DB0354"/>
    <w:rsid w:val="00DB1429"/>
    <w:rsid w:val="00DB272D"/>
    <w:rsid w:val="00DC6398"/>
    <w:rsid w:val="00DC6E4B"/>
    <w:rsid w:val="00DD2B91"/>
    <w:rsid w:val="00DF7DD3"/>
    <w:rsid w:val="00E01756"/>
    <w:rsid w:val="00E019B9"/>
    <w:rsid w:val="00E03BD6"/>
    <w:rsid w:val="00E11567"/>
    <w:rsid w:val="00E22815"/>
    <w:rsid w:val="00E22DAA"/>
    <w:rsid w:val="00E37691"/>
    <w:rsid w:val="00E433A4"/>
    <w:rsid w:val="00E45968"/>
    <w:rsid w:val="00E5405A"/>
    <w:rsid w:val="00E5478A"/>
    <w:rsid w:val="00E602AA"/>
    <w:rsid w:val="00E620BC"/>
    <w:rsid w:val="00E711AD"/>
    <w:rsid w:val="00E77599"/>
    <w:rsid w:val="00E847A4"/>
    <w:rsid w:val="00E939AF"/>
    <w:rsid w:val="00E95526"/>
    <w:rsid w:val="00EA04F8"/>
    <w:rsid w:val="00EA2614"/>
    <w:rsid w:val="00EA350F"/>
    <w:rsid w:val="00EC31F4"/>
    <w:rsid w:val="00EC6EA1"/>
    <w:rsid w:val="00ED0076"/>
    <w:rsid w:val="00ED02D8"/>
    <w:rsid w:val="00ED3A46"/>
    <w:rsid w:val="00ED694A"/>
    <w:rsid w:val="00EE51B3"/>
    <w:rsid w:val="00EF1B69"/>
    <w:rsid w:val="00F01955"/>
    <w:rsid w:val="00F02586"/>
    <w:rsid w:val="00F33A63"/>
    <w:rsid w:val="00F37AA4"/>
    <w:rsid w:val="00F41EEB"/>
    <w:rsid w:val="00F46893"/>
    <w:rsid w:val="00F505FA"/>
    <w:rsid w:val="00F62457"/>
    <w:rsid w:val="00F64429"/>
    <w:rsid w:val="00F7376D"/>
    <w:rsid w:val="00F82723"/>
    <w:rsid w:val="00F92AD8"/>
    <w:rsid w:val="00F934F4"/>
    <w:rsid w:val="00FA08A1"/>
    <w:rsid w:val="00FA6D16"/>
    <w:rsid w:val="00FB7BFA"/>
    <w:rsid w:val="00FD0096"/>
    <w:rsid w:val="00FE004A"/>
    <w:rsid w:val="00FF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hon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7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rsid w:val="0053069A"/>
    <w:rPr>
      <w:color w:val="0000FF"/>
      <w:u w:val="single"/>
    </w:rPr>
  </w:style>
  <w:style w:type="character" w:styleId="PageNumber">
    <w:name w:val="page number"/>
    <w:basedOn w:val="DefaultParagraphFont"/>
    <w:rsid w:val="0053069A"/>
  </w:style>
  <w:style w:type="character" w:styleId="FollowedHyperlink">
    <w:name w:val="FollowedHyperlink"/>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345778"/>
    <w:rPr>
      <w:b/>
      <w:bCs/>
    </w:rPr>
  </w:style>
  <w:style w:type="paragraph" w:styleId="BodyText">
    <w:name w:val="Body Text"/>
    <w:basedOn w:val="Normal"/>
    <w:rsid w:val="00E03BD6"/>
    <w:rPr>
      <w:sz w:val="24"/>
    </w:rPr>
  </w:style>
  <w:style w:type="paragraph" w:customStyle="1" w:styleId="InsideAddress">
    <w:name w:val="Inside Address"/>
    <w:basedOn w:val="Normal"/>
    <w:rsid w:val="00E847A4"/>
  </w:style>
  <w:style w:type="paragraph" w:styleId="ListParagraph">
    <w:name w:val="List Paragraph"/>
    <w:basedOn w:val="Normal"/>
    <w:qFormat/>
    <w:rsid w:val="00AB216E"/>
    <w:pPr>
      <w:ind w:left="720"/>
    </w:pPr>
    <w:rPr>
      <w:rFonts w:ascii="Calibri" w:hAnsi="Calibri" w:cs="Calibri"/>
      <w:sz w:val="22"/>
      <w:szCs w:val="22"/>
    </w:rPr>
  </w:style>
  <w:style w:type="paragraph" w:styleId="Title">
    <w:name w:val="Title"/>
    <w:basedOn w:val="Normal"/>
    <w:qFormat/>
    <w:rsid w:val="006D277E"/>
    <w:pPr>
      <w:widowControl w:val="0"/>
      <w:spacing w:before="100"/>
      <w:jc w:val="center"/>
    </w:pPr>
    <w:rPr>
      <w:rFonts w:ascii="Bookman Old Style" w:hAnsi="Bookman Old Style"/>
      <w:b/>
      <w:snapToGrid w:val="0"/>
      <w:sz w:val="18"/>
    </w:rPr>
  </w:style>
  <w:style w:type="paragraph" w:customStyle="1" w:styleId="TableText">
    <w:name w:val="Table Text"/>
    <w:rsid w:val="006D277E"/>
    <w:rPr>
      <w:rFonts w:ascii="Arial Narrow" w:hAnsi="Arial Narrow"/>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7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rsid w:val="0053069A"/>
    <w:rPr>
      <w:color w:val="0000FF"/>
      <w:u w:val="single"/>
    </w:rPr>
  </w:style>
  <w:style w:type="character" w:styleId="PageNumber">
    <w:name w:val="page number"/>
    <w:basedOn w:val="DefaultParagraphFont"/>
    <w:rsid w:val="0053069A"/>
  </w:style>
  <w:style w:type="character" w:styleId="FollowedHyperlink">
    <w:name w:val="FollowedHyperlink"/>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345778"/>
    <w:rPr>
      <w:b/>
      <w:bCs/>
    </w:rPr>
  </w:style>
  <w:style w:type="paragraph" w:styleId="BodyText">
    <w:name w:val="Body Text"/>
    <w:basedOn w:val="Normal"/>
    <w:rsid w:val="00E03BD6"/>
    <w:rPr>
      <w:sz w:val="24"/>
    </w:rPr>
  </w:style>
  <w:style w:type="paragraph" w:customStyle="1" w:styleId="InsideAddress">
    <w:name w:val="Inside Address"/>
    <w:basedOn w:val="Normal"/>
    <w:rsid w:val="00E847A4"/>
  </w:style>
  <w:style w:type="paragraph" w:styleId="ListParagraph">
    <w:name w:val="List Paragraph"/>
    <w:basedOn w:val="Normal"/>
    <w:qFormat/>
    <w:rsid w:val="00AB216E"/>
    <w:pPr>
      <w:ind w:left="720"/>
    </w:pPr>
    <w:rPr>
      <w:rFonts w:ascii="Calibri" w:hAnsi="Calibri" w:cs="Calibri"/>
      <w:sz w:val="22"/>
      <w:szCs w:val="22"/>
    </w:rPr>
  </w:style>
  <w:style w:type="paragraph" w:styleId="Title">
    <w:name w:val="Title"/>
    <w:basedOn w:val="Normal"/>
    <w:qFormat/>
    <w:rsid w:val="006D277E"/>
    <w:pPr>
      <w:widowControl w:val="0"/>
      <w:spacing w:before="100"/>
      <w:jc w:val="center"/>
    </w:pPr>
    <w:rPr>
      <w:rFonts w:ascii="Bookman Old Style" w:hAnsi="Bookman Old Style"/>
      <w:b/>
      <w:snapToGrid w:val="0"/>
      <w:sz w:val="18"/>
    </w:rPr>
  </w:style>
  <w:style w:type="paragraph" w:customStyle="1" w:styleId="TableText">
    <w:name w:val="Table Text"/>
    <w:rsid w:val="006D277E"/>
    <w:rPr>
      <w:rFonts w:ascii="Arial Narrow" w:hAnsi="Arial Narrow"/>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8105</CharactersWithSpaces>
  <SharedDoc>false</SharedDoc>
  <HLinks>
    <vt:vector size="6" baseType="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2008-08-04T21:19:00Z</cp:lastPrinted>
  <dcterms:created xsi:type="dcterms:W3CDTF">2012-03-05T22:13:00Z</dcterms:created>
  <dcterms:modified xsi:type="dcterms:W3CDTF">2012-03-05T22:13:00Z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