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3F" w:rsidRDefault="009D0BA5" w:rsidP="009D0BA5">
      <w:pPr>
        <w:tabs>
          <w:tab w:val="left" w:pos="1200"/>
        </w:tabs>
        <w:jc w:val="center"/>
        <w:rPr>
          <w:b/>
        </w:rPr>
      </w:pPr>
      <w:r w:rsidRPr="009D0BA5">
        <w:rPr>
          <w:b/>
        </w:rPr>
        <w:t xml:space="preserve">NAESB Board Gas-Electric Harmonization Committee Group </w:t>
      </w:r>
      <w:r w:rsidR="00414405">
        <w:rPr>
          <w:b/>
        </w:rPr>
        <w:t>1</w:t>
      </w:r>
    </w:p>
    <w:p w:rsidR="00982564" w:rsidRDefault="00414405" w:rsidP="009D0BA5">
      <w:pPr>
        <w:tabs>
          <w:tab w:val="left" w:pos="1200"/>
        </w:tabs>
        <w:jc w:val="center"/>
        <w:rPr>
          <w:b/>
        </w:rPr>
      </w:pPr>
      <w:r>
        <w:rPr>
          <w:b/>
        </w:rPr>
        <w:t>Transparency</w:t>
      </w:r>
      <w:r w:rsidR="004E0591">
        <w:rPr>
          <w:b/>
        </w:rPr>
        <w:t xml:space="preserve"> of Information</w:t>
      </w:r>
    </w:p>
    <w:p w:rsidR="009D0BA5" w:rsidRDefault="009D0BA5" w:rsidP="009D0BA5">
      <w:pPr>
        <w:tabs>
          <w:tab w:val="left" w:pos="1200"/>
        </w:tabs>
        <w:jc w:val="center"/>
        <w:rPr>
          <w:b/>
        </w:rPr>
      </w:pPr>
      <w:r>
        <w:rPr>
          <w:b/>
        </w:rPr>
        <w:t>March 1, 2012</w:t>
      </w:r>
    </w:p>
    <w:p w:rsidR="009D0BA5" w:rsidRDefault="009D0BA5" w:rsidP="009D0BA5">
      <w:pPr>
        <w:tabs>
          <w:tab w:val="left" w:pos="1200"/>
        </w:tabs>
        <w:jc w:val="center"/>
        <w:rPr>
          <w:b/>
        </w:rPr>
      </w:pPr>
    </w:p>
    <w:p w:rsidR="009D0BA5" w:rsidRDefault="009D0BA5" w:rsidP="009D0BA5">
      <w:pPr>
        <w:tabs>
          <w:tab w:val="left" w:pos="1200"/>
        </w:tabs>
      </w:pPr>
    </w:p>
    <w:p w:rsidR="00772313" w:rsidRDefault="00772313" w:rsidP="00954F27">
      <w:pPr>
        <w:tabs>
          <w:tab w:val="left" w:pos="1200"/>
        </w:tabs>
        <w:spacing w:before="240"/>
        <w:rPr>
          <w:b/>
          <w:u w:val="single"/>
        </w:rPr>
      </w:pPr>
      <w:r>
        <w:rPr>
          <w:b/>
          <w:u w:val="single"/>
        </w:rPr>
        <w:t>Key Questions and definition of the problem:</w:t>
      </w:r>
    </w:p>
    <w:p w:rsidR="00772313" w:rsidRDefault="00B941A6" w:rsidP="004A4054">
      <w:pPr>
        <w:numPr>
          <w:ilvl w:val="0"/>
          <w:numId w:val="37"/>
        </w:numPr>
        <w:tabs>
          <w:tab w:val="left" w:pos="1200"/>
        </w:tabs>
        <w:spacing w:before="120"/>
      </w:pPr>
      <w:r>
        <w:t xml:space="preserve">Additional market interdependency information available for decision making will provide for a more effective </w:t>
      </w:r>
      <w:r w:rsidR="005F7774">
        <w:t>operations between the two markets.</w:t>
      </w:r>
    </w:p>
    <w:p w:rsidR="005F7774" w:rsidRPr="005F7774" w:rsidRDefault="005F7774" w:rsidP="005F7774">
      <w:pPr>
        <w:numPr>
          <w:ilvl w:val="0"/>
          <w:numId w:val="37"/>
        </w:numPr>
        <w:tabs>
          <w:tab w:val="left" w:pos="1200"/>
        </w:tabs>
        <w:spacing w:before="120"/>
        <w:rPr>
          <w:b/>
          <w:u w:val="single"/>
        </w:rPr>
      </w:pPr>
      <w:r>
        <w:t>How should the information be made available and is a clearinghouse of sorts needed – particularly for entities that do not operate in an organized market?</w:t>
      </w:r>
    </w:p>
    <w:p w:rsidR="005F7774" w:rsidRPr="005F7774" w:rsidRDefault="005F7774" w:rsidP="005F7774">
      <w:pPr>
        <w:numPr>
          <w:ilvl w:val="0"/>
          <w:numId w:val="37"/>
        </w:numPr>
        <w:tabs>
          <w:tab w:val="left" w:pos="1200"/>
        </w:tabs>
        <w:spacing w:before="120"/>
        <w:rPr>
          <w:b/>
          <w:u w:val="single"/>
        </w:rPr>
      </w:pPr>
      <w:r>
        <w:t>How is transparency of needed information – possibly commercially or operationally sensitive – to be provided consistent with existing policies that impact release of information, such as the affiliate rule?</w:t>
      </w:r>
    </w:p>
    <w:p w:rsidR="009D0BA5" w:rsidRDefault="005F7774" w:rsidP="005F7774">
      <w:pPr>
        <w:tabs>
          <w:tab w:val="left" w:pos="1200"/>
        </w:tabs>
        <w:spacing w:before="240"/>
        <w:rPr>
          <w:b/>
          <w:u w:val="single"/>
        </w:rPr>
      </w:pPr>
      <w:r w:rsidRPr="009D0BA5">
        <w:rPr>
          <w:b/>
          <w:u w:val="single"/>
        </w:rPr>
        <w:t xml:space="preserve"> </w:t>
      </w:r>
      <w:r w:rsidR="009D0BA5" w:rsidRPr="009D0BA5">
        <w:rPr>
          <w:b/>
          <w:u w:val="single"/>
        </w:rPr>
        <w:t>Core Issues</w:t>
      </w:r>
    </w:p>
    <w:p w:rsidR="009D0BA5" w:rsidRDefault="00954F27" w:rsidP="00B034D3">
      <w:pPr>
        <w:numPr>
          <w:ilvl w:val="0"/>
          <w:numId w:val="37"/>
        </w:numPr>
        <w:tabs>
          <w:tab w:val="left" w:pos="1200"/>
        </w:tabs>
        <w:spacing w:before="120"/>
      </w:pPr>
      <w:r>
        <w:t>Identification of information, and the means by which it is accessible or communicated to support gas –electric market harmonization</w:t>
      </w:r>
      <w:r w:rsidR="00B941A6">
        <w:t>.</w:t>
      </w:r>
    </w:p>
    <w:p w:rsidR="00954F27" w:rsidRDefault="00954F27" w:rsidP="00B034D3">
      <w:pPr>
        <w:numPr>
          <w:ilvl w:val="0"/>
          <w:numId w:val="37"/>
        </w:numPr>
        <w:tabs>
          <w:tab w:val="left" w:pos="1200"/>
        </w:tabs>
        <w:spacing w:before="120"/>
      </w:pPr>
      <w:r>
        <w:t>Identification of possible competitive, confidentiality, or infrastructure protection risks related to the availability of information in support of market harmonization, and how to address the risks identified.</w:t>
      </w:r>
    </w:p>
    <w:p w:rsidR="009D0BA5" w:rsidRDefault="009D0BA5" w:rsidP="00954F27">
      <w:pPr>
        <w:tabs>
          <w:tab w:val="left" w:pos="1200"/>
        </w:tabs>
        <w:spacing w:before="240"/>
        <w:rPr>
          <w:b/>
          <w:u w:val="single"/>
        </w:rPr>
      </w:pPr>
      <w:r w:rsidRPr="009D0BA5">
        <w:rPr>
          <w:b/>
          <w:u w:val="single"/>
        </w:rPr>
        <w:t>Secondary / Cross-cutting Issues</w:t>
      </w:r>
    </w:p>
    <w:p w:rsidR="005F7774" w:rsidRDefault="005F7774" w:rsidP="005F7774">
      <w:pPr>
        <w:numPr>
          <w:ilvl w:val="0"/>
          <w:numId w:val="37"/>
        </w:numPr>
        <w:tabs>
          <w:tab w:val="left" w:pos="1200"/>
        </w:tabs>
        <w:spacing w:before="120"/>
      </w:pPr>
      <w:r w:rsidRPr="00BC0CDA">
        <w:t xml:space="preserve">Team 1 may be the recipient </w:t>
      </w:r>
      <w:r>
        <w:t>of several tasks identified by Teams 2 and 3, as it is likely that transparency of information is an element of the recommendations that may be made by those teams.</w:t>
      </w:r>
    </w:p>
    <w:p w:rsidR="00B034D3" w:rsidRDefault="00B034D3" w:rsidP="00954F27">
      <w:pPr>
        <w:tabs>
          <w:tab w:val="left" w:pos="1200"/>
        </w:tabs>
        <w:spacing w:before="240"/>
        <w:rPr>
          <w:b/>
          <w:u w:val="single"/>
        </w:rPr>
      </w:pPr>
      <w:r w:rsidRPr="00B034D3">
        <w:rPr>
          <w:b/>
          <w:u w:val="single"/>
        </w:rPr>
        <w:t>Observations Made by the Group on March 1, 2012</w:t>
      </w:r>
    </w:p>
    <w:p w:rsidR="00B034D3" w:rsidRDefault="00BC0CDA" w:rsidP="00B034D3">
      <w:pPr>
        <w:numPr>
          <w:ilvl w:val="0"/>
          <w:numId w:val="37"/>
        </w:numPr>
        <w:tabs>
          <w:tab w:val="left" w:pos="1200"/>
        </w:tabs>
        <w:spacing w:before="120"/>
      </w:pPr>
      <w:r w:rsidRPr="00BC0CDA">
        <w:t xml:space="preserve">Team 1 may be the recipient </w:t>
      </w:r>
      <w:r>
        <w:t xml:space="preserve">of several tasks identified by Teams 2 and 3, as </w:t>
      </w:r>
      <w:r w:rsidR="00BF1454">
        <w:t xml:space="preserve">it is likely that </w:t>
      </w:r>
      <w:r>
        <w:t xml:space="preserve">transparency </w:t>
      </w:r>
      <w:r w:rsidR="004E0591">
        <w:t>o</w:t>
      </w:r>
      <w:r>
        <w:t>f information is an element of the recommendations that may be made by those teams.</w:t>
      </w:r>
    </w:p>
    <w:p w:rsidR="009B75D8" w:rsidRDefault="009B75D8" w:rsidP="00B034D3">
      <w:pPr>
        <w:numPr>
          <w:ilvl w:val="0"/>
          <w:numId w:val="37"/>
        </w:numPr>
        <w:tabs>
          <w:tab w:val="left" w:pos="1200"/>
        </w:tabs>
        <w:spacing w:before="120"/>
      </w:pPr>
      <w:r>
        <w:t xml:space="preserve">Nuclear Power Plant Communications (Report 16) could be used as a template for </w:t>
      </w:r>
      <w:r w:rsidR="00DF7DD3">
        <w:t>this group.</w:t>
      </w:r>
    </w:p>
    <w:p w:rsidR="00D536BB" w:rsidRDefault="00DF7DD3" w:rsidP="00B034D3">
      <w:pPr>
        <w:numPr>
          <w:ilvl w:val="0"/>
          <w:numId w:val="37"/>
        </w:numPr>
        <w:tabs>
          <w:tab w:val="left" w:pos="1200"/>
        </w:tabs>
        <w:spacing w:before="120"/>
      </w:pPr>
      <w:r>
        <w:t>Information on linepack could be useful in harmonizing the market – including its size and how much it can fluctuate by segment.  There is a question on how useful this information would be for peak days.  On nonpeak days there is capacity available for interruptible transportation, but it is unclear how information on linepack  would contribute to improving the efficiency of the existing infrastructure and the harmonization of the market.</w:t>
      </w:r>
      <w:r w:rsidR="000E3E80">
        <w:t xml:space="preserve">  Taking linepack can impact the pipeline’s deliv</w:t>
      </w:r>
      <w:r w:rsidR="006528AC">
        <w:t>e</w:t>
      </w:r>
      <w:r w:rsidR="000E3E80">
        <w:t>rability and cause the pipeline to shut down the unauthorized party.</w:t>
      </w:r>
    </w:p>
    <w:p w:rsidR="00DF7DD3" w:rsidRDefault="00D536BB" w:rsidP="00B034D3">
      <w:pPr>
        <w:numPr>
          <w:ilvl w:val="0"/>
          <w:numId w:val="37"/>
        </w:numPr>
        <w:tabs>
          <w:tab w:val="left" w:pos="1200"/>
        </w:tabs>
        <w:spacing w:before="120"/>
      </w:pPr>
      <w:r>
        <w:t>As a cross over issue for team 2,</w:t>
      </w:r>
      <w:r w:rsidR="004B0D04">
        <w:t xml:space="preserve"> </w:t>
      </w:r>
      <w:r w:rsidR="00D85AEA">
        <w:t xml:space="preserve">the following </w:t>
      </w:r>
      <w:r w:rsidR="004B0D04">
        <w:t>gives an indication of how “Linepack information</w:t>
      </w:r>
      <w:r w:rsidR="00D85AEA">
        <w:t>”</w:t>
      </w:r>
      <w:r w:rsidR="004B0D04">
        <w:t xml:space="preserve">, through a market mechanism provides actionable transparent information: </w:t>
      </w:r>
      <w:r w:rsidR="008A4214">
        <w:t>One approach would be to identify segments on pipelines (say 300-500 mile segments) then for the pipeline to design a service</w:t>
      </w:r>
      <w:r w:rsidR="004B0D04">
        <w:t xml:space="preserve"> that would be offered, bid-for and cleared on that pipeline under which it would sell defined service amounts per unit time.  The services would be either a “pack and remove” service where the buyer buys </w:t>
      </w:r>
      <w:r w:rsidR="00D85AEA">
        <w:t>a “pack” right (</w:t>
      </w:r>
      <w:r w:rsidR="004B0D04">
        <w:t>the right to leave gas in the line</w:t>
      </w:r>
      <w:r w:rsidR="00D85AEA">
        <w:t>)</w:t>
      </w:r>
      <w:r w:rsidR="004B0D04">
        <w:t xml:space="preserve"> and has to remove it by a time certain (say next gas day at the latest) or a “take and replace” service where the buyer buys a specified </w:t>
      </w:r>
      <w:r w:rsidR="00D85AEA">
        <w:t>“</w:t>
      </w:r>
      <w:r w:rsidR="004B0D04">
        <w:t>draft</w:t>
      </w:r>
      <w:r w:rsidR="00D85AEA">
        <w:t>”</w:t>
      </w:r>
      <w:r w:rsidR="004B0D04">
        <w:t xml:space="preserve"> right (rate and amount) and has to replace the quantity by a time certain (again, say no later than the next gas day).</w:t>
      </w:r>
      <w:r w:rsidR="00D85AEA">
        <w:t xml:space="preserve">  The intent is, through creation of a service with known transactions and prices, the value of linepack </w:t>
      </w:r>
      <w:r>
        <w:t>s</w:t>
      </w:r>
      <w:r w:rsidR="00D85AEA">
        <w:t>ervice can be a price signal that calls forth capacity to meet such intermittent needs, while day-round, and hourly services meet more persistent demands.</w:t>
      </w:r>
    </w:p>
    <w:p w:rsidR="00DF7DD3" w:rsidRDefault="000E3E80" w:rsidP="00B034D3">
      <w:pPr>
        <w:numPr>
          <w:ilvl w:val="0"/>
          <w:numId w:val="37"/>
        </w:numPr>
        <w:tabs>
          <w:tab w:val="left" w:pos="1200"/>
        </w:tabs>
        <w:spacing w:before="120"/>
      </w:pPr>
      <w:r>
        <w:lastRenderedPageBreak/>
        <w:t>Knowing the status on dispatchable generation, such as coal and nuclear, is important in decisions regarding unplanned outages</w:t>
      </w:r>
      <w:r w:rsidR="00D536BB">
        <w:t>.  It is unclear how</w:t>
      </w:r>
      <w:r w:rsidR="00D85AEA">
        <w:t xml:space="preserve"> this impacts Gas-Electric synchronization and may have unintended anti-competitive inter-fuel impacts</w:t>
      </w:r>
      <w:r w:rsidR="00D536BB">
        <w:t>.</w:t>
      </w:r>
    </w:p>
    <w:p w:rsidR="00B941A6" w:rsidRDefault="00B941A6" w:rsidP="00B941A6">
      <w:pPr>
        <w:numPr>
          <w:ilvl w:val="0"/>
          <w:numId w:val="37"/>
        </w:numPr>
        <w:tabs>
          <w:tab w:val="left" w:pos="1200"/>
        </w:tabs>
        <w:spacing w:before="120"/>
      </w:pPr>
      <w:r>
        <w:t>Transparency of information should improve the efficiency of markets.  As an example, if there were a requirement that generators post availability, outages, etc</w:t>
      </w:r>
      <w:r w:rsidR="00D536BB">
        <w:t xml:space="preserve">.  This information was be derived  </w:t>
      </w:r>
      <w:r w:rsidR="00D85AEA">
        <w:t>today to a large extent through bidding in organized markets</w:t>
      </w:r>
      <w:r w:rsidR="00D536BB">
        <w:t>.</w:t>
      </w:r>
    </w:p>
    <w:p w:rsidR="00844995" w:rsidRPr="00EB0273" w:rsidRDefault="00844995" w:rsidP="00B941A6">
      <w:pPr>
        <w:numPr>
          <w:ilvl w:val="0"/>
          <w:numId w:val="37"/>
        </w:numPr>
        <w:tabs>
          <w:tab w:val="left" w:pos="1200"/>
        </w:tabs>
        <w:spacing w:before="120"/>
        <w:rPr>
          <w:u w:val="single"/>
        </w:rPr>
      </w:pPr>
      <w:r>
        <w:t>Availability to RTOs</w:t>
      </w:r>
      <w:r w:rsidR="00D536BB">
        <w:t xml:space="preserve">, </w:t>
      </w:r>
      <w:r>
        <w:t xml:space="preserve"> ISO</w:t>
      </w:r>
      <w:r w:rsidR="00D536BB">
        <w:t>s and h</w:t>
      </w:r>
      <w:r>
        <w:t xml:space="preserve">ost utilities in non-organized markets </w:t>
      </w:r>
      <w:r w:rsidR="00B941A6">
        <w:t>of</w:t>
      </w:r>
      <w:r>
        <w:t>:</w:t>
      </w:r>
    </w:p>
    <w:p w:rsidR="00844995" w:rsidRPr="00EB0273" w:rsidRDefault="00B941A6" w:rsidP="00E41EED">
      <w:pPr>
        <w:numPr>
          <w:ilvl w:val="1"/>
          <w:numId w:val="38"/>
        </w:numPr>
        <w:tabs>
          <w:tab w:val="left" w:pos="1440"/>
        </w:tabs>
        <w:spacing w:before="120"/>
        <w:rPr>
          <w:u w:val="single"/>
        </w:rPr>
      </w:pPr>
      <w:r>
        <w:t xml:space="preserve">information such as information regarding </w:t>
      </w:r>
      <w:r w:rsidR="00844995">
        <w:t xml:space="preserve">electric compressor locations for those </w:t>
      </w:r>
      <w:r>
        <w:t>pipelines’ that use electric compressors</w:t>
      </w:r>
    </w:p>
    <w:p w:rsidR="00844995" w:rsidRPr="00EB0273" w:rsidRDefault="00844995" w:rsidP="00E41EED">
      <w:pPr>
        <w:numPr>
          <w:ilvl w:val="1"/>
          <w:numId w:val="38"/>
        </w:numPr>
        <w:tabs>
          <w:tab w:val="left" w:pos="1440"/>
        </w:tabs>
        <w:spacing w:before="120"/>
        <w:rPr>
          <w:u w:val="single"/>
        </w:rPr>
      </w:pPr>
      <w:r>
        <w:t>information such as information regarding electric compressor locations for those LDC’s that use electric compressors</w:t>
      </w:r>
    </w:p>
    <w:p w:rsidR="00844995" w:rsidRPr="00EB0273" w:rsidRDefault="00844995" w:rsidP="00E41EED">
      <w:pPr>
        <w:numPr>
          <w:ilvl w:val="1"/>
          <w:numId w:val="38"/>
        </w:numPr>
        <w:tabs>
          <w:tab w:val="left" w:pos="1440"/>
        </w:tabs>
        <w:spacing w:before="120"/>
        <w:rPr>
          <w:u w:val="single"/>
        </w:rPr>
      </w:pPr>
      <w:r>
        <w:t>Gas Processors’ locations that use grid or utility provided electricity to maintain operations</w:t>
      </w:r>
    </w:p>
    <w:p w:rsidR="00844995" w:rsidRPr="00EB0273" w:rsidRDefault="00844995" w:rsidP="00E41EED">
      <w:pPr>
        <w:numPr>
          <w:ilvl w:val="1"/>
          <w:numId w:val="38"/>
        </w:numPr>
        <w:tabs>
          <w:tab w:val="left" w:pos="1440"/>
        </w:tabs>
        <w:spacing w:before="120"/>
        <w:rPr>
          <w:u w:val="single"/>
        </w:rPr>
      </w:pPr>
      <w:r>
        <w:t>Storage Operators locations that use grid or utility provided electricity to maintain operations</w:t>
      </w:r>
    </w:p>
    <w:p w:rsidR="00844995" w:rsidRDefault="00844995" w:rsidP="00E41EED">
      <w:pPr>
        <w:numPr>
          <w:ilvl w:val="1"/>
          <w:numId w:val="38"/>
        </w:numPr>
        <w:tabs>
          <w:tab w:val="left" w:pos="1440"/>
        </w:tabs>
        <w:spacing w:before="120"/>
        <w:rPr>
          <w:u w:val="single"/>
        </w:rPr>
      </w:pPr>
      <w:r>
        <w:t>Possibly also other locations that require electricity to maintain flow measurement and flow management/control (maybe a minimum size flow would be sufficient?)</w:t>
      </w:r>
    </w:p>
    <w:p w:rsidR="00844995" w:rsidRPr="00982564" w:rsidRDefault="00B941A6" w:rsidP="00E41EED">
      <w:pPr>
        <w:tabs>
          <w:tab w:val="left" w:pos="720"/>
        </w:tabs>
        <w:spacing w:before="120"/>
        <w:ind w:left="720"/>
        <w:rPr>
          <w:u w:val="single"/>
        </w:rPr>
      </w:pPr>
      <w:r>
        <w:t xml:space="preserve">would be beneficial when determining actions to be taken </w:t>
      </w:r>
      <w:r w:rsidR="000F1819">
        <w:t xml:space="preserve">by electric service provider </w:t>
      </w:r>
      <w:r>
        <w:t>in curtailments.</w:t>
      </w:r>
      <w:r w:rsidRPr="00844995">
        <w:rPr>
          <w:u w:val="single"/>
        </w:rPr>
        <w:t xml:space="preserve"> </w:t>
      </w:r>
    </w:p>
    <w:p w:rsidR="006528AC" w:rsidRDefault="00B941A6" w:rsidP="00B034D3">
      <w:pPr>
        <w:numPr>
          <w:ilvl w:val="0"/>
          <w:numId w:val="37"/>
        </w:numPr>
        <w:tabs>
          <w:tab w:val="left" w:pos="1200"/>
        </w:tabs>
        <w:spacing w:before="120"/>
      </w:pPr>
      <w:r>
        <w:t>Possibly providing</w:t>
      </w:r>
      <w:r w:rsidR="006528AC">
        <w:t xml:space="preserve"> r</w:t>
      </w:r>
      <w:r w:rsidR="000E3E80">
        <w:t xml:space="preserve">eporting of the requirements to meet load generation – fuel </w:t>
      </w:r>
      <w:r w:rsidR="006528AC">
        <w:t>neutral, with the appropriate ser</w:t>
      </w:r>
      <w:r>
        <w:t xml:space="preserve">vices to ensure deliverability would be helpful. </w:t>
      </w:r>
      <w:r w:rsidR="006528AC">
        <w:t xml:space="preserve"> This communication would be helpful to identify the needed arrangements to avoid curtailments during peak day conditions.</w:t>
      </w:r>
    </w:p>
    <w:p w:rsidR="006528AC" w:rsidRDefault="00972E34" w:rsidP="00B034D3">
      <w:pPr>
        <w:numPr>
          <w:ilvl w:val="0"/>
          <w:numId w:val="37"/>
        </w:numPr>
        <w:tabs>
          <w:tab w:val="left" w:pos="1200"/>
        </w:tabs>
        <w:spacing w:before="120"/>
      </w:pPr>
      <w:r>
        <w:t xml:space="preserve">How does the retirement of coal or oil generation, or is offline for economic reasons impact the harmonization of the markets and will transparency reporting be helpful? </w:t>
      </w:r>
    </w:p>
    <w:p w:rsidR="00972E34" w:rsidRDefault="00972E34" w:rsidP="00B034D3">
      <w:pPr>
        <w:numPr>
          <w:ilvl w:val="0"/>
          <w:numId w:val="37"/>
        </w:numPr>
        <w:tabs>
          <w:tab w:val="left" w:pos="1200"/>
        </w:tabs>
        <w:spacing w:before="120"/>
      </w:pPr>
      <w:r>
        <w:t>Transparency of information has to be balanced against giving away a commercial advantage by explaining the situation of the generation.</w:t>
      </w:r>
    </w:p>
    <w:p w:rsidR="002F60D5" w:rsidRDefault="00D536BB" w:rsidP="00B034D3">
      <w:pPr>
        <w:numPr>
          <w:ilvl w:val="0"/>
          <w:numId w:val="37"/>
        </w:numPr>
        <w:tabs>
          <w:tab w:val="left" w:pos="1200"/>
        </w:tabs>
        <w:spacing w:before="120"/>
      </w:pPr>
      <w:r>
        <w:t>H</w:t>
      </w:r>
      <w:r w:rsidR="002F60D5">
        <w:t>ow can this information be provided if there is no central ISO or RTO?   FERC supports providing wholesale pricing information, so that a similar clearinghouse for information with limited access</w:t>
      </w:r>
      <w:r w:rsidR="00160969">
        <w:t xml:space="preserve"> may be a reasonable alternative.</w:t>
      </w:r>
      <w:r w:rsidR="000F1819">
        <w:t xml:space="preserve"> </w:t>
      </w:r>
      <w:r>
        <w:t xml:space="preserve">It is unclear whether the </w:t>
      </w:r>
      <w:r w:rsidR="000F1819">
        <w:t>“market” needs to know the locations of users of electricity for curtailment management and prevention of energy supply cascading, but ISO/RTO and utility service providers in non-organized markets certainly should</w:t>
      </w:r>
      <w:r>
        <w:t>.</w:t>
      </w:r>
      <w:r w:rsidR="000F1819">
        <w:t xml:space="preserve">  </w:t>
      </w:r>
    </w:p>
    <w:p w:rsidR="00160969" w:rsidRDefault="00160969" w:rsidP="00B034D3">
      <w:pPr>
        <w:numPr>
          <w:ilvl w:val="0"/>
          <w:numId w:val="37"/>
        </w:numPr>
        <w:tabs>
          <w:tab w:val="left" w:pos="1200"/>
        </w:tabs>
        <w:spacing w:before="120"/>
      </w:pPr>
      <w:r>
        <w:t xml:space="preserve">Intermittent wind </w:t>
      </w:r>
      <w:r w:rsidR="00E41EED">
        <w:t>and</w:t>
      </w:r>
      <w:r w:rsidR="008A4214">
        <w:t xml:space="preserve"> solar </w:t>
      </w:r>
      <w:r>
        <w:t xml:space="preserve">generation </w:t>
      </w:r>
      <w:r w:rsidR="008A4214">
        <w:t xml:space="preserve">have </w:t>
      </w:r>
      <w:r>
        <w:t>an impact on pipelines, who help balance the system – ERCOT provides the data in 15 minute increments.  This data is helpful as it is generation broken down by fuel, and provides information for planning.</w:t>
      </w:r>
      <w:r w:rsidR="006607B8">
        <w:t xml:space="preserve">  </w:t>
      </w:r>
      <w:r w:rsidR="008A4214">
        <w:t xml:space="preserve">Weather conditions upwind </w:t>
      </w:r>
      <w:r w:rsidR="006607B8">
        <w:t>of wind generation can be monitored to better plan for the requirements to be place</w:t>
      </w:r>
      <w:r w:rsidR="008A4214">
        <w:t>d</w:t>
      </w:r>
      <w:r w:rsidR="006607B8">
        <w:t xml:space="preserve"> on </w:t>
      </w:r>
      <w:r w:rsidR="008A4214">
        <w:t xml:space="preserve">all supply/demand responsive sources, not the least of which are </w:t>
      </w:r>
      <w:r w:rsidR="006607B8">
        <w:t xml:space="preserve">gas generators and </w:t>
      </w:r>
      <w:r w:rsidR="008A4214">
        <w:t xml:space="preserve">their </w:t>
      </w:r>
      <w:r w:rsidR="006607B8">
        <w:t>pipelines.</w:t>
      </w:r>
    </w:p>
    <w:p w:rsidR="00160969" w:rsidRDefault="00160969" w:rsidP="00B034D3">
      <w:pPr>
        <w:numPr>
          <w:ilvl w:val="0"/>
          <w:numId w:val="37"/>
        </w:numPr>
        <w:tabs>
          <w:tab w:val="left" w:pos="1200"/>
        </w:tabs>
        <w:spacing w:before="120"/>
      </w:pPr>
      <w:r>
        <w:t xml:space="preserve"> </w:t>
      </w:r>
      <w:r w:rsidR="006607B8">
        <w:t>Which plants are going to run, when they are going to run and do they have contractual rights to run – are the key questions that the pipelines need for operations.  The planning information noted in the above bullet may be more appropriate to the ISO or utility.</w:t>
      </w:r>
      <w:r w:rsidR="008A4214">
        <w:t xml:space="preserve"> [G. Lander comment: Not sure this is really helpful.  Pipelines respond to contracts, it may help for ISO/RTO’s and utility service providers in non-organized markets  on the one hand and pipelines on the other to “share” with each other information as to imminent stress situations, but other than that I’m not sure this is pertinent]</w:t>
      </w:r>
    </w:p>
    <w:p w:rsidR="00160969" w:rsidRDefault="006607B8" w:rsidP="00B034D3">
      <w:pPr>
        <w:numPr>
          <w:ilvl w:val="0"/>
          <w:numId w:val="37"/>
        </w:numPr>
        <w:tabs>
          <w:tab w:val="left" w:pos="1200"/>
        </w:tabs>
        <w:spacing w:before="120"/>
      </w:pPr>
      <w:r>
        <w:t>When there are indications of load changes, pipelines can make the needed adjustments to linepack.</w:t>
      </w:r>
      <w:r w:rsidR="008A4214">
        <w:t xml:space="preserve"> </w:t>
      </w:r>
      <w:r w:rsidR="00D536BB">
        <w:t>If l</w:t>
      </w:r>
      <w:r w:rsidR="008A4214">
        <w:t>ine pack service were a priced and reasonably transparent service, bidding for and clearing of that service – when available, is how such adjustment would be best made and information thus communicated</w:t>
      </w:r>
      <w:r w:rsidR="00D536BB">
        <w:t>.</w:t>
      </w:r>
    </w:p>
    <w:p w:rsidR="006607B8" w:rsidRDefault="006607B8" w:rsidP="00B034D3">
      <w:pPr>
        <w:numPr>
          <w:ilvl w:val="0"/>
          <w:numId w:val="37"/>
        </w:numPr>
        <w:tabs>
          <w:tab w:val="left" w:pos="1200"/>
        </w:tabs>
        <w:spacing w:before="120"/>
      </w:pPr>
      <w:r>
        <w:lastRenderedPageBreak/>
        <w:t>All of the information noted is available, but not provided due to a competitive advantage.</w:t>
      </w:r>
      <w:r w:rsidR="00D536BB">
        <w:t xml:space="preserve">  W</w:t>
      </w:r>
      <w:r w:rsidR="00D85AEA">
        <w:t xml:space="preserve">hat information is shared with the market versus </w:t>
      </w:r>
      <w:r w:rsidR="00D536BB">
        <w:t xml:space="preserve">traded </w:t>
      </w:r>
      <w:r w:rsidR="00D85AEA">
        <w:t xml:space="preserve">among operators responsible </w:t>
      </w:r>
      <w:r w:rsidR="00D536BB">
        <w:t>for reliability may not operate under the same restrictions</w:t>
      </w:r>
      <w:r w:rsidR="00D85AEA">
        <w:t>.</w:t>
      </w:r>
    </w:p>
    <w:p w:rsidR="006607B8" w:rsidRDefault="006607B8" w:rsidP="00B034D3">
      <w:pPr>
        <w:numPr>
          <w:ilvl w:val="0"/>
          <w:numId w:val="37"/>
        </w:numPr>
        <w:tabs>
          <w:tab w:val="left" w:pos="1200"/>
        </w:tabs>
        <w:spacing w:before="120"/>
      </w:pPr>
      <w:r>
        <w:t>In terms of interdependency, are system operators of both markets aware of critical infrastructure installations on their systems so that appropriate actions can be taken during curtailments?  Would transparency reporting be helpful in communicating between operators?</w:t>
      </w:r>
      <w:r w:rsidR="002A4FEF">
        <w:t xml:space="preserve">  A tariff filing by CAISO regarding sharing of this type of information was recently submitted to the FERC.  Interstate ope</w:t>
      </w:r>
      <w:r w:rsidR="00E41EED">
        <w:t>rations require postings of out</w:t>
      </w:r>
      <w:r w:rsidR="002A4FEF">
        <w:t>ages, but intrastates may not have the same requirements to post.  There may be easier means of notification that should be considered.</w:t>
      </w:r>
      <w:bookmarkStart w:id="0" w:name="_GoBack"/>
      <w:bookmarkEnd w:id="0"/>
    </w:p>
    <w:p w:rsidR="00264C91" w:rsidRPr="00BC0CDA" w:rsidRDefault="00264C91" w:rsidP="00B034D3">
      <w:pPr>
        <w:numPr>
          <w:ilvl w:val="0"/>
          <w:numId w:val="37"/>
        </w:numPr>
        <w:tabs>
          <w:tab w:val="left" w:pos="1200"/>
        </w:tabs>
        <w:spacing w:before="120"/>
      </w:pPr>
      <w:r>
        <w:t xml:space="preserve">Information sharing could have competitive or </w:t>
      </w:r>
      <w:r w:rsidR="002A759C">
        <w:t>infrastructure protection</w:t>
      </w:r>
      <w:r>
        <w:t xml:space="preserve"> implications</w:t>
      </w:r>
      <w:r w:rsidR="002A759C">
        <w:t xml:space="preserve"> – are there risks that could be introduced that should be addressed.</w:t>
      </w:r>
    </w:p>
    <w:sectPr w:rsidR="00264C91" w:rsidRPr="00BC0CDA" w:rsidSect="00E939AF">
      <w:headerReference w:type="default" r:id="rId8"/>
      <w:footerReference w:type="default" r:id="rId9"/>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D2" w:rsidRDefault="003201D2">
      <w:r>
        <w:separator/>
      </w:r>
    </w:p>
  </w:endnote>
  <w:endnote w:type="continuationSeparator" w:id="0">
    <w:p w:rsidR="003201D2" w:rsidRDefault="0032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96" w:rsidRDefault="00FD0096" w:rsidP="00AF3235">
    <w:pPr>
      <w:pStyle w:val="Footer"/>
      <w:pBdr>
        <w:top w:val="single" w:sz="18" w:space="1" w:color="auto"/>
      </w:pBdr>
      <w:jc w:val="right"/>
    </w:pPr>
    <w:r>
      <w:t xml:space="preserve">NAESB Board Gas-Electric Harmonization Committee </w:t>
    </w:r>
    <w:r w:rsidR="004E181C">
      <w:t xml:space="preserve">Team </w:t>
    </w:r>
    <w:r w:rsidR="00B941A6">
      <w:t>1</w:t>
    </w:r>
    <w:r w:rsidR="004E181C">
      <w:t xml:space="preserve"> </w:t>
    </w:r>
    <w:r>
      <w:t xml:space="preserve">Notes – </w:t>
    </w:r>
    <w:r w:rsidR="004E181C">
      <w:t>March 1, 2012</w:t>
    </w:r>
  </w:p>
  <w:p w:rsidR="00FD0096" w:rsidRDefault="00FD0096" w:rsidP="00AF3235">
    <w:pPr>
      <w:pStyle w:val="Footer"/>
      <w:pBdr>
        <w:top w:val="single" w:sz="18" w:space="1" w:color="auto"/>
      </w:pBdr>
      <w:jc w:val="right"/>
    </w:pPr>
    <w:r>
      <w:t xml:space="preserve">Page </w:t>
    </w:r>
    <w:r>
      <w:fldChar w:fldCharType="begin"/>
    </w:r>
    <w:r>
      <w:instrText xml:space="preserve"> PAGE </w:instrText>
    </w:r>
    <w:r>
      <w:fldChar w:fldCharType="separate"/>
    </w:r>
    <w:r w:rsidR="00D536BB">
      <w:rPr>
        <w:noProof/>
      </w:rPr>
      <w:t>1</w:t>
    </w:r>
    <w:r>
      <w:fldChar w:fldCharType="end"/>
    </w:r>
    <w:r>
      <w:t xml:space="preserve"> of </w:t>
    </w:r>
    <w:r>
      <w:fldChar w:fldCharType="begin"/>
    </w:r>
    <w:r>
      <w:instrText xml:space="preserve"> NUMPAGES </w:instrText>
    </w:r>
    <w:r>
      <w:fldChar w:fldCharType="separate"/>
    </w:r>
    <w:r w:rsidR="00D536B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D2" w:rsidRDefault="003201D2">
      <w:r>
        <w:separator/>
      </w:r>
    </w:p>
  </w:footnote>
  <w:footnote w:type="continuationSeparator" w:id="0">
    <w:p w:rsidR="003201D2" w:rsidRDefault="00320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96" w:rsidRDefault="00D536B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7216" behindDoc="1" locked="0" layoutInCell="1" allowOverlap="1">
              <wp:simplePos x="0" y="0"/>
              <wp:positionH relativeFrom="column">
                <wp:posOffset>-23495</wp:posOffset>
              </wp:positionH>
              <wp:positionV relativeFrom="paragraph">
                <wp:posOffset>12065</wp:posOffset>
              </wp:positionV>
              <wp:extent cx="45085" cy="146685"/>
              <wp:effectExtent l="0" t="254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096" w:rsidRDefault="00FD00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FD0096" w:rsidRDefault="00FD0096"/>
                </w:txbxContent>
              </v:textbox>
            </v:rect>
          </w:pict>
        </mc:Fallback>
      </mc:AlternateContent>
    </w:r>
  </w:p>
  <w:p w:rsidR="00FD0096" w:rsidRDefault="00FD0096">
    <w:pPr>
      <w:pStyle w:val="Header"/>
      <w:tabs>
        <w:tab w:val="left" w:pos="1080"/>
      </w:tabs>
      <w:ind w:left="2160"/>
      <w:rPr>
        <w:rFonts w:ascii="Bookman Old Style" w:hAnsi="Bookman Old Style"/>
        <w:b/>
        <w:sz w:val="28"/>
      </w:rPr>
    </w:pPr>
  </w:p>
  <w:p w:rsidR="00FD0096" w:rsidRPr="00EC31F4" w:rsidRDefault="00FD0096" w:rsidP="00E939AF">
    <w:pPr>
      <w:pStyle w:val="Header"/>
      <w:tabs>
        <w:tab w:val="left" w:pos="1080"/>
      </w:tabs>
      <w:ind w:left="1800"/>
      <w:jc w:val="right"/>
      <w:rPr>
        <w:b/>
        <w:spacing w:val="20"/>
        <w:sz w:val="32"/>
      </w:rPr>
    </w:pPr>
    <w:r w:rsidRPr="00EC31F4">
      <w:rPr>
        <w:b/>
        <w:spacing w:val="20"/>
        <w:sz w:val="32"/>
      </w:rPr>
      <w:t>North American Energy Standards Board</w:t>
    </w:r>
  </w:p>
  <w:p w:rsidR="00FD0096" w:rsidRPr="00EC31F4" w:rsidRDefault="00FD0096"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FD0096" w:rsidRPr="006579E3" w:rsidRDefault="00FD0096" w:rsidP="00E939AF">
    <w:pPr>
      <w:pStyle w:val="Header"/>
      <w:ind w:left="1800"/>
      <w:jc w:val="right"/>
      <w:rPr>
        <w:lang w:val="fr-FR"/>
      </w:rPr>
    </w:pPr>
    <w:r w:rsidRPr="006579E3">
      <w:rPr>
        <w:lang w:val="fr-FR"/>
      </w:rPr>
      <w:t xml:space="preserve">Phone:  </w:t>
    </w:r>
    <w:smartTag w:uri="urn:schemas-microsoft-com:office:smarttags" w:element="phone">
      <w:smartTagPr>
        <w:attr w:name="phonenumber" w:val="$6356$$$"/>
        <w:attr w:uri="urn:schemas-microsoft-com:office:office" w:name="ls" w:val="trans"/>
      </w:smartTagPr>
      <w:r w:rsidRPr="006579E3">
        <w:rPr>
          <w:lang w:val="fr-FR"/>
        </w:rPr>
        <w:t xml:space="preserve">(713) </w:t>
      </w:r>
      <w:smartTag w:uri="urn:schemas-microsoft-com:office:smarttags" w:element="phone">
        <w:smartTagPr>
          <w:attr w:name="phonenumber" w:val="$6356$$$"/>
          <w:attr w:uri="urn:schemas-microsoft-com:office:office" w:name="ls" w:val="trans"/>
        </w:smartTagPr>
        <w:r w:rsidRPr="006579E3">
          <w:rPr>
            <w:lang w:val="fr-FR"/>
          </w:rPr>
          <w:t>356-0060</w:t>
        </w:r>
      </w:smartTag>
    </w:smartTag>
    <w:r w:rsidRPr="006579E3">
      <w:rPr>
        <w:lang w:val="fr-FR"/>
      </w:rPr>
      <w:t xml:space="preserve">, Fax:  </w:t>
    </w:r>
    <w:smartTag w:uri="urn:schemas-microsoft-com:office:smarttags" w:element="phone">
      <w:smartTagPr>
        <w:attr w:name="phonenumber" w:val="$6356$$$"/>
        <w:attr w:uri="urn:schemas-microsoft-com:office:office" w:name="ls" w:val="trans"/>
      </w:smartTagPr>
      <w:r w:rsidRPr="006579E3">
        <w:rPr>
          <w:lang w:val="fr-FR"/>
        </w:rPr>
        <w:t xml:space="preserve">(713) </w:t>
      </w:r>
      <w:smartTag w:uri="urn:schemas-microsoft-com:office:smarttags" w:element="phone">
        <w:smartTagPr>
          <w:attr w:name="phonenumber" w:val="$6356$$$"/>
          <w:attr w:uri="urn:schemas-microsoft-com:office:office" w:name="ls" w:val="trans"/>
        </w:smartTagPr>
        <w:r w:rsidRPr="006579E3">
          <w:rPr>
            <w:lang w:val="fr-FR"/>
          </w:rPr>
          <w:t>356-0067</w:t>
        </w:r>
      </w:smartTag>
    </w:smartTag>
    <w:r w:rsidRPr="006579E3">
      <w:rPr>
        <w:lang w:val="fr-FR"/>
      </w:rPr>
      <w:t>, E-mail: naesb@naesb.org</w:t>
    </w:r>
  </w:p>
  <w:p w:rsidR="00FD0096" w:rsidRPr="00EC31F4" w:rsidRDefault="00FD0096" w:rsidP="00E939AF">
    <w:pPr>
      <w:pStyle w:val="Header"/>
      <w:pBdr>
        <w:bottom w:val="single" w:sz="18" w:space="1" w:color="auto"/>
      </w:pBdr>
      <w:ind w:left="1800" w:hanging="1800"/>
      <w:jc w:val="right"/>
    </w:pPr>
    <w:r w:rsidRPr="006579E3">
      <w:rPr>
        <w:lang w:val="fr-FR"/>
      </w:rPr>
      <w:tab/>
    </w:r>
    <w:r w:rsidRPr="00EC31F4">
      <w:t xml:space="preserve">Home Page: </w:t>
    </w:r>
    <w:hyperlink r:id="rId2" w:history="1">
      <w:r w:rsidRPr="00EC31F4">
        <w:rPr>
          <w:rStyle w:val="Hyperlink"/>
        </w:rPr>
        <w:t>www.naesb.org</w:t>
      </w:r>
    </w:hyperlink>
  </w:p>
  <w:p w:rsidR="00FD0096" w:rsidRPr="00EC31F4" w:rsidRDefault="00FD0096">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015EB4"/>
    <w:multiLevelType w:val="hybridMultilevel"/>
    <w:tmpl w:val="EB48ED52"/>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D2BE7"/>
    <w:multiLevelType w:val="multilevel"/>
    <w:tmpl w:val="80106C22"/>
    <w:lvl w:ilvl="0">
      <w:start w:val="1"/>
      <w:numFmt w:val="lowerLetter"/>
      <w:lvlText w:val="%1)"/>
      <w:lvlJc w:val="left"/>
      <w:pPr>
        <w:tabs>
          <w:tab w:val="num" w:pos="4680"/>
        </w:tabs>
        <w:ind w:left="4680" w:hanging="360"/>
      </w:pPr>
    </w:lvl>
    <w:lvl w:ilvl="1">
      <w:start w:val="1"/>
      <w:numFmt w:val="lowerLetter"/>
      <w:lvlText w:val="%2."/>
      <w:lvlJc w:val="left"/>
      <w:pPr>
        <w:tabs>
          <w:tab w:val="num" w:pos="3240"/>
        </w:tabs>
        <w:ind w:left="3240" w:hanging="360"/>
      </w:pPr>
    </w:lvl>
    <w:lvl w:ilvl="2">
      <w:start w:val="1"/>
      <w:numFmt w:val="lowerLetter"/>
      <w:lvlText w:val="%3)"/>
      <w:lvlJc w:val="left"/>
      <w:pPr>
        <w:tabs>
          <w:tab w:val="num" w:pos="4140"/>
        </w:tabs>
        <w:ind w:left="4140" w:hanging="36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8">
    <w:nsid w:val="24AF7B62"/>
    <w:multiLevelType w:val="hybridMultilevel"/>
    <w:tmpl w:val="78F4861A"/>
    <w:lvl w:ilvl="0" w:tplc="18AE2810">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4C845FF"/>
    <w:multiLevelType w:val="hybridMultilevel"/>
    <w:tmpl w:val="03B460CE"/>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C87D34"/>
    <w:multiLevelType w:val="hybridMultilevel"/>
    <w:tmpl w:val="1C707FEE"/>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2A0B2F54"/>
    <w:multiLevelType w:val="hybridMultilevel"/>
    <w:tmpl w:val="BBE61678"/>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2D6B2AE7"/>
    <w:multiLevelType w:val="hybridMultilevel"/>
    <w:tmpl w:val="C06A4D42"/>
    <w:lvl w:ilvl="0" w:tplc="04090001">
      <w:start w:val="1"/>
      <w:numFmt w:val="bullet"/>
      <w:lvlText w:val=""/>
      <w:lvlJc w:val="left"/>
      <w:pPr>
        <w:tabs>
          <w:tab w:val="num" w:pos="720"/>
        </w:tabs>
        <w:ind w:left="720" w:hanging="360"/>
      </w:pPr>
      <w:rPr>
        <w:rFonts w:ascii="Symbol" w:hAnsi="Symbol" w:hint="default"/>
      </w:rPr>
    </w:lvl>
    <w:lvl w:ilvl="1" w:tplc="4E9E81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D703147"/>
    <w:multiLevelType w:val="hybridMultilevel"/>
    <w:tmpl w:val="6B60D966"/>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5">
    <w:nsid w:val="4C1A494E"/>
    <w:multiLevelType w:val="hybridMultilevel"/>
    <w:tmpl w:val="E062C566"/>
    <w:lvl w:ilvl="0" w:tplc="4E9E81B2">
      <w:start w:val="1"/>
      <w:numFmt w:val="bullet"/>
      <w:lvlText w:val=""/>
      <w:lvlJc w:val="left"/>
      <w:pPr>
        <w:tabs>
          <w:tab w:val="num" w:pos="720"/>
        </w:tabs>
        <w:ind w:left="720" w:hanging="360"/>
      </w:pPr>
      <w:rPr>
        <w:rFonts w:ascii="Symbol" w:hAnsi="Symbol" w:hint="default"/>
        <w:color w:val="auto"/>
      </w:rPr>
    </w:lvl>
    <w:lvl w:ilvl="1" w:tplc="4E9E81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332E26"/>
    <w:multiLevelType w:val="hybridMultilevel"/>
    <w:tmpl w:val="32E61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AF1B75"/>
    <w:multiLevelType w:val="hybridMultilevel"/>
    <w:tmpl w:val="3DAC6756"/>
    <w:lvl w:ilvl="0" w:tplc="A98A8C26">
      <w:numFmt w:val="bullet"/>
      <w:lvlText w:val=""/>
      <w:lvlJc w:val="left"/>
      <w:pPr>
        <w:tabs>
          <w:tab w:val="num" w:pos="1440"/>
        </w:tabs>
        <w:ind w:left="1440" w:hanging="360"/>
      </w:pPr>
      <w:rPr>
        <w:rFonts w:ascii="Symbol" w:hAnsi="Symbol" w:cs="Tahoma"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55D4A"/>
    <w:multiLevelType w:val="hybridMultilevel"/>
    <w:tmpl w:val="A6CA1504"/>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D92F25"/>
    <w:multiLevelType w:val="hybridMultilevel"/>
    <w:tmpl w:val="BDE0E40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nsid w:val="729632B3"/>
    <w:multiLevelType w:val="hybridMultilevel"/>
    <w:tmpl w:val="5A7E0E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7">
    <w:nsid w:val="7AC70865"/>
    <w:multiLevelType w:val="hybridMultilevel"/>
    <w:tmpl w:val="623288DC"/>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num>
  <w:num w:numId="3">
    <w:abstractNumId w:val="1"/>
  </w:num>
  <w:num w:numId="4">
    <w:abstractNumId w:val="29"/>
  </w:num>
  <w:num w:numId="5">
    <w:abstractNumId w:val="3"/>
  </w:num>
  <w:num w:numId="6">
    <w:abstractNumId w:val="16"/>
  </w:num>
  <w:num w:numId="7">
    <w:abstractNumId w:val="5"/>
  </w:num>
  <w:num w:numId="8">
    <w:abstractNumId w:val="23"/>
  </w:num>
  <w:num w:numId="9">
    <w:abstractNumId w:val="27"/>
  </w:num>
  <w:num w:numId="10">
    <w:abstractNumId w:val="36"/>
  </w:num>
  <w:num w:numId="11">
    <w:abstractNumId w:val="4"/>
  </w:num>
  <w:num w:numId="12">
    <w:abstractNumId w:val="15"/>
  </w:num>
  <w:num w:numId="13">
    <w:abstractNumId w:val="35"/>
  </w:num>
  <w:num w:numId="14">
    <w:abstractNumId w:val="13"/>
  </w:num>
  <w:num w:numId="15">
    <w:abstractNumId w:val="11"/>
  </w:num>
  <w:num w:numId="16">
    <w:abstractNumId w:val="22"/>
  </w:num>
  <w:num w:numId="17">
    <w:abstractNumId w:val="17"/>
  </w:num>
  <w:num w:numId="18">
    <w:abstractNumId w:val="0"/>
  </w:num>
  <w:num w:numId="19">
    <w:abstractNumId w:val="28"/>
  </w:num>
  <w:num w:numId="20">
    <w:abstractNumId w:val="7"/>
  </w:num>
  <w:num w:numId="21">
    <w:abstractNumId w:val="33"/>
  </w:num>
  <w:num w:numId="22">
    <w:abstractNumId w:val="9"/>
  </w:num>
  <w:num w:numId="23">
    <w:abstractNumId w:val="10"/>
  </w:num>
  <w:num w:numId="24">
    <w:abstractNumId w:val="12"/>
  </w:num>
  <w:num w:numId="25">
    <w:abstractNumId w:val="21"/>
  </w:num>
  <w:num w:numId="26">
    <w:abstractNumId w:val="31"/>
  </w:num>
  <w:num w:numId="27">
    <w:abstractNumId w:val="30"/>
  </w:num>
  <w:num w:numId="28">
    <w:abstractNumId w:val="2"/>
  </w:num>
  <w:num w:numId="29">
    <w:abstractNumId w:val="24"/>
  </w:num>
  <w:num w:numId="30">
    <w:abstractNumId w:val="34"/>
  </w:num>
  <w:num w:numId="31">
    <w:abstractNumId w:val="8"/>
  </w:num>
  <w:num w:numId="32">
    <w:abstractNumId w:val="20"/>
  </w:num>
  <w:num w:numId="33">
    <w:abstractNumId w:val="26"/>
  </w:num>
  <w:num w:numId="34">
    <w:abstractNumId w:val="14"/>
  </w:num>
  <w:num w:numId="35">
    <w:abstractNumId w:val="6"/>
  </w:num>
  <w:num w:numId="36">
    <w:abstractNumId w:val="37"/>
  </w:num>
  <w:num w:numId="37">
    <w:abstractNumId w:val="3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953"/>
    <w:rsid w:val="00024715"/>
    <w:rsid w:val="00024C68"/>
    <w:rsid w:val="000255E4"/>
    <w:rsid w:val="0003417B"/>
    <w:rsid w:val="00034CEE"/>
    <w:rsid w:val="00044D04"/>
    <w:rsid w:val="00047E2B"/>
    <w:rsid w:val="000601F6"/>
    <w:rsid w:val="00065F6B"/>
    <w:rsid w:val="00070A6A"/>
    <w:rsid w:val="0007484E"/>
    <w:rsid w:val="000A4991"/>
    <w:rsid w:val="000C4C37"/>
    <w:rsid w:val="000D1584"/>
    <w:rsid w:val="000E3E80"/>
    <w:rsid w:val="000E617B"/>
    <w:rsid w:val="000F1819"/>
    <w:rsid w:val="000F31AC"/>
    <w:rsid w:val="00103F06"/>
    <w:rsid w:val="0013131B"/>
    <w:rsid w:val="00160969"/>
    <w:rsid w:val="00162105"/>
    <w:rsid w:val="001658A6"/>
    <w:rsid w:val="0017020C"/>
    <w:rsid w:val="00170364"/>
    <w:rsid w:val="0017169E"/>
    <w:rsid w:val="00172143"/>
    <w:rsid w:val="00173834"/>
    <w:rsid w:val="0017473D"/>
    <w:rsid w:val="001858C1"/>
    <w:rsid w:val="0019349D"/>
    <w:rsid w:val="001A009C"/>
    <w:rsid w:val="001A0C0E"/>
    <w:rsid w:val="001A33FC"/>
    <w:rsid w:val="001B4BEF"/>
    <w:rsid w:val="001D09C7"/>
    <w:rsid w:val="001D12B4"/>
    <w:rsid w:val="001D3693"/>
    <w:rsid w:val="001F0F54"/>
    <w:rsid w:val="0020071A"/>
    <w:rsid w:val="002043E3"/>
    <w:rsid w:val="00206EF1"/>
    <w:rsid w:val="00211C7C"/>
    <w:rsid w:val="00231CBC"/>
    <w:rsid w:val="00235FEC"/>
    <w:rsid w:val="00242D31"/>
    <w:rsid w:val="00256F3D"/>
    <w:rsid w:val="00264361"/>
    <w:rsid w:val="00264C91"/>
    <w:rsid w:val="00282BB3"/>
    <w:rsid w:val="002851FA"/>
    <w:rsid w:val="00285E54"/>
    <w:rsid w:val="002A4FEF"/>
    <w:rsid w:val="002A674A"/>
    <w:rsid w:val="002A759C"/>
    <w:rsid w:val="002B09FA"/>
    <w:rsid w:val="002B1272"/>
    <w:rsid w:val="002C222C"/>
    <w:rsid w:val="002C639B"/>
    <w:rsid w:val="002D0129"/>
    <w:rsid w:val="002D2F8B"/>
    <w:rsid w:val="002D4F39"/>
    <w:rsid w:val="002E5FDC"/>
    <w:rsid w:val="002F3433"/>
    <w:rsid w:val="002F60D5"/>
    <w:rsid w:val="003005E1"/>
    <w:rsid w:val="00302586"/>
    <w:rsid w:val="0031790F"/>
    <w:rsid w:val="003201D2"/>
    <w:rsid w:val="00323556"/>
    <w:rsid w:val="003349BD"/>
    <w:rsid w:val="0033762C"/>
    <w:rsid w:val="00337B9B"/>
    <w:rsid w:val="00345778"/>
    <w:rsid w:val="00362E73"/>
    <w:rsid w:val="00372D29"/>
    <w:rsid w:val="003A771A"/>
    <w:rsid w:val="003B15F3"/>
    <w:rsid w:val="003D35D4"/>
    <w:rsid w:val="003D4E77"/>
    <w:rsid w:val="003E6A91"/>
    <w:rsid w:val="003F4637"/>
    <w:rsid w:val="003F6C54"/>
    <w:rsid w:val="0040046E"/>
    <w:rsid w:val="00400A8D"/>
    <w:rsid w:val="00407DDB"/>
    <w:rsid w:val="00414405"/>
    <w:rsid w:val="00430FBC"/>
    <w:rsid w:val="00436A79"/>
    <w:rsid w:val="00440802"/>
    <w:rsid w:val="00451981"/>
    <w:rsid w:val="004545FB"/>
    <w:rsid w:val="00455994"/>
    <w:rsid w:val="004621F3"/>
    <w:rsid w:val="00463943"/>
    <w:rsid w:val="00466958"/>
    <w:rsid w:val="00470029"/>
    <w:rsid w:val="00470400"/>
    <w:rsid w:val="004868AC"/>
    <w:rsid w:val="00495145"/>
    <w:rsid w:val="004A2A99"/>
    <w:rsid w:val="004A3C27"/>
    <w:rsid w:val="004A4054"/>
    <w:rsid w:val="004A431C"/>
    <w:rsid w:val="004B0D04"/>
    <w:rsid w:val="004B2FA1"/>
    <w:rsid w:val="004B4FD0"/>
    <w:rsid w:val="004B6230"/>
    <w:rsid w:val="004C3EC1"/>
    <w:rsid w:val="004C5B87"/>
    <w:rsid w:val="004D5C81"/>
    <w:rsid w:val="004E0591"/>
    <w:rsid w:val="004E181C"/>
    <w:rsid w:val="004E2E3F"/>
    <w:rsid w:val="004E428D"/>
    <w:rsid w:val="004E677D"/>
    <w:rsid w:val="004F1A97"/>
    <w:rsid w:val="004F72FD"/>
    <w:rsid w:val="00500D0C"/>
    <w:rsid w:val="00500D2A"/>
    <w:rsid w:val="005015F7"/>
    <w:rsid w:val="00502777"/>
    <w:rsid w:val="0050637F"/>
    <w:rsid w:val="005067DD"/>
    <w:rsid w:val="00523C69"/>
    <w:rsid w:val="0053069A"/>
    <w:rsid w:val="005325DD"/>
    <w:rsid w:val="005360F5"/>
    <w:rsid w:val="00537D52"/>
    <w:rsid w:val="00544734"/>
    <w:rsid w:val="00547CA0"/>
    <w:rsid w:val="005554AF"/>
    <w:rsid w:val="0056585B"/>
    <w:rsid w:val="005813C1"/>
    <w:rsid w:val="005834B2"/>
    <w:rsid w:val="005A74F0"/>
    <w:rsid w:val="005B7705"/>
    <w:rsid w:val="005C004D"/>
    <w:rsid w:val="005C2545"/>
    <w:rsid w:val="005C718D"/>
    <w:rsid w:val="005D5BAC"/>
    <w:rsid w:val="005D7E60"/>
    <w:rsid w:val="005E0ECA"/>
    <w:rsid w:val="005E4A02"/>
    <w:rsid w:val="005E5A78"/>
    <w:rsid w:val="005F0C86"/>
    <w:rsid w:val="005F125A"/>
    <w:rsid w:val="005F7774"/>
    <w:rsid w:val="00600886"/>
    <w:rsid w:val="00605FC5"/>
    <w:rsid w:val="0061079E"/>
    <w:rsid w:val="00650964"/>
    <w:rsid w:val="006528AC"/>
    <w:rsid w:val="0065551E"/>
    <w:rsid w:val="00655C1C"/>
    <w:rsid w:val="006579E3"/>
    <w:rsid w:val="006607B8"/>
    <w:rsid w:val="00662A6F"/>
    <w:rsid w:val="006848B0"/>
    <w:rsid w:val="00692FDB"/>
    <w:rsid w:val="006A60C9"/>
    <w:rsid w:val="006A6526"/>
    <w:rsid w:val="006B360C"/>
    <w:rsid w:val="006B4B62"/>
    <w:rsid w:val="006D16BE"/>
    <w:rsid w:val="006D277E"/>
    <w:rsid w:val="006D38BC"/>
    <w:rsid w:val="006D7639"/>
    <w:rsid w:val="006E78F3"/>
    <w:rsid w:val="006F09D6"/>
    <w:rsid w:val="007352F3"/>
    <w:rsid w:val="007353D5"/>
    <w:rsid w:val="00754DAD"/>
    <w:rsid w:val="007576B3"/>
    <w:rsid w:val="00766CA4"/>
    <w:rsid w:val="00772313"/>
    <w:rsid w:val="00772717"/>
    <w:rsid w:val="007776E5"/>
    <w:rsid w:val="00791B90"/>
    <w:rsid w:val="007B113D"/>
    <w:rsid w:val="007C0744"/>
    <w:rsid w:val="007C4CE4"/>
    <w:rsid w:val="007C77C5"/>
    <w:rsid w:val="007E13E0"/>
    <w:rsid w:val="007E1AFC"/>
    <w:rsid w:val="007E4686"/>
    <w:rsid w:val="007E5C93"/>
    <w:rsid w:val="00810DF5"/>
    <w:rsid w:val="00811E63"/>
    <w:rsid w:val="00833921"/>
    <w:rsid w:val="00840BF5"/>
    <w:rsid w:val="00844995"/>
    <w:rsid w:val="0084604B"/>
    <w:rsid w:val="00847C74"/>
    <w:rsid w:val="008522FB"/>
    <w:rsid w:val="00861B0E"/>
    <w:rsid w:val="00886A96"/>
    <w:rsid w:val="00892464"/>
    <w:rsid w:val="008A4214"/>
    <w:rsid w:val="008A4476"/>
    <w:rsid w:val="008A49EB"/>
    <w:rsid w:val="008A6990"/>
    <w:rsid w:val="008C264A"/>
    <w:rsid w:val="008C429F"/>
    <w:rsid w:val="008C5C7F"/>
    <w:rsid w:val="008D0B3B"/>
    <w:rsid w:val="008D3E7E"/>
    <w:rsid w:val="008D7F73"/>
    <w:rsid w:val="008E0386"/>
    <w:rsid w:val="0093107B"/>
    <w:rsid w:val="0093271D"/>
    <w:rsid w:val="00943DC1"/>
    <w:rsid w:val="00944211"/>
    <w:rsid w:val="00944D4A"/>
    <w:rsid w:val="00954C9A"/>
    <w:rsid w:val="00954F27"/>
    <w:rsid w:val="009556CC"/>
    <w:rsid w:val="0095650B"/>
    <w:rsid w:val="0096713A"/>
    <w:rsid w:val="009674C1"/>
    <w:rsid w:val="00972901"/>
    <w:rsid w:val="00972E34"/>
    <w:rsid w:val="009737A4"/>
    <w:rsid w:val="00980C92"/>
    <w:rsid w:val="00982564"/>
    <w:rsid w:val="00990464"/>
    <w:rsid w:val="00991CC1"/>
    <w:rsid w:val="009A1435"/>
    <w:rsid w:val="009B4731"/>
    <w:rsid w:val="009B75D8"/>
    <w:rsid w:val="009C319C"/>
    <w:rsid w:val="009C5D86"/>
    <w:rsid w:val="009D0BA5"/>
    <w:rsid w:val="009E4862"/>
    <w:rsid w:val="009F3F41"/>
    <w:rsid w:val="00A01789"/>
    <w:rsid w:val="00A07548"/>
    <w:rsid w:val="00A443FC"/>
    <w:rsid w:val="00A46FB3"/>
    <w:rsid w:val="00A51A9F"/>
    <w:rsid w:val="00A55B10"/>
    <w:rsid w:val="00A67B0D"/>
    <w:rsid w:val="00A71C11"/>
    <w:rsid w:val="00A769CD"/>
    <w:rsid w:val="00A85A88"/>
    <w:rsid w:val="00AA2ED3"/>
    <w:rsid w:val="00AB216E"/>
    <w:rsid w:val="00AB2D5C"/>
    <w:rsid w:val="00AB55F7"/>
    <w:rsid w:val="00AF3235"/>
    <w:rsid w:val="00AF59F8"/>
    <w:rsid w:val="00B00D46"/>
    <w:rsid w:val="00B01503"/>
    <w:rsid w:val="00B034D3"/>
    <w:rsid w:val="00B05179"/>
    <w:rsid w:val="00B13BFA"/>
    <w:rsid w:val="00B17D8B"/>
    <w:rsid w:val="00B27EA2"/>
    <w:rsid w:val="00B30407"/>
    <w:rsid w:val="00B40E09"/>
    <w:rsid w:val="00B50586"/>
    <w:rsid w:val="00B529E7"/>
    <w:rsid w:val="00B61277"/>
    <w:rsid w:val="00B61AD2"/>
    <w:rsid w:val="00B704A3"/>
    <w:rsid w:val="00B70BCC"/>
    <w:rsid w:val="00B7535C"/>
    <w:rsid w:val="00B75638"/>
    <w:rsid w:val="00B81F19"/>
    <w:rsid w:val="00B941A6"/>
    <w:rsid w:val="00BB04E1"/>
    <w:rsid w:val="00BB5519"/>
    <w:rsid w:val="00BC0CDA"/>
    <w:rsid w:val="00BC6C4B"/>
    <w:rsid w:val="00BD18DC"/>
    <w:rsid w:val="00BD5B3D"/>
    <w:rsid w:val="00BE049A"/>
    <w:rsid w:val="00BE2D6E"/>
    <w:rsid w:val="00BF00C2"/>
    <w:rsid w:val="00BF0C8E"/>
    <w:rsid w:val="00BF1454"/>
    <w:rsid w:val="00BF462A"/>
    <w:rsid w:val="00BF71CB"/>
    <w:rsid w:val="00C01D2A"/>
    <w:rsid w:val="00C041D3"/>
    <w:rsid w:val="00C21B8E"/>
    <w:rsid w:val="00C5249F"/>
    <w:rsid w:val="00C57CD7"/>
    <w:rsid w:val="00C57D35"/>
    <w:rsid w:val="00C73BFD"/>
    <w:rsid w:val="00C77E66"/>
    <w:rsid w:val="00C81728"/>
    <w:rsid w:val="00C96EE6"/>
    <w:rsid w:val="00C97114"/>
    <w:rsid w:val="00CB1EC7"/>
    <w:rsid w:val="00CB3CA0"/>
    <w:rsid w:val="00CB4B7B"/>
    <w:rsid w:val="00CB524E"/>
    <w:rsid w:val="00CD219F"/>
    <w:rsid w:val="00CD39E2"/>
    <w:rsid w:val="00CD3CEF"/>
    <w:rsid w:val="00CE5683"/>
    <w:rsid w:val="00CE6AD4"/>
    <w:rsid w:val="00CF4737"/>
    <w:rsid w:val="00D004A9"/>
    <w:rsid w:val="00D13C24"/>
    <w:rsid w:val="00D1572D"/>
    <w:rsid w:val="00D21C98"/>
    <w:rsid w:val="00D240C5"/>
    <w:rsid w:val="00D252C1"/>
    <w:rsid w:val="00D27C90"/>
    <w:rsid w:val="00D32CFC"/>
    <w:rsid w:val="00D3687A"/>
    <w:rsid w:val="00D45163"/>
    <w:rsid w:val="00D4576B"/>
    <w:rsid w:val="00D4589E"/>
    <w:rsid w:val="00D536BB"/>
    <w:rsid w:val="00D63057"/>
    <w:rsid w:val="00D63C2A"/>
    <w:rsid w:val="00D70576"/>
    <w:rsid w:val="00D73664"/>
    <w:rsid w:val="00D85AEA"/>
    <w:rsid w:val="00D90DC0"/>
    <w:rsid w:val="00D95961"/>
    <w:rsid w:val="00DA06C0"/>
    <w:rsid w:val="00DB0354"/>
    <w:rsid w:val="00DB1429"/>
    <w:rsid w:val="00DC6398"/>
    <w:rsid w:val="00DC6E4B"/>
    <w:rsid w:val="00DD2B91"/>
    <w:rsid w:val="00DF7DD3"/>
    <w:rsid w:val="00E01756"/>
    <w:rsid w:val="00E019B9"/>
    <w:rsid w:val="00E03BD6"/>
    <w:rsid w:val="00E11567"/>
    <w:rsid w:val="00E22815"/>
    <w:rsid w:val="00E22DAA"/>
    <w:rsid w:val="00E37691"/>
    <w:rsid w:val="00E41EED"/>
    <w:rsid w:val="00E433A4"/>
    <w:rsid w:val="00E45968"/>
    <w:rsid w:val="00E5405A"/>
    <w:rsid w:val="00E5478A"/>
    <w:rsid w:val="00E602AA"/>
    <w:rsid w:val="00E620BC"/>
    <w:rsid w:val="00E711AD"/>
    <w:rsid w:val="00E77599"/>
    <w:rsid w:val="00E847A4"/>
    <w:rsid w:val="00E939AF"/>
    <w:rsid w:val="00EA04F8"/>
    <w:rsid w:val="00EA2614"/>
    <w:rsid w:val="00EA350F"/>
    <w:rsid w:val="00EB0273"/>
    <w:rsid w:val="00EC31F4"/>
    <w:rsid w:val="00ED0076"/>
    <w:rsid w:val="00ED02D8"/>
    <w:rsid w:val="00ED3A46"/>
    <w:rsid w:val="00ED694A"/>
    <w:rsid w:val="00EE51B3"/>
    <w:rsid w:val="00EF1B69"/>
    <w:rsid w:val="00F01955"/>
    <w:rsid w:val="00F02586"/>
    <w:rsid w:val="00F33A63"/>
    <w:rsid w:val="00F37AA4"/>
    <w:rsid w:val="00F41EEB"/>
    <w:rsid w:val="00F46893"/>
    <w:rsid w:val="00F62457"/>
    <w:rsid w:val="00F64429"/>
    <w:rsid w:val="00F7376D"/>
    <w:rsid w:val="00F82723"/>
    <w:rsid w:val="00F92AD8"/>
    <w:rsid w:val="00F934F4"/>
    <w:rsid w:val="00FA08A1"/>
    <w:rsid w:val="00FA6D16"/>
    <w:rsid w:val="00FB28F5"/>
    <w:rsid w:val="00FD0096"/>
    <w:rsid w:val="00FE004A"/>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71D"/>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rsid w:val="0053069A"/>
    <w:rPr>
      <w:color w:val="0000FF"/>
      <w:u w:val="single"/>
    </w:rPr>
  </w:style>
  <w:style w:type="character" w:styleId="PageNumber">
    <w:name w:val="page number"/>
    <w:basedOn w:val="DefaultParagraphFont"/>
    <w:rsid w:val="0053069A"/>
  </w:style>
  <w:style w:type="character" w:styleId="FollowedHyperlink">
    <w:name w:val="FollowedHyperlink"/>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45778"/>
    <w:rPr>
      <w:b/>
      <w:bCs/>
    </w:rPr>
  </w:style>
  <w:style w:type="paragraph" w:styleId="BodyText">
    <w:name w:val="Body Text"/>
    <w:basedOn w:val="Normal"/>
    <w:rsid w:val="00E03BD6"/>
    <w:rPr>
      <w:sz w:val="24"/>
    </w:rPr>
  </w:style>
  <w:style w:type="paragraph" w:customStyle="1" w:styleId="InsideAddress">
    <w:name w:val="Inside Address"/>
    <w:basedOn w:val="Normal"/>
    <w:rsid w:val="00E847A4"/>
  </w:style>
  <w:style w:type="paragraph" w:styleId="ListParagraph">
    <w:name w:val="List Paragraph"/>
    <w:basedOn w:val="Normal"/>
    <w:qFormat/>
    <w:rsid w:val="00AB216E"/>
    <w:pPr>
      <w:ind w:left="720"/>
    </w:pPr>
    <w:rPr>
      <w:rFonts w:ascii="Calibri" w:hAnsi="Calibri" w:cs="Calibri"/>
      <w:sz w:val="22"/>
      <w:szCs w:val="22"/>
    </w:rPr>
  </w:style>
  <w:style w:type="paragraph" w:styleId="Title">
    <w:name w:val="Title"/>
    <w:basedOn w:val="Normal"/>
    <w:qFormat/>
    <w:rsid w:val="006D277E"/>
    <w:pPr>
      <w:widowControl w:val="0"/>
      <w:spacing w:before="100"/>
      <w:jc w:val="center"/>
    </w:pPr>
    <w:rPr>
      <w:rFonts w:ascii="Bookman Old Style" w:hAnsi="Bookman Old Style"/>
      <w:b/>
      <w:snapToGrid w:val="0"/>
      <w:sz w:val="18"/>
    </w:rPr>
  </w:style>
  <w:style w:type="paragraph" w:customStyle="1" w:styleId="TableText">
    <w:name w:val="Table Text"/>
    <w:rsid w:val="006D277E"/>
    <w:rPr>
      <w:rFonts w:ascii="Arial Narrow" w:hAnsi="Arial Narrow"/>
      <w:snapToGrid w:val="0"/>
      <w:color w:val="000000"/>
      <w:sz w:val="24"/>
    </w:rPr>
  </w:style>
  <w:style w:type="paragraph" w:styleId="BalloonText">
    <w:name w:val="Balloon Text"/>
    <w:basedOn w:val="Normal"/>
    <w:link w:val="BalloonTextChar"/>
    <w:rsid w:val="00844995"/>
    <w:rPr>
      <w:rFonts w:ascii="Tahoma" w:hAnsi="Tahoma" w:cs="Tahoma"/>
      <w:sz w:val="16"/>
      <w:szCs w:val="16"/>
    </w:rPr>
  </w:style>
  <w:style w:type="character" w:customStyle="1" w:styleId="BalloonTextChar">
    <w:name w:val="Balloon Text Char"/>
    <w:link w:val="BalloonText"/>
    <w:rsid w:val="00844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71D"/>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rsid w:val="0053069A"/>
    <w:rPr>
      <w:color w:val="0000FF"/>
      <w:u w:val="single"/>
    </w:rPr>
  </w:style>
  <w:style w:type="character" w:styleId="PageNumber">
    <w:name w:val="page number"/>
    <w:basedOn w:val="DefaultParagraphFont"/>
    <w:rsid w:val="0053069A"/>
  </w:style>
  <w:style w:type="character" w:styleId="FollowedHyperlink">
    <w:name w:val="FollowedHyperlink"/>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45778"/>
    <w:rPr>
      <w:b/>
      <w:bCs/>
    </w:rPr>
  </w:style>
  <w:style w:type="paragraph" w:styleId="BodyText">
    <w:name w:val="Body Text"/>
    <w:basedOn w:val="Normal"/>
    <w:rsid w:val="00E03BD6"/>
    <w:rPr>
      <w:sz w:val="24"/>
    </w:rPr>
  </w:style>
  <w:style w:type="paragraph" w:customStyle="1" w:styleId="InsideAddress">
    <w:name w:val="Inside Address"/>
    <w:basedOn w:val="Normal"/>
    <w:rsid w:val="00E847A4"/>
  </w:style>
  <w:style w:type="paragraph" w:styleId="ListParagraph">
    <w:name w:val="List Paragraph"/>
    <w:basedOn w:val="Normal"/>
    <w:qFormat/>
    <w:rsid w:val="00AB216E"/>
    <w:pPr>
      <w:ind w:left="720"/>
    </w:pPr>
    <w:rPr>
      <w:rFonts w:ascii="Calibri" w:hAnsi="Calibri" w:cs="Calibri"/>
      <w:sz w:val="22"/>
      <w:szCs w:val="22"/>
    </w:rPr>
  </w:style>
  <w:style w:type="paragraph" w:styleId="Title">
    <w:name w:val="Title"/>
    <w:basedOn w:val="Normal"/>
    <w:qFormat/>
    <w:rsid w:val="006D277E"/>
    <w:pPr>
      <w:widowControl w:val="0"/>
      <w:spacing w:before="100"/>
      <w:jc w:val="center"/>
    </w:pPr>
    <w:rPr>
      <w:rFonts w:ascii="Bookman Old Style" w:hAnsi="Bookman Old Style"/>
      <w:b/>
      <w:snapToGrid w:val="0"/>
      <w:sz w:val="18"/>
    </w:rPr>
  </w:style>
  <w:style w:type="paragraph" w:customStyle="1" w:styleId="TableText">
    <w:name w:val="Table Text"/>
    <w:rsid w:val="006D277E"/>
    <w:rPr>
      <w:rFonts w:ascii="Arial Narrow" w:hAnsi="Arial Narrow"/>
      <w:snapToGrid w:val="0"/>
      <w:color w:val="000000"/>
      <w:sz w:val="24"/>
    </w:rPr>
  </w:style>
  <w:style w:type="paragraph" w:styleId="BalloonText">
    <w:name w:val="Balloon Text"/>
    <w:basedOn w:val="Normal"/>
    <w:link w:val="BalloonTextChar"/>
    <w:rsid w:val="00844995"/>
    <w:rPr>
      <w:rFonts w:ascii="Tahoma" w:hAnsi="Tahoma" w:cs="Tahoma"/>
      <w:sz w:val="16"/>
      <w:szCs w:val="16"/>
    </w:rPr>
  </w:style>
  <w:style w:type="character" w:customStyle="1" w:styleId="BalloonTextChar">
    <w:name w:val="Balloon Text Char"/>
    <w:link w:val="BalloonText"/>
    <w:rsid w:val="00844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7871</CharactersWithSpaces>
  <SharedDoc>false</SharedDoc>
  <HLinks>
    <vt:vector size="6" baseType="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2008-08-04T21:19:00Z</cp:lastPrinted>
  <dcterms:created xsi:type="dcterms:W3CDTF">2012-03-05T15:56:00Z</dcterms:created>
  <dcterms:modified xsi:type="dcterms:W3CDTF">2012-03-05T15:56:00Z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