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53" w:rsidRDefault="00431353" w:rsidP="00F3517F">
      <w:pPr>
        <w:jc w:val="right"/>
        <w:rPr>
          <w:b/>
        </w:rPr>
      </w:pPr>
      <w:r>
        <w:rPr>
          <w:b/>
        </w:rPr>
        <w:t>via posting &amp; email</w:t>
      </w:r>
    </w:p>
    <w:p w:rsidR="00431353" w:rsidRDefault="00431353" w:rsidP="00F3517F">
      <w:pPr>
        <w:spacing w:before="120"/>
        <w:ind w:left="1440" w:hanging="1440"/>
      </w:pPr>
      <w:r>
        <w:rPr>
          <w:b/>
        </w:rPr>
        <w:t>TO:</w:t>
      </w:r>
      <w:r>
        <w:rPr>
          <w:b/>
        </w:rPr>
        <w:tab/>
      </w:r>
      <w:r>
        <w:t>NAESB Board of Directors</w:t>
      </w:r>
    </w:p>
    <w:p w:rsidR="00431353" w:rsidRDefault="00431353" w:rsidP="00F3517F">
      <w:pPr>
        <w:spacing w:before="120"/>
        <w:ind w:left="1440" w:hanging="1440"/>
      </w:pPr>
      <w:r>
        <w:rPr>
          <w:b/>
        </w:rPr>
        <w:t>cc:</w:t>
      </w:r>
      <w:r>
        <w:tab/>
        <w:t>NAESB Advisory Committee, NAESB Gas-Electric Harmonization (GEH) Committee</w:t>
      </w:r>
    </w:p>
    <w:p w:rsidR="00431353" w:rsidRDefault="00431353" w:rsidP="00F3517F">
      <w:pPr>
        <w:spacing w:before="120"/>
        <w:ind w:left="1440" w:hanging="1440"/>
        <w:rPr>
          <w:b/>
        </w:rPr>
      </w:pPr>
      <w:r>
        <w:rPr>
          <w:b/>
        </w:rPr>
        <w:t>RE:</w:t>
      </w:r>
      <w:r>
        <w:rPr>
          <w:b/>
        </w:rPr>
        <w:tab/>
      </w:r>
      <w:r>
        <w:t>Report from the NAESB GEH Committee For Presentation to the NAESB Board of Directors on September 20, 2012</w:t>
      </w:r>
    </w:p>
    <w:p w:rsidR="00431353" w:rsidRDefault="00431353" w:rsidP="00F3517F">
      <w:pPr>
        <w:pBdr>
          <w:bottom w:val="single" w:sz="12" w:space="1" w:color="auto"/>
        </w:pBdr>
        <w:spacing w:before="120" w:after="120"/>
        <w:rPr>
          <w:b/>
        </w:rPr>
      </w:pPr>
      <w:r>
        <w:rPr>
          <w:b/>
        </w:rPr>
        <w:t>FROM:</w:t>
      </w:r>
      <w:r>
        <w:rPr>
          <w:b/>
        </w:rPr>
        <w:tab/>
      </w:r>
      <w:r>
        <w:rPr>
          <w:b/>
        </w:rPr>
        <w:tab/>
      </w:r>
      <w:r w:rsidRPr="00F3517F">
        <w:t>Valerie</w:t>
      </w:r>
      <w:r>
        <w:t xml:space="preserve"> </w:t>
      </w:r>
      <w:r w:rsidRPr="00F3517F">
        <w:t>Crockett</w:t>
      </w:r>
      <w:r>
        <w:t xml:space="preserve"> </w:t>
      </w:r>
      <w:r w:rsidRPr="00F3517F">
        <w:t>and</w:t>
      </w:r>
      <w:r>
        <w:t xml:space="preserve"> </w:t>
      </w:r>
      <w:r w:rsidRPr="00F3517F">
        <w:t>Susan</w:t>
      </w:r>
      <w:r>
        <w:t xml:space="preserve"> </w:t>
      </w:r>
      <w:r w:rsidRPr="00F3517F">
        <w:t>Tierney,</w:t>
      </w:r>
      <w:r>
        <w:t xml:space="preserve"> </w:t>
      </w:r>
      <w:r w:rsidRPr="00F3517F">
        <w:t>Co-Chairs</w:t>
      </w:r>
      <w:r>
        <w:t xml:space="preserve"> </w:t>
      </w:r>
      <w:r w:rsidRPr="00F3517F">
        <w:t>of</w:t>
      </w:r>
      <w:r>
        <w:t xml:space="preserve"> </w:t>
      </w:r>
      <w:r w:rsidRPr="00F3517F">
        <w:t>the</w:t>
      </w:r>
      <w:r>
        <w:t xml:space="preserve"> </w:t>
      </w:r>
      <w:r w:rsidRPr="00F3517F">
        <w:t>GEH</w:t>
      </w:r>
      <w:r>
        <w:t xml:space="preserve"> </w:t>
      </w:r>
      <w:r w:rsidRPr="00F3517F">
        <w:t>Committee</w:t>
      </w:r>
    </w:p>
    <w:p w:rsidR="00431353" w:rsidRPr="000E7319" w:rsidRDefault="00431353" w:rsidP="00F3517F">
      <w:pPr>
        <w:pBdr>
          <w:bottom w:val="single" w:sz="12" w:space="1" w:color="auto"/>
        </w:pBdr>
        <w:spacing w:before="120" w:after="120"/>
      </w:pPr>
      <w:r>
        <w:rPr>
          <w:b/>
        </w:rPr>
        <w:t>DATE:</w:t>
      </w:r>
      <w:r>
        <w:tab/>
      </w:r>
      <w:r>
        <w:tab/>
      </w:r>
      <w:r w:rsidR="000E7319">
        <w:t>August 27, 2012</w:t>
      </w:r>
    </w:p>
    <w:p w:rsidR="00431353" w:rsidRDefault="00431353" w:rsidP="00F3517F">
      <w:pPr>
        <w:spacing w:before="120"/>
      </w:pPr>
      <w:r>
        <w:t>Dear NAESB Board of Directors,</w:t>
      </w:r>
    </w:p>
    <w:p w:rsidR="00431353" w:rsidRDefault="00431353" w:rsidP="00F3517F">
      <w:pPr>
        <w:spacing w:before="120"/>
        <w:outlineLvl w:val="0"/>
      </w:pPr>
      <w:r>
        <w:t>The attached report represents many hours of effort from the GEH Committee members.  To prepare the report, the committee members:</w:t>
      </w:r>
    </w:p>
    <w:p w:rsidR="00431353" w:rsidRDefault="00431353" w:rsidP="00AE19C1">
      <w:pPr>
        <w:pStyle w:val="ListParagraph"/>
        <w:numPr>
          <w:ilvl w:val="0"/>
          <w:numId w:val="5"/>
        </w:numPr>
        <w:spacing w:before="120"/>
        <w:outlineLvl w:val="0"/>
      </w:pPr>
      <w:r>
        <w:t>reviewed existing documents, identified GEH issues outlined in those documents, and categorized and consolidated the GEH issues into areas related to capacity, curtailment, scheduling or information sharing;</w:t>
      </w:r>
    </w:p>
    <w:p w:rsidR="00431353" w:rsidRDefault="00431353" w:rsidP="00AE19C1">
      <w:pPr>
        <w:pStyle w:val="ListParagraph"/>
        <w:numPr>
          <w:ilvl w:val="0"/>
          <w:numId w:val="5"/>
        </w:numPr>
        <w:spacing w:before="120"/>
        <w:outlineLvl w:val="0"/>
      </w:pPr>
      <w:r>
        <w:t>completed a survey regarding the issues – further identifying the issues as primary or secondary interest to (1) standards development, (2) policy considerations, (3) commercial practices considerations, or (4) more in the nature of general comments; and</w:t>
      </w:r>
    </w:p>
    <w:p w:rsidR="00431353" w:rsidRDefault="00431353" w:rsidP="00AE19C1">
      <w:pPr>
        <w:pStyle w:val="ListParagraph"/>
        <w:numPr>
          <w:ilvl w:val="0"/>
          <w:numId w:val="5"/>
        </w:numPr>
        <w:spacing w:before="120"/>
        <w:outlineLvl w:val="0"/>
      </w:pPr>
      <w:r>
        <w:t>prepared this report with the survey results forming the foundation of the report.</w:t>
      </w:r>
    </w:p>
    <w:p w:rsidR="00431353" w:rsidRDefault="00431353" w:rsidP="00D44AD7">
      <w:pPr>
        <w:spacing w:before="120" w:after="240"/>
        <w:outlineLvl w:val="0"/>
      </w:pPr>
      <w:r>
        <w:t xml:space="preserve">We appreciate your confidence in our committee, and while we are not identifying any specific standards that should be modified or created, we do have areas that could be reviewed for inclusion in annual plans, either as active items or provisional items for 2013.  We would recommend that the Board, in considering these items, also consider the expectation that the Executive Committees and their subcommittees could garner the needed consensus to proceed to next steps on specifying and adopting standards.  Such consensus would depend, in our view, on the existence of one or more factors: clear guidance provided by regulators and/or other policy makers; industry executive level support; or general acceptance at the committee level that the standards would be helpful to the markets if adopted.  We further recommend that if the Board is not comfortable that consensus could be reached because one or more of the factors for adoption are not present, then the Board </w:t>
      </w:r>
      <w:r w:rsidR="00BA0FE1">
        <w:t>should</w:t>
      </w:r>
      <w:r>
        <w:t xml:space="preserve"> place the items on the provisional portion of the annual plans until it is determined by the Board that the items are ready for consideration and development.</w:t>
      </w:r>
    </w:p>
    <w:p w:rsidR="00431353" w:rsidRDefault="00431353">
      <w:r>
        <w:t>With Best Regards,</w:t>
      </w:r>
    </w:p>
    <w:p w:rsidR="003152AE" w:rsidRPr="003152AE" w:rsidRDefault="003152AE" w:rsidP="003152AE">
      <w:pPr>
        <w:spacing w:before="240"/>
        <w:rPr>
          <w:rFonts w:ascii="Rage Italic" w:hAnsi="Rage Italic"/>
          <w:i/>
          <w:sz w:val="32"/>
          <w:szCs w:val="32"/>
        </w:rPr>
      </w:pPr>
      <w:r w:rsidRPr="003152AE">
        <w:rPr>
          <w:rFonts w:ascii="Rage Italic" w:hAnsi="Rage Italic"/>
          <w:i/>
          <w:sz w:val="32"/>
          <w:szCs w:val="32"/>
        </w:rPr>
        <w:t>Valerie Crockett</w:t>
      </w:r>
    </w:p>
    <w:p w:rsidR="00431353" w:rsidRDefault="00431353" w:rsidP="003152AE">
      <w:pPr>
        <w:spacing w:after="240"/>
      </w:pPr>
      <w:r>
        <w:t>Valerie Crockett, Co- Chair of the NAESB GEH Committee</w:t>
      </w:r>
    </w:p>
    <w:p w:rsidR="003152AE" w:rsidRPr="003152AE" w:rsidRDefault="003152AE">
      <w:pPr>
        <w:rPr>
          <w:rFonts w:ascii="Bradley Hand ITC" w:hAnsi="Bradley Hand ITC"/>
          <w:b/>
          <w:i/>
          <w:sz w:val="28"/>
          <w:szCs w:val="28"/>
        </w:rPr>
      </w:pPr>
      <w:r w:rsidRPr="003152AE">
        <w:rPr>
          <w:rFonts w:ascii="Bradley Hand ITC" w:hAnsi="Bradley Hand ITC"/>
          <w:b/>
          <w:i/>
          <w:sz w:val="32"/>
          <w:szCs w:val="32"/>
        </w:rPr>
        <w:t>S</w:t>
      </w:r>
      <w:r w:rsidRPr="003152AE">
        <w:rPr>
          <w:rFonts w:ascii="Bradley Hand ITC" w:hAnsi="Bradley Hand ITC"/>
          <w:b/>
          <w:i/>
          <w:sz w:val="24"/>
          <w:szCs w:val="24"/>
        </w:rPr>
        <w:t>ue</w:t>
      </w:r>
      <w:r w:rsidRPr="003152AE">
        <w:rPr>
          <w:rFonts w:ascii="Bradley Hand ITC" w:hAnsi="Bradley Hand ITC"/>
          <w:b/>
          <w:i/>
          <w:sz w:val="28"/>
          <w:szCs w:val="28"/>
        </w:rPr>
        <w:t xml:space="preserve"> </w:t>
      </w:r>
      <w:r w:rsidRPr="003152AE">
        <w:rPr>
          <w:rFonts w:ascii="Bradley Hand ITC" w:hAnsi="Bradley Hand ITC"/>
          <w:b/>
          <w:i/>
          <w:sz w:val="32"/>
          <w:szCs w:val="32"/>
        </w:rPr>
        <w:t>T</w:t>
      </w:r>
      <w:r w:rsidRPr="003152AE">
        <w:rPr>
          <w:rFonts w:ascii="Bradley Hand ITC" w:hAnsi="Bradley Hand ITC"/>
          <w:b/>
          <w:i/>
          <w:sz w:val="24"/>
          <w:szCs w:val="24"/>
        </w:rPr>
        <w:t>ierney</w:t>
      </w:r>
    </w:p>
    <w:p w:rsidR="00431353" w:rsidRDefault="00431353">
      <w:r>
        <w:t>Sue Tierney, Co- Chair of the NAESB GEH Committee</w:t>
      </w:r>
    </w:p>
    <w:p w:rsidR="00431353" w:rsidRDefault="00431353"/>
    <w:p w:rsidR="00431353" w:rsidRDefault="00431353"/>
    <w:p w:rsidR="00431353" w:rsidRDefault="00431353">
      <w:pPr>
        <w:sectPr w:rsidR="00431353">
          <w:headerReference w:type="default" r:id="rId9"/>
          <w:footerReference w:type="default" r:id="rId10"/>
          <w:pgSz w:w="12240" w:h="15840" w:code="1"/>
          <w:pgMar w:top="1440" w:right="1440" w:bottom="1440" w:left="1440" w:header="720" w:footer="720" w:gutter="0"/>
          <w:cols w:space="720"/>
          <w:docGrid w:linePitch="360"/>
        </w:sectPr>
      </w:pPr>
    </w:p>
    <w:p w:rsidR="00431353" w:rsidRPr="00D44AD7" w:rsidRDefault="00431353" w:rsidP="00CD496C">
      <w:pPr>
        <w:spacing w:before="2760"/>
        <w:jc w:val="center"/>
        <w:rPr>
          <w:sz w:val="32"/>
          <w:szCs w:val="32"/>
        </w:rPr>
      </w:pPr>
      <w:r w:rsidRPr="00D44AD7">
        <w:rPr>
          <w:sz w:val="32"/>
          <w:szCs w:val="32"/>
        </w:rPr>
        <w:lastRenderedPageBreak/>
        <w:t>North</w:t>
      </w:r>
      <w:r>
        <w:rPr>
          <w:sz w:val="32"/>
          <w:szCs w:val="32"/>
        </w:rPr>
        <w:t xml:space="preserve"> </w:t>
      </w:r>
      <w:r w:rsidRPr="00D44AD7">
        <w:rPr>
          <w:sz w:val="32"/>
          <w:szCs w:val="32"/>
        </w:rPr>
        <w:t>American</w:t>
      </w:r>
      <w:r>
        <w:rPr>
          <w:sz w:val="32"/>
          <w:szCs w:val="32"/>
        </w:rPr>
        <w:t xml:space="preserve"> </w:t>
      </w:r>
      <w:r w:rsidRPr="00D44AD7">
        <w:rPr>
          <w:sz w:val="32"/>
          <w:szCs w:val="32"/>
        </w:rPr>
        <w:t>Energy</w:t>
      </w:r>
      <w:r>
        <w:rPr>
          <w:sz w:val="32"/>
          <w:szCs w:val="32"/>
        </w:rPr>
        <w:t xml:space="preserve"> </w:t>
      </w:r>
      <w:r w:rsidRPr="00D44AD7">
        <w:rPr>
          <w:sz w:val="32"/>
          <w:szCs w:val="32"/>
        </w:rPr>
        <w:t>Standards</w:t>
      </w:r>
      <w:r>
        <w:rPr>
          <w:sz w:val="32"/>
          <w:szCs w:val="32"/>
        </w:rPr>
        <w:t xml:space="preserve"> </w:t>
      </w:r>
      <w:r w:rsidRPr="00D44AD7">
        <w:rPr>
          <w:sz w:val="32"/>
          <w:szCs w:val="32"/>
        </w:rPr>
        <w:t>Board</w:t>
      </w:r>
    </w:p>
    <w:p w:rsidR="00431353" w:rsidRPr="00D44AD7" w:rsidRDefault="00431353" w:rsidP="00D44AD7">
      <w:pPr>
        <w:jc w:val="center"/>
        <w:rPr>
          <w:sz w:val="32"/>
          <w:szCs w:val="32"/>
        </w:rPr>
      </w:pPr>
      <w:r w:rsidRPr="00D44AD7">
        <w:rPr>
          <w:sz w:val="32"/>
          <w:szCs w:val="32"/>
        </w:rPr>
        <w:t>Gas</w:t>
      </w:r>
      <w:r>
        <w:rPr>
          <w:sz w:val="32"/>
          <w:szCs w:val="32"/>
        </w:rPr>
        <w:t xml:space="preserve"> </w:t>
      </w:r>
      <w:r w:rsidRPr="00D44AD7">
        <w:rPr>
          <w:sz w:val="32"/>
          <w:szCs w:val="32"/>
        </w:rPr>
        <w:t>Electric</w:t>
      </w:r>
      <w:r>
        <w:rPr>
          <w:sz w:val="32"/>
          <w:szCs w:val="32"/>
        </w:rPr>
        <w:t xml:space="preserve"> </w:t>
      </w:r>
      <w:r w:rsidRPr="00D44AD7">
        <w:rPr>
          <w:sz w:val="32"/>
          <w:szCs w:val="32"/>
        </w:rPr>
        <w:t>Harmonization</w:t>
      </w:r>
      <w:r>
        <w:rPr>
          <w:sz w:val="32"/>
          <w:szCs w:val="32"/>
        </w:rPr>
        <w:t xml:space="preserve"> </w:t>
      </w:r>
      <w:r w:rsidRPr="00D44AD7">
        <w:rPr>
          <w:sz w:val="32"/>
          <w:szCs w:val="32"/>
        </w:rPr>
        <w:t>Committee</w:t>
      </w:r>
      <w:r>
        <w:rPr>
          <w:sz w:val="32"/>
          <w:szCs w:val="32"/>
        </w:rPr>
        <w:t xml:space="preserve"> </w:t>
      </w:r>
      <w:r w:rsidRPr="00D44AD7">
        <w:rPr>
          <w:sz w:val="32"/>
          <w:szCs w:val="32"/>
        </w:rPr>
        <w:t>Report</w:t>
      </w:r>
    </w:p>
    <w:p w:rsidR="00431353" w:rsidRPr="00D44AD7" w:rsidRDefault="00431353" w:rsidP="00CD496C">
      <w:pPr>
        <w:spacing w:before="1320" w:after="1560"/>
        <w:jc w:val="center"/>
        <w:rPr>
          <w:i/>
          <w:sz w:val="24"/>
          <w:szCs w:val="24"/>
        </w:rPr>
      </w:pPr>
      <w:r>
        <w:rPr>
          <w:i/>
          <w:sz w:val="24"/>
          <w:szCs w:val="24"/>
        </w:rPr>
        <w:t>To be p</w:t>
      </w:r>
      <w:r w:rsidRPr="00D44AD7">
        <w:rPr>
          <w:i/>
          <w:sz w:val="24"/>
          <w:szCs w:val="24"/>
        </w:rPr>
        <w:t>resented</w:t>
      </w:r>
      <w:r>
        <w:rPr>
          <w:i/>
          <w:sz w:val="24"/>
          <w:szCs w:val="24"/>
        </w:rPr>
        <w:t xml:space="preserve"> </w:t>
      </w:r>
      <w:r w:rsidRPr="00D44AD7">
        <w:rPr>
          <w:i/>
          <w:sz w:val="24"/>
          <w:szCs w:val="24"/>
        </w:rPr>
        <w:t>to</w:t>
      </w:r>
      <w:r>
        <w:rPr>
          <w:i/>
          <w:sz w:val="24"/>
          <w:szCs w:val="24"/>
        </w:rPr>
        <w:t xml:space="preserve"> </w:t>
      </w:r>
      <w:r w:rsidRPr="00D44AD7">
        <w:rPr>
          <w:i/>
          <w:sz w:val="24"/>
          <w:szCs w:val="24"/>
        </w:rPr>
        <w:t>the</w:t>
      </w:r>
      <w:r>
        <w:rPr>
          <w:i/>
          <w:sz w:val="24"/>
          <w:szCs w:val="24"/>
        </w:rPr>
        <w:t xml:space="preserve"> NAESB </w:t>
      </w:r>
      <w:r w:rsidRPr="00D44AD7">
        <w:rPr>
          <w:i/>
          <w:sz w:val="24"/>
          <w:szCs w:val="24"/>
        </w:rPr>
        <w:t>Board</w:t>
      </w:r>
      <w:r>
        <w:rPr>
          <w:i/>
          <w:sz w:val="24"/>
          <w:szCs w:val="24"/>
        </w:rPr>
        <w:t xml:space="preserve"> of Directors </w:t>
      </w:r>
      <w:r w:rsidRPr="00D44AD7">
        <w:rPr>
          <w:i/>
          <w:sz w:val="24"/>
          <w:szCs w:val="24"/>
        </w:rPr>
        <w:t>on</w:t>
      </w:r>
      <w:r>
        <w:rPr>
          <w:i/>
          <w:sz w:val="24"/>
          <w:szCs w:val="24"/>
        </w:rPr>
        <w:t xml:space="preserve"> </w:t>
      </w:r>
      <w:r w:rsidRPr="00D44AD7">
        <w:rPr>
          <w:i/>
          <w:sz w:val="24"/>
          <w:szCs w:val="24"/>
        </w:rPr>
        <w:t>September</w:t>
      </w:r>
      <w:r>
        <w:rPr>
          <w:i/>
          <w:sz w:val="24"/>
          <w:szCs w:val="24"/>
        </w:rPr>
        <w:t xml:space="preserve"> </w:t>
      </w:r>
      <w:r w:rsidRPr="00D44AD7">
        <w:rPr>
          <w:i/>
          <w:sz w:val="24"/>
          <w:szCs w:val="24"/>
        </w:rPr>
        <w:t>20,</w:t>
      </w:r>
      <w:r>
        <w:rPr>
          <w:i/>
          <w:sz w:val="24"/>
          <w:szCs w:val="24"/>
        </w:rPr>
        <w:t xml:space="preserve"> </w:t>
      </w:r>
      <w:r w:rsidRPr="00D44AD7">
        <w:rPr>
          <w:i/>
          <w:sz w:val="24"/>
          <w:szCs w:val="24"/>
        </w:rPr>
        <w:t>2012</w:t>
      </w:r>
    </w:p>
    <w:p w:rsidR="00431353" w:rsidRPr="00870577" w:rsidRDefault="00431353" w:rsidP="00CD496C">
      <w:pPr>
        <w:tabs>
          <w:tab w:val="left" w:pos="4680"/>
          <w:tab w:val="left" w:pos="5040"/>
          <w:tab w:val="left" w:pos="5400"/>
        </w:tabs>
        <w:spacing w:before="840" w:after="120"/>
        <w:ind w:left="4320"/>
        <w:rPr>
          <w:i/>
        </w:rPr>
      </w:pPr>
      <w:r w:rsidRPr="00870577">
        <w:rPr>
          <w:i/>
        </w:rPr>
        <w:t>Report Components:</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1.  Background</w:t>
      </w:r>
      <w:r>
        <w:rPr>
          <w:i/>
        </w:rPr>
        <w:tab/>
        <w:t>2</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2.  Committee Efforts and Recommendations</w:t>
      </w:r>
      <w:r>
        <w:rPr>
          <w:i/>
        </w:rPr>
        <w:tab/>
        <w:t>2</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3.  Committee Cautions</w:t>
      </w:r>
      <w:r>
        <w:rPr>
          <w:i/>
        </w:rPr>
        <w:tab/>
        <w:t>4</w:t>
      </w:r>
    </w:p>
    <w:p w:rsidR="00431353" w:rsidRDefault="00431353" w:rsidP="00E65F89">
      <w:pPr>
        <w:tabs>
          <w:tab w:val="left" w:pos="4680"/>
          <w:tab w:val="left" w:pos="5040"/>
          <w:tab w:val="left" w:pos="5400"/>
          <w:tab w:val="left" w:leader="dot" w:pos="8820"/>
        </w:tabs>
        <w:spacing w:before="120" w:after="120"/>
        <w:ind w:left="4320"/>
        <w:rPr>
          <w:i/>
        </w:rPr>
      </w:pPr>
      <w:r w:rsidRPr="00870577">
        <w:rPr>
          <w:i/>
        </w:rPr>
        <w:tab/>
        <w:t>4.  Standards Development Considerations</w:t>
      </w:r>
      <w:r>
        <w:rPr>
          <w:i/>
        </w:rPr>
        <w:tab/>
        <w:t>5</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5.  Policy Considerations</w:t>
      </w:r>
      <w:r>
        <w:rPr>
          <w:i/>
        </w:rPr>
        <w:tab/>
        <w:t>8</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6.  Commercial Practices Considerations</w:t>
      </w:r>
      <w:r>
        <w:rPr>
          <w:i/>
        </w:rPr>
        <w:tab/>
        <w:t>10</w:t>
      </w:r>
    </w:p>
    <w:p w:rsidR="00431353" w:rsidRPr="00870577" w:rsidRDefault="00431353" w:rsidP="00E65F89">
      <w:pPr>
        <w:tabs>
          <w:tab w:val="left" w:pos="4680"/>
          <w:tab w:val="left" w:pos="5040"/>
          <w:tab w:val="left" w:pos="5400"/>
          <w:tab w:val="left" w:leader="dot" w:pos="8820"/>
        </w:tabs>
        <w:spacing w:before="120" w:after="120"/>
        <w:ind w:left="4320"/>
        <w:rPr>
          <w:i/>
        </w:rPr>
      </w:pPr>
      <w:r w:rsidRPr="00870577">
        <w:rPr>
          <w:i/>
        </w:rPr>
        <w:tab/>
        <w:t>Appendices:</w:t>
      </w:r>
    </w:p>
    <w:p w:rsidR="00431353" w:rsidRPr="00870577" w:rsidRDefault="00431353" w:rsidP="00E65F89">
      <w:pPr>
        <w:tabs>
          <w:tab w:val="left" w:pos="4680"/>
          <w:tab w:val="left" w:pos="5040"/>
          <w:tab w:val="left" w:pos="5400"/>
          <w:tab w:val="left" w:leader="dot" w:pos="8820"/>
          <w:tab w:val="left" w:leader="dot" w:pos="8928"/>
        </w:tabs>
        <w:spacing w:before="120" w:after="120"/>
        <w:ind w:left="4320"/>
        <w:rPr>
          <w:i/>
        </w:rPr>
      </w:pPr>
      <w:r w:rsidRPr="00870577">
        <w:rPr>
          <w:i/>
        </w:rPr>
        <w:tab/>
      </w:r>
      <w:r w:rsidRPr="00870577">
        <w:rPr>
          <w:i/>
        </w:rPr>
        <w:tab/>
      </w:r>
      <w:r>
        <w:rPr>
          <w:i/>
        </w:rPr>
        <w:t xml:space="preserve">A.  </w:t>
      </w:r>
      <w:r w:rsidRPr="00870577">
        <w:rPr>
          <w:i/>
        </w:rPr>
        <w:t>Survey Results</w:t>
      </w:r>
      <w:r>
        <w:rPr>
          <w:i/>
        </w:rPr>
        <w:tab/>
        <w:t>12</w:t>
      </w:r>
    </w:p>
    <w:p w:rsidR="00431353" w:rsidRPr="00870577" w:rsidRDefault="00431353" w:rsidP="00E65F89">
      <w:pPr>
        <w:tabs>
          <w:tab w:val="left" w:pos="4680"/>
          <w:tab w:val="left" w:pos="5040"/>
          <w:tab w:val="left" w:pos="5400"/>
          <w:tab w:val="left" w:leader="dot" w:pos="8820"/>
          <w:tab w:val="left" w:leader="dot" w:pos="8928"/>
        </w:tabs>
        <w:spacing w:before="120" w:after="120"/>
        <w:ind w:left="4320"/>
        <w:rPr>
          <w:i/>
        </w:rPr>
      </w:pPr>
      <w:r w:rsidRPr="00870577">
        <w:rPr>
          <w:i/>
        </w:rPr>
        <w:tab/>
      </w:r>
      <w:r w:rsidRPr="00870577">
        <w:rPr>
          <w:i/>
        </w:rPr>
        <w:tab/>
      </w:r>
      <w:r>
        <w:rPr>
          <w:i/>
        </w:rPr>
        <w:t xml:space="preserve">B.  </w:t>
      </w:r>
      <w:r w:rsidRPr="00870577">
        <w:rPr>
          <w:i/>
        </w:rPr>
        <w:t>List of Committee Members</w:t>
      </w:r>
      <w:r>
        <w:rPr>
          <w:i/>
        </w:rPr>
        <w:tab/>
        <w:t>39</w:t>
      </w:r>
    </w:p>
    <w:p w:rsidR="00431353" w:rsidRPr="00870577" w:rsidRDefault="00431353" w:rsidP="00E65F89">
      <w:pPr>
        <w:tabs>
          <w:tab w:val="left" w:pos="4680"/>
          <w:tab w:val="left" w:pos="5040"/>
          <w:tab w:val="left" w:pos="5400"/>
          <w:tab w:val="left" w:leader="dot" w:pos="8820"/>
          <w:tab w:val="left" w:leader="dot" w:pos="8928"/>
        </w:tabs>
        <w:spacing w:before="120" w:after="120"/>
        <w:ind w:left="4320"/>
        <w:rPr>
          <w:i/>
        </w:rPr>
      </w:pPr>
      <w:r w:rsidRPr="00870577">
        <w:rPr>
          <w:i/>
        </w:rPr>
        <w:tab/>
      </w:r>
      <w:r w:rsidRPr="00870577">
        <w:rPr>
          <w:i/>
        </w:rPr>
        <w:tab/>
      </w:r>
      <w:r>
        <w:rPr>
          <w:i/>
        </w:rPr>
        <w:t xml:space="preserve">C.  </w:t>
      </w:r>
      <w:r w:rsidRPr="00870577">
        <w:rPr>
          <w:i/>
        </w:rPr>
        <w:t>Committee Meeting Dates</w:t>
      </w:r>
      <w:r>
        <w:rPr>
          <w:i/>
        </w:rPr>
        <w:tab/>
        <w:t>40</w:t>
      </w:r>
    </w:p>
    <w:p w:rsidR="00431353" w:rsidRPr="00870577" w:rsidRDefault="00431353" w:rsidP="00E65F89">
      <w:pPr>
        <w:tabs>
          <w:tab w:val="left" w:pos="4680"/>
          <w:tab w:val="left" w:pos="5040"/>
          <w:tab w:val="left" w:pos="5400"/>
          <w:tab w:val="left" w:leader="dot" w:pos="8820"/>
          <w:tab w:val="left" w:leader="dot" w:pos="8928"/>
        </w:tabs>
        <w:spacing w:before="120" w:after="120"/>
        <w:ind w:left="4320"/>
        <w:rPr>
          <w:i/>
        </w:rPr>
      </w:pPr>
      <w:r w:rsidRPr="00870577">
        <w:rPr>
          <w:i/>
        </w:rPr>
        <w:tab/>
      </w:r>
      <w:r w:rsidRPr="00870577">
        <w:rPr>
          <w:i/>
        </w:rPr>
        <w:tab/>
      </w:r>
      <w:r>
        <w:rPr>
          <w:i/>
        </w:rPr>
        <w:t xml:space="preserve">D.  </w:t>
      </w:r>
      <w:r w:rsidRPr="00870577">
        <w:rPr>
          <w:i/>
        </w:rPr>
        <w:t>List of Reference Documents</w:t>
      </w:r>
      <w:r>
        <w:rPr>
          <w:i/>
        </w:rPr>
        <w:tab/>
        <w:t>41</w:t>
      </w:r>
    </w:p>
    <w:p w:rsidR="00431353" w:rsidRDefault="00431353" w:rsidP="00CD496C">
      <w:pPr>
        <w:spacing w:before="120" w:after="120"/>
        <w:ind w:left="5760"/>
      </w:pPr>
      <w:r>
        <w:br w:type="page"/>
      </w:r>
    </w:p>
    <w:p w:rsidR="00431353" w:rsidRDefault="00431353" w:rsidP="00F17629">
      <w:pPr>
        <w:spacing w:before="360" w:after="240"/>
        <w:rPr>
          <w:b/>
        </w:rPr>
      </w:pPr>
    </w:p>
    <w:p w:rsidR="00431353" w:rsidRPr="003A1419" w:rsidRDefault="00431353" w:rsidP="00F17629">
      <w:pPr>
        <w:spacing w:before="720" w:after="240"/>
        <w:rPr>
          <w:b/>
        </w:rPr>
      </w:pPr>
      <w:r w:rsidRPr="003A1419">
        <w:rPr>
          <w:b/>
        </w:rPr>
        <w:t xml:space="preserve">BACKGROUND: </w:t>
      </w:r>
    </w:p>
    <w:p w:rsidR="00431353" w:rsidRDefault="00431353" w:rsidP="00A86DFF">
      <w:pPr>
        <w:spacing w:before="120"/>
      </w:pPr>
      <w:r>
        <w:t>In September 2011, the National Petroleum Council (NPC)</w:t>
      </w:r>
      <w:r>
        <w:rPr>
          <w:rStyle w:val="FootnoteReference"/>
        </w:rPr>
        <w:footnoteReference w:id="1"/>
      </w:r>
      <w:r>
        <w:t xml:space="preserve"> issued the “Prudent Development – Realizing the Potential of North America’s Abundant Natural Gas and Oil Resources” study.</w:t>
      </w:r>
      <w:r>
        <w:rPr>
          <w:rStyle w:val="FootnoteReference"/>
        </w:rPr>
        <w:t xml:space="preserve"> </w:t>
      </w:r>
      <w:r>
        <w:rPr>
          <w:rStyle w:val="FootnoteReference"/>
        </w:rPr>
        <w:footnoteReference w:id="2"/>
      </w:r>
      <w:r>
        <w:t xml:space="preserve">  The NPC study was in response to letters dated September 16, 2009 and April 30, 2010 from the U. S. Department of Energy Secretary Steven Chu. The NPC conducted a comprehensive study to reassess the character and potential of the North American natural gas and oil resources and the contribution that natural gas can make to a transition to lower carbon energy footprint.   The report cited five core strategies for government and industry, including the functioning of energy markets and specifically recommended actions that could be taken by NERC, NAESB, FERC, NARUC and Independent System Operators to continue efforts to harmonize the interaction between the natural gas and electric markets.</w:t>
      </w:r>
    </w:p>
    <w:p w:rsidR="00431353" w:rsidRDefault="00431353" w:rsidP="00A86DFF">
      <w:pPr>
        <w:pStyle w:val="PlainText"/>
        <w:tabs>
          <w:tab w:val="left" w:pos="0"/>
        </w:tabs>
        <w:spacing w:before="120" w:after="120"/>
      </w:pPr>
      <w:r>
        <w:t>The NPC recommended actions were bought to the attention of NAESB’s Board of Directors at both the September and December 2011 quarterly meetings. The NPC recommendations included:</w:t>
      </w:r>
    </w:p>
    <w:p w:rsidR="00431353" w:rsidRDefault="00431353" w:rsidP="00D44AD7">
      <w:pPr>
        <w:pStyle w:val="PlainText"/>
        <w:numPr>
          <w:ilvl w:val="0"/>
          <w:numId w:val="14"/>
        </w:numPr>
        <w:tabs>
          <w:tab w:val="left" w:pos="0"/>
        </w:tabs>
        <w:spacing w:before="120" w:after="120"/>
      </w:pPr>
      <w:r>
        <w:t>Developing policies, regulations, and standardized business practices that improve the coordinated operations of the two industries and reduce barriers that hamper the operation of a well-functioning market</w:t>
      </w:r>
    </w:p>
    <w:p w:rsidR="00431353" w:rsidRDefault="00431353" w:rsidP="00D44AD7">
      <w:pPr>
        <w:pStyle w:val="PlainText"/>
        <w:numPr>
          <w:ilvl w:val="0"/>
          <w:numId w:val="14"/>
        </w:numPr>
        <w:tabs>
          <w:tab w:val="left" w:pos="0"/>
        </w:tabs>
        <w:spacing w:before="120" w:after="120"/>
      </w:pPr>
      <w:r>
        <w:t>Increasing the transparency of wholesale electric power and natural gas markets</w:t>
      </w:r>
    </w:p>
    <w:p w:rsidR="00431353" w:rsidRDefault="00431353" w:rsidP="00D44AD7">
      <w:pPr>
        <w:pStyle w:val="PlainText"/>
        <w:numPr>
          <w:ilvl w:val="0"/>
          <w:numId w:val="14"/>
        </w:numPr>
        <w:tabs>
          <w:tab w:val="left" w:pos="0"/>
        </w:tabs>
        <w:spacing w:before="120" w:after="120"/>
      </w:pPr>
      <w:r>
        <w:t>Addressing the issue of what natural gas services generators should hold, including firm transport and storage, and what services pipeline and storage operators should provide to meet the requirements of electricity generators as well as compensation for such services for pipeline and storage operators and generators</w:t>
      </w:r>
    </w:p>
    <w:p w:rsidR="00431353" w:rsidRDefault="00431353" w:rsidP="0027318B">
      <w:pPr>
        <w:pStyle w:val="PlainText"/>
        <w:tabs>
          <w:tab w:val="left" w:pos="0"/>
        </w:tabs>
        <w:spacing w:before="120" w:after="120"/>
      </w:pPr>
      <w:r>
        <w:t>In January 2012, the NAESB Board announced the formation of a Board-level Gas Electric Harmonization (GEH) Committee. As with all NAESB meetings and consistent with the NPC request that the named groups work together with the "robust participation from market participants", all GEH Committee meetings have been posted on the NAESB website and been open to any interested party, with attendance in person or by telephone/webcast. Also, all materials and documents have been made available for public review. The work of the GEH Committee has been informed by this broad transparency, which has allowed interested parties to weigh in in multiple ways with Committee members.</w:t>
      </w:r>
    </w:p>
    <w:p w:rsidR="00431353" w:rsidRDefault="00431353" w:rsidP="00A86DFF">
      <w:pPr>
        <w:pStyle w:val="PlainText"/>
        <w:tabs>
          <w:tab w:val="left" w:pos="0"/>
        </w:tabs>
        <w:spacing w:before="120" w:after="120"/>
      </w:pPr>
    </w:p>
    <w:p w:rsidR="00431353" w:rsidRPr="003A1419" w:rsidRDefault="00431353" w:rsidP="00F17629">
      <w:pPr>
        <w:spacing w:before="720" w:after="240"/>
        <w:rPr>
          <w:b/>
        </w:rPr>
      </w:pPr>
      <w:r w:rsidRPr="003A1419">
        <w:rPr>
          <w:b/>
        </w:rPr>
        <w:t>COMMITTEE EFFORTS &amp; RECOMMENDATIONS:</w:t>
      </w:r>
    </w:p>
    <w:p w:rsidR="00431353" w:rsidRDefault="00431353" w:rsidP="00A86DFF">
      <w:pPr>
        <w:spacing w:before="360" w:after="240"/>
      </w:pPr>
      <w:r>
        <w:t>The GEH Committee (“Committee”) team has held seventeen meetings and conference calls from January to August 2012</w:t>
      </w:r>
      <w:r>
        <w:rPr>
          <w:rStyle w:val="FootnoteReference"/>
        </w:rPr>
        <w:footnoteReference w:id="3"/>
      </w:r>
      <w:r>
        <w:t xml:space="preserve">  in an effort to identify the issues that affect the coordinated operations of the two industries.  The Committee </w:t>
      </w:r>
      <w:r>
        <w:lastRenderedPageBreak/>
        <w:t xml:space="preserve">is comprised of members from both the electric and gas industries and government organizations. The Committee’s goal is to identify the policy, commercial, and standardized business practices issues that may require action by one or more entities (and not necessarily by NAESB).  These potential actions include revised or new policies, commercial solutions, or standardized business practices to improve better-coordinated operations and reduce barriers that hamper the operation of a well-functioning power market and a well-performing gas market.  </w:t>
      </w:r>
    </w:p>
    <w:p w:rsidR="00431353" w:rsidRDefault="00431353" w:rsidP="0027318B">
      <w:pPr>
        <w:spacing w:before="360" w:after="240"/>
      </w:pPr>
      <w:r>
        <w:t xml:space="preserve">The Committee’s work involved soliciting insights and observations from members and others with respect to those topics.  Because so much rich information came forward through this process, the Committee recorded and compiled these observations into written documents.  These compilations are included later in this report and in its appendices.  Specifically, the subsequent sections of this report entitled “Standards Development Considerations,” “Policy Considerations,” and “Commercial Practice Considerations” are the compilations that capture the insights made by individual participants in the Committee’s process.  </w:t>
      </w:r>
    </w:p>
    <w:p w:rsidR="00431353" w:rsidRDefault="00431353" w:rsidP="00A86DFF">
      <w:pPr>
        <w:spacing w:before="360" w:after="240"/>
      </w:pPr>
      <w:r>
        <w:t xml:space="preserve">Importantly, we’ve included them in this report for transparency purposes, but not because they reflect a consensus view of the Committee.   The individual observations that resulted from those discussions, however, are just that: observations by the respective Committee members, and not to be considered as positions endorsed by the Committee as a whole. </w:t>
      </w:r>
    </w:p>
    <w:p w:rsidR="00431353" w:rsidRDefault="00431353" w:rsidP="00A86DFF">
      <w:pPr>
        <w:spacing w:before="240" w:after="120"/>
      </w:pPr>
      <w:r>
        <w:t xml:space="preserve">Nonetheless, compiling and categorizing the observations served as the foundation for discussions and for determining what, if any, recommendations this Committee would make to the Board regarding the Committee’s work related to the following questions:  </w:t>
      </w:r>
    </w:p>
    <w:p w:rsidR="00431353" w:rsidRDefault="00431353" w:rsidP="00AE19C1">
      <w:pPr>
        <w:numPr>
          <w:ilvl w:val="0"/>
          <w:numId w:val="6"/>
        </w:numPr>
        <w:spacing w:before="240" w:after="120"/>
      </w:pPr>
      <w:r>
        <w:t xml:space="preserve"> Under what circumstances should  NAESB  consider new standards development or modifications of existing standards (see discussion below under “Standards Development Considerations”); </w:t>
      </w:r>
    </w:p>
    <w:p w:rsidR="00431353" w:rsidRDefault="00431353" w:rsidP="00AE19C1">
      <w:pPr>
        <w:numPr>
          <w:ilvl w:val="0"/>
          <w:numId w:val="6"/>
        </w:numPr>
        <w:spacing w:before="240" w:after="120"/>
      </w:pPr>
      <w:r>
        <w:t xml:space="preserve"> What policy decisions should precede any action by NAESB (see discussion below under “Policy Considerations”), and </w:t>
      </w:r>
    </w:p>
    <w:p w:rsidR="00431353" w:rsidRDefault="00431353" w:rsidP="00AE19C1">
      <w:pPr>
        <w:numPr>
          <w:ilvl w:val="0"/>
          <w:numId w:val="6"/>
        </w:numPr>
        <w:spacing w:before="240" w:after="120"/>
      </w:pPr>
      <w:r>
        <w:t xml:space="preserve">Whether NAESB should refrain from standards development because commercial services may be the most appropriate course of action,(see discussion below under “Commercial Practice Considerations”). </w:t>
      </w:r>
    </w:p>
    <w:p w:rsidR="00431353" w:rsidRDefault="00431353" w:rsidP="003152AE">
      <w:pPr>
        <w:spacing w:after="120"/>
        <w:rPr>
          <w:lang w:eastAsia="ja-JP"/>
        </w:rPr>
      </w:pPr>
      <w:r>
        <w:rPr>
          <w:bCs/>
          <w:iCs/>
        </w:rPr>
        <w:t>As the Committee worked to condense and categorize the observations, it</w:t>
      </w:r>
      <w:r>
        <w:t xml:space="preserve"> noted a number of realities:  First,</w:t>
      </w:r>
      <w:r>
        <w:rPr>
          <w:bCs/>
          <w:iCs/>
        </w:rPr>
        <w:t xml:space="preserve"> t</w:t>
      </w:r>
      <w:r>
        <w:rPr>
          <w:lang w:eastAsia="ja-JP"/>
        </w:rPr>
        <w:t xml:space="preserve">he Committee recognized that federal and state policy issues are outside NAESB's purview, and thus the Committee’s work attempted to distinguish between issues that are policy-related and things that are not (e.g., issues that are amenable to resolution by commercial parties; issues that could benefit from standardized business practices).  </w:t>
      </w:r>
    </w:p>
    <w:p w:rsidR="00431353" w:rsidRDefault="00431353" w:rsidP="003152AE">
      <w:pPr>
        <w:spacing w:after="120"/>
      </w:pPr>
      <w:r>
        <w:rPr>
          <w:lang w:eastAsia="ja-JP"/>
        </w:rPr>
        <w:t xml:space="preserve">Second, </w:t>
      </w:r>
      <w:r>
        <w:t>there are</w:t>
      </w:r>
      <w:r>
        <w:rPr>
          <w:bCs/>
          <w:iCs/>
        </w:rPr>
        <w:t xml:space="preserve"> many instances, however,</w:t>
      </w:r>
      <w:r>
        <w:t xml:space="preserve"> in which policy issues, commercial issues and standards development overlap.  For example, many policy and commercial </w:t>
      </w:r>
      <w:r>
        <w:rPr>
          <w:bCs/>
          <w:iCs/>
        </w:rPr>
        <w:t>actions</w:t>
      </w:r>
      <w:r>
        <w:t xml:space="preserve"> taken by regulators and market participants, respectively, could affect the standards NAESB </w:t>
      </w:r>
      <w:r>
        <w:rPr>
          <w:bCs/>
          <w:iCs/>
        </w:rPr>
        <w:t xml:space="preserve">may seek to </w:t>
      </w:r>
      <w:r>
        <w:t xml:space="preserve">develop in the area of GEH. These interactive effects complicate sequencing and content of any actions that NAESB might seek to take in the future.    </w:t>
      </w:r>
    </w:p>
    <w:p w:rsidR="00431353" w:rsidRDefault="00431353" w:rsidP="003152AE">
      <w:pPr>
        <w:spacing w:after="120"/>
      </w:pPr>
      <w:r>
        <w:rPr>
          <w:bCs/>
          <w:iCs/>
          <w:lang w:eastAsia="ja-JP"/>
        </w:rPr>
        <w:t>Finally, the Committee observed that some commercial solutions by their nature evolve to meet market needs of specific market participants or regions and are unlikely to be extended to other regions or to all pipelines.</w:t>
      </w:r>
      <w:r>
        <w:rPr>
          <w:lang w:eastAsia="ja-JP"/>
        </w:rPr>
        <w:t xml:space="preserve"> </w:t>
      </w:r>
      <w:r>
        <w:t xml:space="preserve">  Although these </w:t>
      </w:r>
      <w:r>
        <w:rPr>
          <w:bCs/>
          <w:iCs/>
        </w:rPr>
        <w:t xml:space="preserve">specific </w:t>
      </w:r>
      <w:r>
        <w:t xml:space="preserve">commercial solutions may address some of the underlying GEH issues, they may not lend themselves to uniform market applicability and the adoption of national standards.  </w:t>
      </w:r>
    </w:p>
    <w:p w:rsidR="00431353" w:rsidRDefault="00431353" w:rsidP="00A86DFF">
      <w:r>
        <w:rPr>
          <w:bCs/>
          <w:iCs/>
        </w:rPr>
        <w:t>With these parameters in mind</w:t>
      </w:r>
      <w:r>
        <w:t xml:space="preserve">, the Committee identified three areas where existing standards could be revisited to determine whether modifications could improve GEH with respect to those discrete issues, and if so, what those modifications might address.    </w:t>
      </w:r>
    </w:p>
    <w:p w:rsidR="00431353" w:rsidRDefault="00431353" w:rsidP="00AE19C1">
      <w:pPr>
        <w:numPr>
          <w:ilvl w:val="0"/>
          <w:numId w:val="7"/>
        </w:numPr>
        <w:spacing w:before="240" w:after="120"/>
      </w:pPr>
      <w:r>
        <w:t xml:space="preserve">Market timelines and coordination of scheduling:  Unsynchronized market clearing times, gas and electric delivery days, the difference between nomination timelines and trading timelines, and gas supply timelines </w:t>
      </w:r>
      <w:r>
        <w:lastRenderedPageBreak/>
        <w:t>for natural gas and electricity sometimes create challenges that may possibly require changes to market timelines.  At a minimum, standards supporting schedule coordination and additional communications between the two markets may be needed.</w:t>
      </w:r>
    </w:p>
    <w:p w:rsidR="00431353" w:rsidRDefault="00431353" w:rsidP="00AE19C1">
      <w:pPr>
        <w:numPr>
          <w:ilvl w:val="0"/>
          <w:numId w:val="7"/>
        </w:numPr>
        <w:spacing w:before="240" w:after="120"/>
      </w:pPr>
      <w:r>
        <w:t>Flexibility in Scheduling: Greater flexibility in scheduling gas transportation services balanced against existing contracted services and operational integrity of the markets may lead to standards development or revisions of existing standards and may need to be considered by the NAESB organization.</w:t>
      </w:r>
    </w:p>
    <w:p w:rsidR="00431353" w:rsidRDefault="00431353" w:rsidP="00AE19C1">
      <w:pPr>
        <w:numPr>
          <w:ilvl w:val="0"/>
          <w:numId w:val="7"/>
        </w:numPr>
        <w:spacing w:before="240" w:after="120"/>
      </w:pPr>
      <w:r>
        <w:t xml:space="preserve">Provision of Information:  Standard development could be considered to further promote the availability of information to specific entities in order to assist in addressing GEH issues related to </w:t>
      </w:r>
    </w:p>
    <w:p w:rsidR="00431353" w:rsidRDefault="00431353" w:rsidP="00AE19C1">
      <w:pPr>
        <w:numPr>
          <w:ilvl w:val="1"/>
          <w:numId w:val="7"/>
        </w:numPr>
        <w:spacing w:before="240" w:after="120"/>
      </w:pPr>
      <w:r>
        <w:t xml:space="preserve">the status of generation and pipeline capacity, </w:t>
      </w:r>
    </w:p>
    <w:p w:rsidR="00431353" w:rsidRDefault="00431353" w:rsidP="00AE19C1">
      <w:pPr>
        <w:numPr>
          <w:ilvl w:val="1"/>
          <w:numId w:val="7"/>
        </w:numPr>
        <w:spacing w:before="240" w:after="120"/>
      </w:pPr>
      <w:r>
        <w:t>access to critical infrastructure information needed by electric service providers in curtailment conditions, including information on gas-fired generators, and</w:t>
      </w:r>
    </w:p>
    <w:p w:rsidR="00431353" w:rsidRDefault="00431353" w:rsidP="00AE19C1">
      <w:pPr>
        <w:numPr>
          <w:ilvl w:val="1"/>
          <w:numId w:val="7"/>
        </w:numPr>
        <w:spacing w:before="240" w:after="120"/>
      </w:pPr>
      <w:r>
        <w:t xml:space="preserve"> decision-enabling tools related to contingency response and day-of-service operations.  </w:t>
      </w:r>
    </w:p>
    <w:p w:rsidR="00431353" w:rsidRDefault="00431353" w:rsidP="00F17629">
      <w:pPr>
        <w:spacing w:before="240" w:after="120"/>
        <w:ind w:left="720"/>
      </w:pPr>
      <w:r>
        <w:t xml:space="preserve">The means by which communication would take place for situational awareness reporting, recognizing confidentiality constraints are key components for consideration.  </w:t>
      </w:r>
    </w:p>
    <w:p w:rsidR="00431353" w:rsidRPr="003A1419" w:rsidRDefault="00431353" w:rsidP="00F17629">
      <w:pPr>
        <w:keepNext/>
        <w:spacing w:before="720" w:after="240"/>
        <w:rPr>
          <w:b/>
        </w:rPr>
      </w:pPr>
      <w:r w:rsidRPr="003A1419">
        <w:rPr>
          <w:b/>
        </w:rPr>
        <w:t xml:space="preserve">COMMITTEE CAUTIONS: </w:t>
      </w:r>
    </w:p>
    <w:p w:rsidR="00431353" w:rsidRDefault="00431353" w:rsidP="00A86DFF">
      <w:pPr>
        <w:spacing w:before="360" w:after="240"/>
      </w:pPr>
      <w:r>
        <w:t xml:space="preserve">Although this Committee has identified discrete areas where standards could be considered, the Committee recognizes that the ability of  NAESB to reach consensus on certain standards may not be possible absent further policy guidance by regulators or other appropriate public bodies. </w:t>
      </w:r>
    </w:p>
    <w:p w:rsidR="00431353" w:rsidRDefault="00431353" w:rsidP="00A86DFF">
      <w:pPr>
        <w:spacing w:before="240" w:after="120"/>
      </w:pPr>
      <w:r>
        <w:t xml:space="preserve">Accordingly, prior to adding these items to the 2013 </w:t>
      </w:r>
      <w:r w:rsidR="00BA0FE1">
        <w:t>Annual</w:t>
      </w:r>
      <w:r>
        <w:t xml:space="preserve"> Plan</w:t>
      </w:r>
      <w:r w:rsidR="00BA0FE1">
        <w:t>s as active items</w:t>
      </w:r>
      <w:r>
        <w:t>, the Committee recommends the Board evaluate the likelihood of success prior to committing the time and resources of NAESB staff and other stakeholders to these issues.</w:t>
      </w:r>
    </w:p>
    <w:p w:rsidR="00431353" w:rsidRDefault="00431353" w:rsidP="00DD6335">
      <w:pPr>
        <w:spacing w:before="240" w:after="120"/>
        <w:sectPr w:rsidR="00431353" w:rsidSect="00AA7E0F">
          <w:footerReference w:type="default" r:id="rId11"/>
          <w:pgSz w:w="12240" w:h="15840" w:code="1"/>
          <w:pgMar w:top="1440" w:right="1440" w:bottom="1440" w:left="1440" w:header="720" w:footer="720" w:gutter="0"/>
          <w:pgNumType w:start="1"/>
          <w:cols w:space="720"/>
          <w:docGrid w:linePitch="360"/>
        </w:sectPr>
      </w:pPr>
      <w:r>
        <w:t>The Committee notes, further, that even when new policy or clarifications of existing policy are provided to address GEH issues, such clarifications or new policy, when received, may or may not lead to outcomes amenable to near-term standards development or adoption (or at all).</w:t>
      </w:r>
    </w:p>
    <w:p w:rsidR="00431353" w:rsidRDefault="00431353" w:rsidP="00B44FB5">
      <w:pPr>
        <w:spacing w:before="600" w:after="240"/>
        <w:jc w:val="center"/>
        <w:rPr>
          <w:b/>
        </w:rPr>
      </w:pPr>
      <w:r w:rsidRPr="007775BA">
        <w:rPr>
          <w:b/>
          <w:u w:val="single"/>
        </w:rPr>
        <w:lastRenderedPageBreak/>
        <w:t>STANDARDS DEVELOPMENT CONSIDERATIONS</w:t>
      </w:r>
      <w:r>
        <w:rPr>
          <w:b/>
        </w:rPr>
        <w:t>:</w:t>
      </w:r>
    </w:p>
    <w:p w:rsidR="00431353" w:rsidRDefault="00431353" w:rsidP="00DD6335">
      <w:pPr>
        <w:spacing w:before="600" w:after="240"/>
        <w:rPr>
          <w:b/>
        </w:rPr>
      </w:pPr>
      <w:r>
        <w:rPr>
          <w:b/>
        </w:rPr>
        <w:t>CONTEXT WITHIN WHICH THE COMMITTEE CONSIDERED POTENTIAL STANDARDS DEVELOPMENT:</w:t>
      </w:r>
    </w:p>
    <w:p w:rsidR="00431353" w:rsidRDefault="00431353" w:rsidP="00AE19C1">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p>
    <w:p w:rsidR="00431353" w:rsidRDefault="00431353" w:rsidP="00AE19C1">
      <w:pPr>
        <w:pStyle w:val="ListParagraph"/>
        <w:numPr>
          <w:ilvl w:val="0"/>
          <w:numId w:val="2"/>
        </w:numPr>
        <w:spacing w:before="120" w:after="120"/>
        <w:ind w:left="360"/>
        <w:contextualSpacing w:val="0"/>
      </w:pPr>
      <w:r>
        <w:t xml:space="preserve">The Committee did not expect that all GEH issues could be resolved with standards. </w:t>
      </w:r>
    </w:p>
    <w:p w:rsidR="00431353" w:rsidRDefault="00431353" w:rsidP="00AE19C1">
      <w:pPr>
        <w:pStyle w:val="ListParagraph"/>
        <w:numPr>
          <w:ilvl w:val="0"/>
          <w:numId w:val="2"/>
        </w:numPr>
        <w:spacing w:before="120" w:after="120"/>
        <w:contextualSpacing w:val="0"/>
      </w:pPr>
      <w:r>
        <w:t>Should additional capacity be needed, standards will not determine whether to build that capacity. Standards do not address the creation of capacity.  Standards cannot solve infrastructure requirements when policy and or commercial decisions must be made first.</w:t>
      </w:r>
    </w:p>
    <w:p w:rsidR="00431353" w:rsidRDefault="00431353" w:rsidP="00AE19C1">
      <w:pPr>
        <w:pStyle w:val="ListParagraph"/>
        <w:numPr>
          <w:ilvl w:val="0"/>
          <w:numId w:val="2"/>
        </w:numPr>
        <w:tabs>
          <w:tab w:val="left" w:pos="720"/>
        </w:tabs>
        <w:spacing w:before="120" w:after="120"/>
        <w:contextualSpacing w:val="0"/>
      </w:pPr>
      <w:r>
        <w:t xml:space="preserve">If regional arrangements did not lend themselves to the broader uniformity provided when creating standards with regional differentiation, standards would not be appropriate.  </w:t>
      </w:r>
    </w:p>
    <w:p w:rsidR="00431353" w:rsidRDefault="00431353" w:rsidP="00AE19C1">
      <w:pPr>
        <w:pStyle w:val="ListParagraph"/>
        <w:numPr>
          <w:ilvl w:val="0"/>
          <w:numId w:val="2"/>
        </w:numPr>
        <w:tabs>
          <w:tab w:val="left" w:pos="720"/>
        </w:tabs>
        <w:spacing w:before="120" w:after="120"/>
        <w:contextualSpacing w:val="0"/>
      </w:pPr>
      <w:r>
        <w:t>When policy clarifications are needed or new policy would be helpful in addressing GEH issues, the clarifications or new policy may or may not lead to standards development.</w:t>
      </w:r>
    </w:p>
    <w:p w:rsidR="00431353" w:rsidRDefault="00431353" w:rsidP="00AE19C1">
      <w:pPr>
        <w:pStyle w:val="ListParagraph"/>
        <w:numPr>
          <w:ilvl w:val="0"/>
          <w:numId w:val="2"/>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rsidR="00431353" w:rsidRDefault="00431353" w:rsidP="00AE19C1">
      <w:pPr>
        <w:pStyle w:val="ListParagraph"/>
        <w:numPr>
          <w:ilvl w:val="0"/>
          <w:numId w:val="2"/>
        </w:numPr>
        <w:spacing w:before="120" w:after="120"/>
        <w:ind w:left="360"/>
        <w:contextualSpacing w:val="0"/>
      </w:pPr>
      <w:r>
        <w:t xml:space="preserve">Where the Committee has found fundamental reasons why standards should not be developed, they will be so stated. </w:t>
      </w:r>
    </w:p>
    <w:p w:rsidR="00431353" w:rsidRPr="00DD58FE" w:rsidRDefault="00431353" w:rsidP="00AE19C1">
      <w:pPr>
        <w:pStyle w:val="ListParagraph"/>
        <w:numPr>
          <w:ilvl w:val="0"/>
          <w:numId w:val="2"/>
        </w:numPr>
        <w:spacing w:before="120" w:after="120"/>
        <w:ind w:left="360"/>
        <w:contextualSpacing w:val="0"/>
      </w:pPr>
      <w:r>
        <w:t>Standards developed to harmonize the two markets could impact not only power generation but all natural gas end use customers, and the terms of existing contracts that govern the services provided to the end use customers should not be adversely impacted.</w:t>
      </w:r>
    </w:p>
    <w:p w:rsidR="00431353" w:rsidRDefault="00431353" w:rsidP="00AE19C1">
      <w:pPr>
        <w:pStyle w:val="ListParagraph"/>
        <w:numPr>
          <w:ilvl w:val="0"/>
          <w:numId w:val="2"/>
        </w:numPr>
        <w:spacing w:before="120" w:after="120"/>
        <w:ind w:left="360"/>
        <w:contextualSpacing w:val="0"/>
      </w:pPr>
      <w:r>
        <w:t xml:space="preserve">If there is an expectation of </w:t>
      </w:r>
      <w:r w:rsidRPr="0070425A">
        <w:t>impediments</w:t>
      </w:r>
      <w:r>
        <w:t xml:space="preserve"> </w:t>
      </w:r>
      <w:r w:rsidRPr="0070425A">
        <w:t>to</w:t>
      </w:r>
      <w:r>
        <w:t xml:space="preserve"> </w:t>
      </w:r>
      <w:r w:rsidRPr="0070425A">
        <w:t>reaching</w:t>
      </w:r>
      <w:r>
        <w:t xml:space="preserve"> </w:t>
      </w:r>
      <w:r w:rsidRPr="0070425A">
        <w:t>consensus</w:t>
      </w:r>
      <w:r>
        <w:t xml:space="preserve"> on the development of a standard, such as a general reluctance to change or change that shifts costs from one segment to another, then policy direction would be required.  The Committee recommends that the Board carefully consider any standards development efforts in conjunction with an expectation that consensus can be reached.   Without such an expectation of consensus, it may be more appropriate to consider the development as provisional until such time as the Board does expect that consensus is achievable.</w:t>
      </w:r>
    </w:p>
    <w:p w:rsidR="00431353" w:rsidRDefault="00431353" w:rsidP="00AE19C1">
      <w:pPr>
        <w:pStyle w:val="ListParagraph"/>
        <w:numPr>
          <w:ilvl w:val="0"/>
          <w:numId w:val="2"/>
        </w:numPr>
        <w:spacing w:before="120" w:after="120"/>
        <w:ind w:left="360"/>
        <w:contextualSpacing w:val="0"/>
      </w:pPr>
      <w:r>
        <w:t xml:space="preserve">As observations are listed for each of the consolidated recommendations,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431353" w:rsidRDefault="00431353">
      <w:pPr>
        <w:keepNext/>
        <w:spacing w:before="360" w:after="240"/>
        <w:rPr>
          <w:b/>
        </w:rPr>
      </w:pPr>
      <w:r>
        <w:rPr>
          <w:b/>
        </w:rPr>
        <w:lastRenderedPageBreak/>
        <w:t>COMMITTEE RECOMMENDATIONS THAT COULD LEAD TO STANDARDS DEVELOPMENT:</w:t>
      </w:r>
    </w:p>
    <w:p w:rsidR="00431353" w:rsidRDefault="00431353">
      <w:pPr>
        <w:pStyle w:val="ListParagraph"/>
        <w:keepNext/>
        <w:spacing w:before="360"/>
        <w:ind w:left="360" w:hanging="360"/>
      </w:pPr>
      <w:r>
        <w:t>1.</w:t>
      </w:r>
      <w:r>
        <w:tab/>
        <w:t xml:space="preserve">Greater flexibility in scheduling gas transportation services balanced against existing contracted services and operational integrity of the markets may lead to standards development or revisions of existing standards and may be considered by the NAESB organization. </w:t>
      </w:r>
    </w:p>
    <w:p w:rsidR="00431353" w:rsidRDefault="00431353" w:rsidP="00AE19C1">
      <w:pPr>
        <w:pStyle w:val="ListParagraph"/>
        <w:numPr>
          <w:ilvl w:val="0"/>
          <w:numId w:val="4"/>
        </w:numPr>
        <w:spacing w:before="120"/>
        <w:ind w:left="720"/>
        <w:contextualSpacing w:val="0"/>
      </w:pPr>
      <w:r>
        <w:t>This recommendation incorporates observations  noted for:  1.1, 1.2, 1.3, 1.4, 1.6, 1.7, 1.8, 1.10, 1.11, 2.15</w:t>
      </w:r>
    </w:p>
    <w:p w:rsidR="00431353" w:rsidRDefault="00431353" w:rsidP="00AE19C1">
      <w:pPr>
        <w:pStyle w:val="ListParagraph"/>
        <w:numPr>
          <w:ilvl w:val="0"/>
          <w:numId w:val="4"/>
        </w:numPr>
        <w:spacing w:before="120" w:after="120"/>
        <w:ind w:left="720"/>
        <w:contextualSpacing w:val="0"/>
      </w:pPr>
      <w:r>
        <w:t>The recommendation is linked to similar NAESB standards that have been defined for intraday scheduling, scheduling and confirmations, and bumping rules.  Those standards may require changes if standards development for this item in undertaken.</w:t>
      </w:r>
    </w:p>
    <w:p w:rsidR="00431353" w:rsidRDefault="00431353" w:rsidP="00AE19C1">
      <w:pPr>
        <w:pStyle w:val="ListParagraph"/>
        <w:numPr>
          <w:ilvl w:val="0"/>
          <w:numId w:val="4"/>
        </w:numPr>
        <w:spacing w:before="120" w:after="120"/>
        <w:ind w:left="720"/>
        <w:contextualSpacing w:val="0"/>
      </w:pPr>
      <w:r>
        <w:t>Fundamental reasons why standards development in this area should be undertaken:</w:t>
      </w:r>
    </w:p>
    <w:p w:rsidR="00431353" w:rsidRDefault="00431353" w:rsidP="00AE19C1">
      <w:pPr>
        <w:pStyle w:val="ListParagraph"/>
        <w:numPr>
          <w:ilvl w:val="0"/>
          <w:numId w:val="4"/>
        </w:numPr>
        <w:tabs>
          <w:tab w:val="left" w:pos="1080"/>
        </w:tabs>
        <w:spacing w:before="120" w:after="120"/>
        <w:ind w:left="1080"/>
        <w:contextualSpacing w:val="0"/>
        <w:jc w:val="both"/>
      </w:pPr>
      <w:r>
        <w:t xml:space="preserve">This recommendation is linked to Recommendation 2 for market clearing times in day ahead markets, in identifying ways to improve the gas-electric interface to ensure daily gas availability for all end user customers, including gas-fired power generation,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w:t>
      </w:r>
      <w:r w:rsidR="00B40A68">
        <w:t>an appropriate</w:t>
      </w:r>
      <w:r>
        <w:t xml:space="preserve"> allocation of available capacity to customers dependent upon gas takes to meet their daily delivery requirements. As noted earlier in this paragraph, standards development supporting flexibility in scheduling goes hand in hand with the need to revise the pipeline capacity and market clearing  timelines to harmonize the gas-electric interface.  </w:t>
      </w:r>
    </w:p>
    <w:p w:rsidR="00431353" w:rsidRDefault="00431353">
      <w:pPr>
        <w:pStyle w:val="ListParagraph"/>
        <w:keepNext/>
        <w:spacing w:before="360"/>
        <w:ind w:left="360" w:hanging="360"/>
        <w:contextualSpacing w:val="0"/>
      </w:pPr>
      <w:r>
        <w:t>2.</w:t>
      </w:r>
      <w:r>
        <w:tab/>
        <w:t>Unsynchronized market clearing times, gas and electric delivery days, the difference between nomination timelines and trading timelines, and gas supply timelines for natural gas and electricity sometimes create challenges that may possibly require changes to market timelines.  At a minimum, standards supporting schedule coordination and additional communications between the two markets may be needed.</w:t>
      </w:r>
    </w:p>
    <w:p w:rsidR="00431353" w:rsidRDefault="00431353" w:rsidP="00AE19C1">
      <w:pPr>
        <w:pStyle w:val="ListParagraph"/>
        <w:numPr>
          <w:ilvl w:val="0"/>
          <w:numId w:val="4"/>
        </w:numPr>
        <w:spacing w:before="120"/>
        <w:ind w:left="720"/>
        <w:contextualSpacing w:val="0"/>
      </w:pPr>
      <w:r>
        <w:t>This recommendation incorporates observations  noted for:  1.5, 1.6, 2.15</w:t>
      </w:r>
    </w:p>
    <w:p w:rsidR="00431353" w:rsidRDefault="00431353" w:rsidP="00AE19C1">
      <w:pPr>
        <w:pStyle w:val="ListParagraph"/>
        <w:numPr>
          <w:ilvl w:val="0"/>
          <w:numId w:val="4"/>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rsidR="00431353" w:rsidRDefault="00431353" w:rsidP="00AE19C1">
      <w:pPr>
        <w:pStyle w:val="ListParagraph"/>
        <w:numPr>
          <w:ilvl w:val="0"/>
          <w:numId w:val="4"/>
        </w:numPr>
        <w:spacing w:before="120" w:after="120"/>
        <w:ind w:left="720"/>
        <w:contextualSpacing w:val="0"/>
      </w:pPr>
      <w:r>
        <w:t>Fundamental reasons why standards development in this area should be undertaken:</w:t>
      </w:r>
    </w:p>
    <w:p w:rsidR="00431353" w:rsidRDefault="00431353" w:rsidP="00AE19C1">
      <w:pPr>
        <w:pStyle w:val="ListParagraph"/>
        <w:numPr>
          <w:ilvl w:val="0"/>
          <w:numId w:val="4"/>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rsidR="00431353" w:rsidRDefault="00431353" w:rsidP="00AE19C1">
      <w:pPr>
        <w:pStyle w:val="ListParagraph"/>
        <w:keepNext/>
        <w:numPr>
          <w:ilvl w:val="1"/>
          <w:numId w:val="4"/>
        </w:numPr>
        <w:tabs>
          <w:tab w:val="left" w:pos="720"/>
        </w:tabs>
        <w:ind w:left="720"/>
      </w:pPr>
      <w:r>
        <w:t>Cautionary considerations to be taken into account if standards development is to be pursued:</w:t>
      </w:r>
    </w:p>
    <w:p w:rsidR="00431353" w:rsidRDefault="00431353" w:rsidP="00AE19C1">
      <w:pPr>
        <w:pStyle w:val="ListParagraph"/>
        <w:numPr>
          <w:ilvl w:val="1"/>
          <w:numId w:val="4"/>
        </w:numPr>
        <w:tabs>
          <w:tab w:val="left" w:pos="1080"/>
        </w:tabs>
        <w:spacing w:before="120"/>
        <w:ind w:left="1080"/>
        <w:contextualSpacing w:val="0"/>
      </w:pPr>
      <w:r>
        <w:t>Load profiles in both the natural gas and electricity markets present challenges to reaching more uniform market clearing times.</w:t>
      </w:r>
    </w:p>
    <w:p w:rsidR="00431353" w:rsidRDefault="00431353" w:rsidP="00AE19C1">
      <w:pPr>
        <w:pStyle w:val="ListParagraph"/>
        <w:numPr>
          <w:ilvl w:val="1"/>
          <w:numId w:val="4"/>
        </w:numPr>
        <w:tabs>
          <w:tab w:val="left" w:pos="1080"/>
        </w:tabs>
        <w:spacing w:before="120"/>
        <w:ind w:left="1080"/>
        <w:contextualSpacing w:val="0"/>
      </w:pPr>
      <w:r>
        <w:t>Convergence of natural gas and electricity delivery days may be achievable with policy guidance.</w:t>
      </w:r>
    </w:p>
    <w:p w:rsidR="00431353" w:rsidRDefault="00431353" w:rsidP="00DD58FE">
      <w:pPr>
        <w:pStyle w:val="ListParagraph"/>
        <w:spacing w:before="360"/>
        <w:ind w:left="360" w:hanging="360"/>
        <w:contextualSpacing w:val="0"/>
      </w:pPr>
      <w:r>
        <w:lastRenderedPageBreak/>
        <w:t>3.</w:t>
      </w:r>
      <w:r>
        <w:tab/>
        <w:t xml:space="preserve">Standard development should be considered to further promote the availability of information to specific entities in order to assist in addressing GEH issues to include (1) the status of  generation and pipeline capacity, (2) access to critical infrastructure information needed by electric service providers in curtailment conditions including information on gas fired generators, and (3)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Plant Interface Coordination – Standard NUC-001-2, NERC, April 2010, </w:t>
      </w:r>
      <w:hyperlink r:id="rId12" w:history="1">
        <w:r w:rsidRPr="008761BC">
          <w:rPr>
            <w:rStyle w:val="Hyperlink"/>
          </w:rPr>
          <w:t>http://www.nerc.com/files/NUC-001-2.pdf</w:t>
        </w:r>
      </w:hyperlink>
      <w:r>
        <w:t>) and other similar reports may be reviewed as potential reference points for standards development.  NAESB communications protocol standards and security standards should be reviewed periodically to ensure they are robust enough to support the sharing of information envisioned in this development.</w:t>
      </w:r>
    </w:p>
    <w:p w:rsidR="00431353" w:rsidRDefault="00431353" w:rsidP="00AE19C1">
      <w:pPr>
        <w:pStyle w:val="ListParagraph"/>
        <w:numPr>
          <w:ilvl w:val="0"/>
          <w:numId w:val="4"/>
        </w:numPr>
        <w:spacing w:before="120" w:after="120"/>
        <w:ind w:left="720"/>
        <w:contextualSpacing w:val="0"/>
      </w:pPr>
      <w:r>
        <w:t>This recommendation incorporates observations noted for:  1.12, 3.3, 3.4, 3.5, 4.0, 4.1, 4.2, 4.4, 4.6, 4.7, 4.8</w:t>
      </w:r>
    </w:p>
    <w:p w:rsidR="00431353" w:rsidRDefault="00431353" w:rsidP="00AE19C1">
      <w:pPr>
        <w:pStyle w:val="ListParagraph"/>
        <w:numPr>
          <w:ilvl w:val="0"/>
          <w:numId w:val="4"/>
        </w:numPr>
        <w:spacing w:before="120" w:after="120"/>
        <w:ind w:left="720"/>
        <w:contextualSpacing w:val="0"/>
      </w:pPr>
      <w:r>
        <w:t>The recommendation is linked to similar NAESB standards that have been defined for NAESB for scheduling and for communications between pipeline operators and generation facility operators</w:t>
      </w:r>
      <w:r w:rsidR="00B40A68">
        <w:t xml:space="preserve">, which </w:t>
      </w:r>
      <w:r>
        <w:t xml:space="preserve"> may require changes if standards development for this item in undertaken. The recommendation is </w:t>
      </w:r>
      <w:r w:rsidR="000E7319">
        <w:t xml:space="preserve">also </w:t>
      </w:r>
      <w:r>
        <w:t>linked to similar NAESB standards that have been defined for NAESB security standards and communication protocol standards</w:t>
      </w:r>
      <w:r w:rsidR="00B40A68">
        <w:t>, which</w:t>
      </w:r>
      <w:r>
        <w:t xml:space="preserve"> may require changes if standards development for this item is undertaken.</w:t>
      </w:r>
    </w:p>
    <w:p w:rsidR="00431353" w:rsidRDefault="00431353" w:rsidP="00AE19C1">
      <w:pPr>
        <w:pStyle w:val="ListParagraph"/>
        <w:numPr>
          <w:ilvl w:val="0"/>
          <w:numId w:val="4"/>
        </w:numPr>
        <w:spacing w:before="120" w:after="120"/>
        <w:ind w:left="720"/>
        <w:contextualSpacing w:val="0"/>
      </w:pPr>
      <w:r>
        <w:t>Fundamental reasons why standards development in this area should be undertaken:</w:t>
      </w:r>
    </w:p>
    <w:p w:rsidR="00431353" w:rsidRDefault="00431353" w:rsidP="00AE19C1">
      <w:pPr>
        <w:pStyle w:val="ListParagraph"/>
        <w:numPr>
          <w:ilvl w:val="0"/>
          <w:numId w:val="4"/>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rsidR="00431353" w:rsidRDefault="00431353" w:rsidP="00AE19C1">
      <w:pPr>
        <w:pStyle w:val="ListParagraph"/>
        <w:numPr>
          <w:ilvl w:val="0"/>
          <w:numId w:val="4"/>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p>
    <w:p w:rsidR="00431353" w:rsidRDefault="00431353" w:rsidP="00AE19C1">
      <w:pPr>
        <w:pStyle w:val="ListParagraph"/>
        <w:numPr>
          <w:ilvl w:val="1"/>
          <w:numId w:val="4"/>
        </w:numPr>
        <w:tabs>
          <w:tab w:val="left" w:pos="720"/>
        </w:tabs>
        <w:ind w:left="720"/>
      </w:pPr>
      <w:r>
        <w:t>Cautionary considerations to be taken into account if standards development is to be pursued:</w:t>
      </w:r>
    </w:p>
    <w:p w:rsidR="00431353" w:rsidRDefault="00431353" w:rsidP="00AE19C1">
      <w:pPr>
        <w:pStyle w:val="ListParagraph"/>
        <w:numPr>
          <w:ilvl w:val="1"/>
          <w:numId w:val="4"/>
        </w:numPr>
        <w:tabs>
          <w:tab w:val="left" w:pos="1080"/>
        </w:tabs>
        <w:spacing w:before="120"/>
        <w:ind w:left="1080"/>
        <w:contextualSpacing w:val="0"/>
      </w:pPr>
      <w:r>
        <w:t>The communications noted cover both real-time and operational planning schedules.</w:t>
      </w:r>
    </w:p>
    <w:p w:rsidR="00431353" w:rsidRDefault="00431353" w:rsidP="00AE19C1">
      <w:pPr>
        <w:pStyle w:val="ListParagraph"/>
        <w:numPr>
          <w:ilvl w:val="1"/>
          <w:numId w:val="4"/>
        </w:numPr>
        <w:tabs>
          <w:tab w:val="left" w:pos="1080"/>
        </w:tabs>
        <w:spacing w:before="120"/>
        <w:ind w:left="1080"/>
        <w:contextualSpacing w:val="0"/>
      </w:pPr>
      <w:r>
        <w:t>Three levels of communication exchange should be addressed – public consumption, market participant communications and operator-to-operator communications.</w:t>
      </w:r>
    </w:p>
    <w:p w:rsidR="00431353" w:rsidRDefault="00431353">
      <w:pPr>
        <w:rPr>
          <w:b/>
        </w:rPr>
      </w:pPr>
    </w:p>
    <w:p w:rsidR="00431353" w:rsidRDefault="00431353" w:rsidP="00060C95">
      <w:pPr>
        <w:spacing w:before="120"/>
        <w:outlineLvl w:val="0"/>
      </w:pPr>
    </w:p>
    <w:p w:rsidR="00431353" w:rsidRDefault="00431353" w:rsidP="00060C95">
      <w:pPr>
        <w:sectPr w:rsidR="00431353">
          <w:headerReference w:type="even" r:id="rId13"/>
          <w:headerReference w:type="default" r:id="rId14"/>
          <w:footerReference w:type="even" r:id="rId15"/>
          <w:headerReference w:type="first" r:id="rId16"/>
          <w:footerReference w:type="first" r:id="rId17"/>
          <w:pgSz w:w="12240" w:h="15840" w:code="1"/>
          <w:pgMar w:top="1440" w:right="1440" w:bottom="1440" w:left="1440" w:header="720" w:footer="720" w:gutter="0"/>
          <w:cols w:space="720"/>
          <w:docGrid w:linePitch="360"/>
        </w:sectPr>
      </w:pPr>
    </w:p>
    <w:p w:rsidR="00431353" w:rsidRDefault="00431353" w:rsidP="00B44FB5">
      <w:pPr>
        <w:keepNext/>
        <w:spacing w:before="360" w:after="240"/>
        <w:jc w:val="center"/>
        <w:rPr>
          <w:b/>
        </w:rPr>
      </w:pPr>
      <w:r>
        <w:rPr>
          <w:b/>
        </w:rPr>
        <w:lastRenderedPageBreak/>
        <w:t>POLICY CONSIDERATIONS:</w:t>
      </w:r>
    </w:p>
    <w:p w:rsidR="00431353" w:rsidRPr="00DD6335" w:rsidRDefault="00431353" w:rsidP="00DD6335">
      <w:pPr>
        <w:keepNext/>
        <w:spacing w:before="360" w:after="240"/>
        <w:rPr>
          <w:b/>
        </w:rPr>
      </w:pPr>
      <w:r w:rsidRPr="00DD6335">
        <w:rPr>
          <w:b/>
        </w:rPr>
        <w:t xml:space="preserve">CONTEXT WITHIN WHICH THE </w:t>
      </w:r>
      <w:r>
        <w:rPr>
          <w:b/>
        </w:rPr>
        <w:t>POLICY ISSUES WERE IDENTIFIED BY COMMITTEE MEMBERS:</w:t>
      </w:r>
    </w:p>
    <w:p w:rsidR="00431353" w:rsidRPr="00E07BA7" w:rsidRDefault="00431353" w:rsidP="00AE19C1">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r>
        <w:rPr>
          <w:rFonts w:cs="Helvetica"/>
          <w:lang w:eastAsia="ja-JP"/>
        </w:rPr>
        <w:t xml:space="preserve"> </w:t>
      </w:r>
    </w:p>
    <w:p w:rsidR="00431353" w:rsidRDefault="00431353" w:rsidP="00AE19C1">
      <w:pPr>
        <w:pStyle w:val="ListParagraph"/>
        <w:numPr>
          <w:ilvl w:val="0"/>
          <w:numId w:val="2"/>
        </w:numPr>
        <w:spacing w:before="120" w:after="120"/>
        <w:ind w:left="360"/>
        <w:contextualSpacing w:val="0"/>
      </w:pPr>
      <w:r>
        <w:rPr>
          <w:rFonts w:cs="Helvetica"/>
          <w:lang w:eastAsia="ja-JP"/>
        </w:rPr>
        <w:t xml:space="preserve">The Committee is not addressing whether a policy should be developed; however, policy decisions will likely </w:t>
      </w:r>
      <w:r w:rsidR="00B40A68">
        <w:rPr>
          <w:rFonts w:cs="Helvetica"/>
          <w:lang w:eastAsia="ja-JP"/>
        </w:rPr>
        <w:t>a</w:t>
      </w:r>
      <w:r>
        <w:rPr>
          <w:rFonts w:cs="Helvetica"/>
          <w:lang w:eastAsia="ja-JP"/>
        </w:rPr>
        <w:t>ffect NAESB standards and work products.</w:t>
      </w:r>
    </w:p>
    <w:p w:rsidR="00431353" w:rsidRDefault="00431353" w:rsidP="00AE19C1">
      <w:pPr>
        <w:pStyle w:val="ListParagraph"/>
        <w:numPr>
          <w:ilvl w:val="0"/>
          <w:numId w:val="2"/>
        </w:numPr>
        <w:spacing w:before="120" w:after="120"/>
        <w:ind w:left="360"/>
        <w:contextualSpacing w:val="0"/>
        <w:rPr>
          <w:b/>
          <w:i/>
        </w:rPr>
      </w:pPr>
      <w:r>
        <w:rPr>
          <w:rFonts w:cs="Helvetica"/>
          <w:lang w:eastAsia="ja-JP"/>
        </w:rPr>
        <w:t xml:space="preserve">Anything earmarked as a possible policy consideration is a recognition that it is an issue that is outside NAESB's purview but has generated considerable discussion and concern. </w:t>
      </w:r>
    </w:p>
    <w:p w:rsidR="00431353" w:rsidRDefault="00431353" w:rsidP="00AE19C1">
      <w:pPr>
        <w:pStyle w:val="ListParagraph"/>
        <w:numPr>
          <w:ilvl w:val="0"/>
          <w:numId w:val="2"/>
        </w:numPr>
        <w:spacing w:before="120" w:after="120"/>
        <w:ind w:left="360"/>
        <w:contextualSpacing w:val="0"/>
      </w:pPr>
      <w:r>
        <w:rPr>
          <w:rFonts w:cs="Helvetica"/>
          <w:lang w:eastAsia="ja-JP"/>
        </w:rPr>
        <w:t xml:space="preserve">The </w:t>
      </w:r>
      <w:r w:rsidRPr="000737BF">
        <w:t>Committee</w:t>
      </w:r>
      <w:r>
        <w:rPr>
          <w:rFonts w:cs="Helvetica"/>
          <w:lang w:eastAsia="ja-JP"/>
        </w:rPr>
        <w:t xml:space="preserve"> recognizes that many of these operational issues transcend regions or extend beyond gas and electric service territories or the jurisdiction of PUC’s, RTOs and ISOs.</w:t>
      </w:r>
    </w:p>
    <w:p w:rsidR="00431353" w:rsidRDefault="00431353" w:rsidP="00AE19C1">
      <w:pPr>
        <w:pStyle w:val="ListParagraph"/>
        <w:numPr>
          <w:ilvl w:val="0"/>
          <w:numId w:val="2"/>
        </w:numPr>
        <w:spacing w:before="120" w:after="120"/>
        <w:ind w:left="360"/>
        <w:contextualSpacing w:val="0"/>
      </w:pPr>
      <w:r>
        <w:rPr>
          <w:rFonts w:cs="Helvetica"/>
          <w:lang w:eastAsia="ja-JP"/>
        </w:rPr>
        <w:t xml:space="preserve">The Committee also recognizes that gas distributors and pipelines are not represented in RTOs or ISOs and that pipelines have other customers besides electric generators. </w:t>
      </w:r>
    </w:p>
    <w:p w:rsidR="00431353" w:rsidRDefault="00431353" w:rsidP="00AE19C1">
      <w:pPr>
        <w:pStyle w:val="ListParagraph"/>
        <w:numPr>
          <w:ilvl w:val="0"/>
          <w:numId w:val="2"/>
        </w:numPr>
        <w:spacing w:before="120" w:after="120"/>
        <w:ind w:left="360"/>
        <w:contextualSpacing w:val="0"/>
      </w:pPr>
      <w:r>
        <w:t>One criteria for development of a policy would be</w:t>
      </w:r>
      <w:r>
        <w:rPr>
          <w:rFonts w:cs="Helvetica"/>
          <w:lang w:eastAsia="ja-JP"/>
        </w:rPr>
        <w:t xml:space="preserve"> a regulatory action or commercial arrangement affecting the balance of rights between two parties or someone is commercially disadvantaged. </w:t>
      </w:r>
    </w:p>
    <w:p w:rsidR="00431353" w:rsidRDefault="00431353" w:rsidP="00AE19C1">
      <w:pPr>
        <w:pStyle w:val="ListParagraph"/>
        <w:numPr>
          <w:ilvl w:val="0"/>
          <w:numId w:val="2"/>
        </w:numPr>
        <w:spacing w:before="120" w:after="120"/>
        <w:ind w:left="360"/>
        <w:contextualSpacing w:val="0"/>
      </w:pPr>
      <w:r>
        <w:t>The observations that were identified as either primarily or secondarily related to policy development were done so presumably because there were no identified fundamental reasons given for why the industry should not consider standards development as helpful to the market in addressing GEH issues.</w:t>
      </w:r>
    </w:p>
    <w:p w:rsidR="00431353" w:rsidRPr="00163A82" w:rsidRDefault="00431353" w:rsidP="00AE19C1">
      <w:pPr>
        <w:pStyle w:val="ListParagraph"/>
        <w:numPr>
          <w:ilvl w:val="0"/>
          <w:numId w:val="2"/>
        </w:numPr>
        <w:spacing w:before="120" w:after="120"/>
        <w:ind w:left="360"/>
        <w:contextualSpacing w:val="0"/>
        <w:rPr>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431353" w:rsidRDefault="00431353" w:rsidP="00060C95">
      <w:pPr>
        <w:keepNext/>
        <w:spacing w:before="360" w:after="240"/>
        <w:rPr>
          <w:b/>
        </w:rPr>
      </w:pPr>
      <w:r>
        <w:rPr>
          <w:b/>
        </w:rPr>
        <w:t>OBSERVATIONS RAISING POLICY ISSUES:</w:t>
      </w:r>
    </w:p>
    <w:p w:rsidR="00431353" w:rsidRDefault="00431353" w:rsidP="00060C95">
      <w:pPr>
        <w:pStyle w:val="ListParagraph"/>
        <w:keepNext/>
        <w:spacing w:before="360"/>
        <w:ind w:left="360" w:hanging="360"/>
      </w:pPr>
      <w:r>
        <w:t>1.</w:t>
      </w:r>
      <w:r>
        <w:tab/>
        <w:t xml:space="preserve">Significant differences in both natural gas and electric markets day-of service and day-ahead scheduling procedures create the gaps in the clearing of gas and electricity markets and may require policy recommendations aimed at synchronizing the clearing times and the energy delivery day for both markets. </w:t>
      </w:r>
    </w:p>
    <w:p w:rsidR="00431353" w:rsidRDefault="00431353" w:rsidP="00AE19C1">
      <w:pPr>
        <w:pStyle w:val="ListParagraph"/>
        <w:numPr>
          <w:ilvl w:val="0"/>
          <w:numId w:val="4"/>
        </w:numPr>
        <w:spacing w:before="120"/>
        <w:ind w:left="720"/>
        <w:contextualSpacing w:val="0"/>
      </w:pPr>
      <w:r>
        <w:t>This recommendation incorporates observations noted for:  1.2, 1.5, 1.6, 1.7, 1.8, and 1.10.</w:t>
      </w:r>
    </w:p>
    <w:p w:rsidR="00431353" w:rsidRDefault="00431353" w:rsidP="00AE19C1">
      <w:pPr>
        <w:pStyle w:val="ListParagraph"/>
        <w:numPr>
          <w:ilvl w:val="0"/>
          <w:numId w:val="4"/>
        </w:numPr>
        <w:spacing w:before="120" w:after="120"/>
        <w:ind w:left="720"/>
        <w:contextualSpacing w:val="0"/>
      </w:pPr>
      <w:r>
        <w:t>If an impasse by the parties participating in standards development for the natural gas and electric markets day of service and day ahead scheduling occurs, it may be resolved when gaps between the two markets are addressed – which could require policy guidance.</w:t>
      </w:r>
    </w:p>
    <w:p w:rsidR="00431353" w:rsidRDefault="00431353" w:rsidP="00060C95">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rsidR="00431353" w:rsidRDefault="00431353" w:rsidP="00AE19C1">
      <w:pPr>
        <w:pStyle w:val="ListParagraph"/>
        <w:numPr>
          <w:ilvl w:val="0"/>
          <w:numId w:val="4"/>
        </w:numPr>
        <w:spacing w:before="120"/>
        <w:ind w:left="720"/>
        <w:contextualSpacing w:val="0"/>
      </w:pPr>
      <w:r>
        <w:lastRenderedPageBreak/>
        <w:t>This recommendation incorporates observations noted for:  2.2, 2.3 and 2.5.</w:t>
      </w:r>
    </w:p>
    <w:p w:rsidR="00431353" w:rsidRDefault="00431353" w:rsidP="00AE19C1">
      <w:pPr>
        <w:pStyle w:val="ListParagraph"/>
        <w:numPr>
          <w:ilvl w:val="0"/>
          <w:numId w:val="4"/>
        </w:numPr>
        <w:spacing w:before="120" w:after="120"/>
        <w:ind w:left="720"/>
        <w:contextualSpacing w:val="0"/>
      </w:pPr>
      <w:r>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rsidR="00431353" w:rsidRDefault="00431353" w:rsidP="00060C95">
      <w:pPr>
        <w:pStyle w:val="ListParagraph"/>
        <w:spacing w:before="360"/>
        <w:ind w:left="360" w:hanging="360"/>
      </w:pPr>
      <w:r>
        <w:t xml:space="preserve">3. </w:t>
      </w:r>
      <w:r>
        <w:tab/>
        <w:t xml:space="preserve">State curtailment policies impact both natural gas and electric markets, and it should be recommended to policy makers that a review of those policies may be helpful to ensure that policies do not inadvertently lead to interruption of service, depending on the priorities outlined in the state curtailment policies. More structured communications and availability of information for decision making in stress conditions could also require an examination that would lead to possible policy changes and standards changes to support the movement of natural gas to electric generation.  </w:t>
      </w:r>
    </w:p>
    <w:p w:rsidR="00431353" w:rsidRDefault="00431353" w:rsidP="00AE19C1">
      <w:pPr>
        <w:pStyle w:val="ListParagraph"/>
        <w:numPr>
          <w:ilvl w:val="0"/>
          <w:numId w:val="4"/>
        </w:numPr>
        <w:spacing w:before="120"/>
        <w:ind w:left="720"/>
        <w:contextualSpacing w:val="0"/>
      </w:pPr>
      <w:r>
        <w:t>This recommendation incorporates observations noted for:  3.1, 3.3, 3.4, 3.5, 3.6, and 3.7.</w:t>
      </w:r>
    </w:p>
    <w:p w:rsidR="00431353" w:rsidRDefault="00431353" w:rsidP="00AE19C1">
      <w:pPr>
        <w:pStyle w:val="ListParagraph"/>
        <w:numPr>
          <w:ilvl w:val="0"/>
          <w:numId w:val="4"/>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431353" w:rsidRDefault="00431353" w:rsidP="00AE19C1">
      <w:pPr>
        <w:pStyle w:val="ListParagraph"/>
        <w:numPr>
          <w:ilvl w:val="1"/>
          <w:numId w:val="4"/>
        </w:numPr>
        <w:spacing w:before="120" w:after="120"/>
        <w:ind w:left="720"/>
        <w:contextualSpacing w:val="0"/>
      </w:pPr>
      <w:r>
        <w:t>Policy guidance may be needed to allow for structured communications and information available for decision making in times of stress that could lead to implementing curtailment plans. This structured communication and information could take the form of: (1) the status of dispatchable generation and available pipeline capacity, (2) pipeline outages (only three possibilities: supply failure, equipment failure, or loss of electric compression due to generation outages) and (3) generation outages impacting pipelines and LDCs.</w:t>
      </w:r>
    </w:p>
    <w:p w:rsidR="00431353" w:rsidRDefault="00431353" w:rsidP="00060C95">
      <w:pPr>
        <w:pStyle w:val="ListParagraph"/>
        <w:keepNext/>
        <w:spacing w:before="360"/>
        <w:ind w:left="360" w:hanging="360"/>
      </w:pPr>
      <w:r>
        <w:t>4.</w:t>
      </w:r>
      <w:r>
        <w:tab/>
        <w:t>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anti competitive behavior.  Adequate security measures will be needed to ensure the protection and integrity of the information made available, including restricting receipt of some information.</w:t>
      </w:r>
    </w:p>
    <w:p w:rsidR="00431353" w:rsidRDefault="00431353" w:rsidP="00AE19C1">
      <w:pPr>
        <w:pStyle w:val="ListParagraph"/>
        <w:numPr>
          <w:ilvl w:val="0"/>
          <w:numId w:val="4"/>
        </w:numPr>
        <w:spacing w:before="120" w:after="120"/>
        <w:ind w:left="720"/>
        <w:contextualSpacing w:val="0"/>
      </w:pPr>
      <w:r>
        <w:t xml:space="preserve">This recommendation incorporates observations noted under 4.0, 4.4, 4.5, and 4.7 </w:t>
      </w:r>
    </w:p>
    <w:p w:rsidR="00431353" w:rsidRDefault="00431353" w:rsidP="00AE19C1">
      <w:pPr>
        <w:pStyle w:val="ListParagraph"/>
        <w:numPr>
          <w:ilvl w:val="0"/>
          <w:numId w:val="4"/>
        </w:numPr>
        <w:spacing w:before="120" w:after="120"/>
        <w:ind w:left="720"/>
        <w:contextualSpacing w:val="0"/>
      </w:pPr>
      <w:r>
        <w:t>Policy guidance may be needed to compel a uniform delivery and accessibility to information so that decision making is not impeded.</w:t>
      </w:r>
    </w:p>
    <w:p w:rsidR="00431353" w:rsidRDefault="00431353" w:rsidP="00AE19C1">
      <w:pPr>
        <w:pStyle w:val="ListParagraph"/>
        <w:numPr>
          <w:ilvl w:val="0"/>
          <w:numId w:val="4"/>
        </w:numPr>
        <w:spacing w:before="120" w:after="120"/>
        <w:ind w:left="720"/>
        <w:contextualSpacing w:val="0"/>
      </w:pPr>
      <w:r>
        <w:t>Existing policies supporting protection of cyber-assets and addressing data privacy, as well a protection of the sound operation of competitive markets should be reviewed to ensure that the rules are robust enough to support enhanced and increased information sharing.</w:t>
      </w:r>
    </w:p>
    <w:p w:rsidR="00431353" w:rsidRPr="00163A82" w:rsidRDefault="00431353" w:rsidP="00AE19C1">
      <w:pPr>
        <w:pStyle w:val="ListParagraph"/>
        <w:numPr>
          <w:ilvl w:val="0"/>
          <w:numId w:val="4"/>
        </w:numPr>
        <w:spacing w:before="120" w:after="120"/>
        <w:ind w:left="720"/>
        <w:contextualSpacing w:val="0"/>
        <w:rPr>
          <w:b/>
        </w:rPr>
      </w:pPr>
      <w:r>
        <w:t>If an impasse by the parties participating in standards development for the natural gas and electric markets for the availability of more timely information to enhance market operability occurs, it may require policy guidance.</w:t>
      </w:r>
    </w:p>
    <w:p w:rsidR="00431353" w:rsidRDefault="00431353" w:rsidP="00F46F93">
      <w:pPr>
        <w:spacing w:before="120"/>
        <w:outlineLvl w:val="0"/>
      </w:pPr>
    </w:p>
    <w:p w:rsidR="00431353" w:rsidRDefault="00431353" w:rsidP="00F46F93">
      <w:pPr>
        <w:sectPr w:rsidR="00431353">
          <w:headerReference w:type="default" r:id="rId18"/>
          <w:pgSz w:w="12240" w:h="15840"/>
          <w:pgMar w:top="1440" w:right="1440" w:bottom="1440" w:left="1440" w:header="720" w:footer="720" w:gutter="0"/>
          <w:cols w:space="720"/>
        </w:sectPr>
      </w:pPr>
    </w:p>
    <w:p w:rsidR="00431353" w:rsidRDefault="00431353" w:rsidP="00B44FB5">
      <w:pPr>
        <w:keepNext/>
        <w:spacing w:before="360" w:after="240"/>
        <w:jc w:val="center"/>
        <w:rPr>
          <w:b/>
        </w:rPr>
      </w:pPr>
      <w:r w:rsidRPr="007775BA">
        <w:rPr>
          <w:b/>
          <w:u w:val="single"/>
        </w:rPr>
        <w:lastRenderedPageBreak/>
        <w:t>COMMERCIAL PRACTICE CONSIDERATIONS</w:t>
      </w:r>
      <w:r>
        <w:rPr>
          <w:b/>
        </w:rPr>
        <w:t>:</w:t>
      </w:r>
    </w:p>
    <w:p w:rsidR="00431353" w:rsidRDefault="00431353" w:rsidP="000737BF">
      <w:pPr>
        <w:keepNext/>
        <w:spacing w:before="360" w:after="240"/>
        <w:rPr>
          <w:b/>
        </w:rPr>
      </w:pPr>
      <w:r w:rsidRPr="00DD6335">
        <w:rPr>
          <w:b/>
        </w:rPr>
        <w:t xml:space="preserve">CONTEXT WITHIN WHICH THE </w:t>
      </w:r>
      <w:r>
        <w:rPr>
          <w:b/>
        </w:rPr>
        <w:t>COMMERCIAL PRACTICE ISSUES WERE IDENTIFIED BY COMMITTEE MEMBERS:</w:t>
      </w:r>
    </w:p>
    <w:p w:rsidR="00431353" w:rsidRDefault="00431353" w:rsidP="000737BF">
      <w:pPr>
        <w:pStyle w:val="ListParagraph"/>
        <w:numPr>
          <w:ilvl w:val="0"/>
          <w:numId w:val="2"/>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Committee meetings.</w:t>
      </w:r>
    </w:p>
    <w:p w:rsidR="00431353" w:rsidRDefault="00431353" w:rsidP="000737BF">
      <w:pPr>
        <w:pStyle w:val="ListParagraph"/>
        <w:numPr>
          <w:ilvl w:val="0"/>
          <w:numId w:val="2"/>
        </w:numPr>
        <w:spacing w:before="120" w:after="120"/>
        <w:ind w:left="360"/>
        <w:contextualSpacing w:val="0"/>
      </w:pPr>
      <w:r>
        <w:t xml:space="preserve">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  </w:t>
      </w:r>
    </w:p>
    <w:p w:rsidR="00431353" w:rsidRDefault="00431353" w:rsidP="000737BF">
      <w:pPr>
        <w:pStyle w:val="ListParagraph"/>
        <w:numPr>
          <w:ilvl w:val="0"/>
          <w:numId w:val="2"/>
        </w:numPr>
        <w:spacing w:before="120" w:after="120"/>
        <w:ind w:left="360"/>
        <w:contextualSpacing w:val="0"/>
      </w:pPr>
      <w:r>
        <w:t>Regional and pipeline-specific arrangements may not lend themselves to the broader uniformity that is provided when creating standards with regional choices.</w:t>
      </w:r>
    </w:p>
    <w:p w:rsidR="00431353" w:rsidRDefault="00431353" w:rsidP="000737BF">
      <w:pPr>
        <w:pStyle w:val="ListParagraph"/>
        <w:numPr>
          <w:ilvl w:val="0"/>
          <w:numId w:val="2"/>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rsidR="00431353" w:rsidRDefault="00431353" w:rsidP="000737BF">
      <w:pPr>
        <w:pStyle w:val="ListParagraph"/>
        <w:numPr>
          <w:ilvl w:val="0"/>
          <w:numId w:val="2"/>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rsidR="00431353" w:rsidRDefault="00431353" w:rsidP="000737BF">
      <w:pPr>
        <w:pStyle w:val="ListParagraph"/>
        <w:numPr>
          <w:ilvl w:val="0"/>
          <w:numId w:val="2"/>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rsidR="00431353" w:rsidRDefault="00431353" w:rsidP="000737BF">
      <w:pPr>
        <w:pStyle w:val="ListParagraph"/>
        <w:numPr>
          <w:ilvl w:val="0"/>
          <w:numId w:val="2"/>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rsidR="00431353" w:rsidRDefault="00431353" w:rsidP="000737BF">
      <w:pPr>
        <w:pStyle w:val="ListParagraph"/>
        <w:numPr>
          <w:ilvl w:val="0"/>
          <w:numId w:val="2"/>
        </w:numPr>
        <w:spacing w:before="120" w:after="120"/>
        <w:ind w:left="360"/>
        <w:contextualSpacing w:val="0"/>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431353" w:rsidRDefault="00431353" w:rsidP="00F46F93">
      <w:pPr>
        <w:keepNext/>
        <w:spacing w:before="360" w:after="240"/>
        <w:rPr>
          <w:b/>
        </w:rPr>
      </w:pPr>
      <w:r>
        <w:rPr>
          <w:b/>
        </w:rPr>
        <w:t>OBSERVATIONS RAISING COMMERCIAL PRACTICES ISSUES:</w:t>
      </w:r>
    </w:p>
    <w:p w:rsidR="00431353" w:rsidRDefault="00431353" w:rsidP="00F46F93">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rsidR="00431353" w:rsidRDefault="00431353" w:rsidP="000737BF">
      <w:pPr>
        <w:pStyle w:val="ListParagraph"/>
        <w:numPr>
          <w:ilvl w:val="0"/>
          <w:numId w:val="11"/>
        </w:numPr>
        <w:spacing w:before="120" w:after="120"/>
        <w:ind w:left="720"/>
        <w:contextualSpacing w:val="0"/>
      </w:pPr>
      <w:r>
        <w:t>This recommendation incorporates observations noted for:  1.1, 1.11, 2.4, 2.10, 2.14, 2.15, 3.1, 3.2</w:t>
      </w:r>
    </w:p>
    <w:p w:rsidR="00431353" w:rsidRDefault="00431353" w:rsidP="000737BF">
      <w:pPr>
        <w:pStyle w:val="ListParagraph"/>
        <w:numPr>
          <w:ilvl w:val="0"/>
          <w:numId w:val="11"/>
        </w:numPr>
        <w:spacing w:before="120" w:after="120"/>
        <w:ind w:left="720"/>
        <w:contextualSpacing w:val="0"/>
      </w:pPr>
      <w:r>
        <w:lastRenderedPageBreak/>
        <w:t xml:space="preserve">Pipeline no-notice and park and loan services; plans for addressing contingency response and unanticipated variability in demand;  incorporating the use of LNG and storage for flexibility; pipeline services that could 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rsidR="00431353" w:rsidRDefault="00431353" w:rsidP="000737BF">
      <w:pPr>
        <w:pStyle w:val="ListParagraph"/>
        <w:numPr>
          <w:ilvl w:val="0"/>
          <w:numId w:val="11"/>
        </w:numPr>
        <w:spacing w:before="120" w:after="120"/>
        <w:ind w:left="720"/>
        <w:contextualSpacing w:val="0"/>
      </w:pPr>
      <w:r>
        <w:t>Framing issues for commercial practices that introduce flexibility but are not suitable for broader market applications are:</w:t>
      </w:r>
    </w:p>
    <w:p w:rsidR="00431353" w:rsidRDefault="00431353" w:rsidP="000737BF">
      <w:pPr>
        <w:pStyle w:val="ListParagraph"/>
        <w:numPr>
          <w:ilvl w:val="1"/>
          <w:numId w:val="11"/>
        </w:numPr>
        <w:spacing w:before="120" w:after="120"/>
        <w:ind w:left="1080"/>
        <w:contextualSpacing w:val="0"/>
      </w:pPr>
      <w:r>
        <w:t>As services are offered, changes may be required to existing standards.</w:t>
      </w:r>
    </w:p>
    <w:p w:rsidR="00431353" w:rsidRDefault="00431353" w:rsidP="000737BF">
      <w:pPr>
        <w:pStyle w:val="ListParagraph"/>
        <w:keepNext/>
        <w:spacing w:before="120" w:after="12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rsidR="00431353" w:rsidRDefault="00431353" w:rsidP="000737BF">
      <w:pPr>
        <w:pStyle w:val="ListParagraph"/>
        <w:numPr>
          <w:ilvl w:val="0"/>
          <w:numId w:val="11"/>
        </w:numPr>
        <w:spacing w:before="120" w:after="120"/>
        <w:ind w:left="720"/>
        <w:contextualSpacing w:val="0"/>
      </w:pPr>
      <w:r>
        <w:t>This recommendation incorporates observations  noted for:  1.2, 2.1</w:t>
      </w:r>
    </w:p>
    <w:p w:rsidR="00431353" w:rsidRDefault="00431353" w:rsidP="000737BF">
      <w:pPr>
        <w:pStyle w:val="ListParagraph"/>
        <w:numPr>
          <w:ilvl w:val="0"/>
          <w:numId w:val="11"/>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rsidR="00431353" w:rsidRDefault="00431353" w:rsidP="000737BF">
      <w:pPr>
        <w:pStyle w:val="ListParagraph"/>
        <w:keepNext/>
        <w:spacing w:before="120" w:after="12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rsidR="00431353" w:rsidRDefault="00431353" w:rsidP="000737BF">
      <w:pPr>
        <w:pStyle w:val="ListParagraph"/>
        <w:numPr>
          <w:ilvl w:val="0"/>
          <w:numId w:val="11"/>
        </w:numPr>
        <w:spacing w:before="120" w:after="120"/>
        <w:ind w:left="720"/>
        <w:contextualSpacing w:val="0"/>
      </w:pPr>
      <w:r>
        <w:t>This recommendation incorporates observations  noted for:  2.13, 2.17</w:t>
      </w:r>
    </w:p>
    <w:p w:rsidR="00431353" w:rsidRDefault="00431353" w:rsidP="000737BF">
      <w:pPr>
        <w:pStyle w:val="ListParagraph"/>
        <w:numPr>
          <w:ilvl w:val="0"/>
          <w:numId w:val="11"/>
        </w:numPr>
        <w:spacing w:before="120" w:after="120"/>
        <w:ind w:left="720"/>
        <w:contextualSpacing w:val="0"/>
      </w:pPr>
      <w:r>
        <w:t xml:space="preserve">The commercial practices and reliability requirements are designed to address stress that can be introduced when generation units are retired or taken offline.  Standards development is generally not appropriate, other than possibly to provide information for decision making and structured communication, and to provide granularity in electricity capacity products sub-product characteristics..  </w:t>
      </w:r>
    </w:p>
    <w:p w:rsidR="00431353" w:rsidRDefault="00431353" w:rsidP="000737BF">
      <w:pPr>
        <w:pStyle w:val="ListParagraph"/>
        <w:spacing w:before="120" w:after="120"/>
        <w:ind w:left="360" w:hanging="360"/>
        <w:contextualSpacing w:val="0"/>
      </w:pPr>
      <w:r>
        <w:t>4.</w:t>
      </w:r>
      <w:r>
        <w:tab/>
        <w:t>Services can be and have been provided to avoid potential gas-fired power generation curtailments resulting from the complexities introduced when the timely nomination cycle is at odds with generation timing, when the economics of decision making may to lead the selection of interruptible service (which by definition may be interrupted) and when nominations cross multiple pipelines.</w:t>
      </w:r>
    </w:p>
    <w:p w:rsidR="00431353" w:rsidRDefault="00431353" w:rsidP="000737BF">
      <w:pPr>
        <w:pStyle w:val="ListParagraph"/>
        <w:numPr>
          <w:ilvl w:val="0"/>
          <w:numId w:val="11"/>
        </w:numPr>
        <w:spacing w:before="120" w:after="120"/>
        <w:ind w:left="720"/>
        <w:contextualSpacing w:val="0"/>
      </w:pPr>
      <w:r>
        <w:t>This recommendation incorporates observations  noted for:  1.3, 1.4, 2.2, 2.3, 2.6, 2.8, 2.9, 2.16, 2.18</w:t>
      </w:r>
    </w:p>
    <w:p w:rsidR="00431353" w:rsidRDefault="00431353" w:rsidP="000737BF">
      <w:pPr>
        <w:pStyle w:val="ListParagraph"/>
        <w:numPr>
          <w:ilvl w:val="0"/>
          <w:numId w:val="11"/>
        </w:numPr>
        <w:spacing w:before="120" w:after="120"/>
        <w:ind w:left="720"/>
        <w:contextualSpacing w:val="0"/>
      </w:pPr>
      <w:r>
        <w:t>Under state curtailment plans, there is a risk that generators may have an obligation to generate without the ability to receive the necessary natural gas supply.  This cycle may be addressed in individually tailored services.  Similarly, the complexities presented in (a) nominations across multiple pipeline and control areas; (b) economic decisions considering the cost differential for services and the consequent potential impacts on reliability; and (c) the use of storage or LNG to support gas-fired power generation, may all be addressed in specifically tailored services or agreements supporting the regional or commercial practices of the pipelines and generators.</w:t>
      </w:r>
    </w:p>
    <w:p w:rsidR="00431353" w:rsidRDefault="00431353" w:rsidP="000737BF">
      <w:pPr>
        <w:pStyle w:val="ListParagraph"/>
        <w:numPr>
          <w:ilvl w:val="0"/>
          <w:numId w:val="11"/>
        </w:numPr>
        <w:spacing w:before="120" w:after="120"/>
        <w:ind w:left="720"/>
        <w:contextualSpacing w:val="0"/>
      </w:pPr>
      <w:r>
        <w:t>As a clarification, “curtailment” in natural gas transportation perspective occurs when it becomes necessary to cut firm transportation service, not interruptible service.  When interruptible service is cut, it is considered interrupted – not curtailed.</w:t>
      </w:r>
    </w:p>
    <w:p w:rsidR="00431353" w:rsidRDefault="00431353" w:rsidP="000737BF">
      <w:pPr>
        <w:pStyle w:val="ListParagraph"/>
        <w:numPr>
          <w:ilvl w:val="0"/>
          <w:numId w:val="11"/>
        </w:numPr>
        <w:spacing w:before="120" w:after="120"/>
        <w:ind w:left="720"/>
        <w:contextualSpacing w:val="0"/>
      </w:pPr>
      <w:r>
        <w:t>Fundamental reasons why standards development in this area should not be undertaken:</w:t>
      </w:r>
    </w:p>
    <w:p w:rsidR="00431353" w:rsidRPr="00B2528C" w:rsidRDefault="00431353" w:rsidP="00F46F93">
      <w:pPr>
        <w:pStyle w:val="ListParagraph"/>
        <w:numPr>
          <w:ilvl w:val="1"/>
          <w:numId w:val="11"/>
        </w:numPr>
        <w:spacing w:before="120" w:after="120"/>
        <w:ind w:left="1080"/>
        <w:contextualSpacing w:val="0"/>
        <w:rPr>
          <w:b/>
        </w:rPr>
      </w:pPr>
      <w:r>
        <w:t>It is not appropriate to develop standards that would mandate contracting for firm transportation.</w:t>
      </w:r>
    </w:p>
    <w:p w:rsidR="00431353" w:rsidRDefault="00431353" w:rsidP="00F46F93">
      <w:pPr>
        <w:rPr>
          <w:b/>
        </w:rPr>
        <w:sectPr w:rsidR="00431353">
          <w:headerReference w:type="default" r:id="rId19"/>
          <w:pgSz w:w="12240" w:h="15840"/>
          <w:pgMar w:top="1440" w:right="1440" w:bottom="1440" w:left="1440" w:header="720" w:footer="720" w:gutter="0"/>
          <w:cols w:space="720"/>
        </w:sectPr>
      </w:pPr>
    </w:p>
    <w:p w:rsidR="00431353" w:rsidRDefault="00431353" w:rsidP="005450D7">
      <w:pPr>
        <w:spacing w:before="120"/>
        <w:outlineLvl w:val="0"/>
      </w:pPr>
      <w:r>
        <w:lastRenderedPageBreak/>
        <w:t>For the survey</w:t>
      </w:r>
      <w:r>
        <w:rPr>
          <w:rStyle w:val="FootnoteReference"/>
        </w:rPr>
        <w:footnoteReference w:id="4"/>
      </w:r>
      <w:r>
        <w:t>, e</w:t>
      </w:r>
      <w:r w:rsidRPr="00E8491E">
        <w:t>ach of the observations</w:t>
      </w:r>
      <w:r>
        <w:rPr>
          <w:rStyle w:val="FootnoteReference"/>
        </w:rPr>
        <w:footnoteReference w:id="5"/>
      </w:r>
      <w:r w:rsidRPr="00E8491E">
        <w:t xml:space="preserve"> were considered by Committee members and identified </w:t>
      </w:r>
      <w:r>
        <w:t>related to</w:t>
      </w:r>
      <w:r w:rsidRPr="00E8491E">
        <w:t xml:space="preserve"> possible standards development, </w:t>
      </w:r>
      <w:r>
        <w:t xml:space="preserve">related to </w:t>
      </w:r>
      <w:r w:rsidRPr="00E8491E">
        <w:t xml:space="preserve">policy issues or </w:t>
      </w:r>
      <w:r>
        <w:t xml:space="preserve">related to </w:t>
      </w:r>
      <w:r w:rsidRPr="00E8491E">
        <w:t xml:space="preserve">commercial practices issues.  </w:t>
      </w:r>
      <w:r>
        <w:t>The Committee members could choose to place an observation in one or more of the three categories or they could identify the observation as more of a comment.  The results of the survey were tabulated</w:t>
      </w:r>
      <w:r>
        <w:rPr>
          <w:rStyle w:val="FootnoteReference"/>
        </w:rPr>
        <w:footnoteReference w:id="6"/>
      </w:r>
      <w:r>
        <w:t xml:space="preserve">, and for those observations having the highest or second highest number of votes in the category of issues related to possible standards development, they were used as the basis to form the recommendations for standards development.  Similarly, for those observations having the highest or second highest number of votes in the category of issues related to  policy or to commercial practices, those observations were used as the basis for the consolidations into the issues identified for policy or commercial practices considerations. </w:t>
      </w:r>
    </w:p>
    <w:p w:rsidR="00431353" w:rsidRDefault="00431353" w:rsidP="005450D7">
      <w:pPr>
        <w:spacing w:before="120"/>
        <w:outlineLvl w:val="0"/>
      </w:pPr>
      <w:r>
        <w:t xml:space="preserve">Following are the three tables that have been sorted so that you can more easily identify the observations listed as either a primary or secondary core issue for possible standards development, or policy considerations or commercial practices considerations.  The tabulated voting is shown so that you can review the observation and how the Committee members considered each observation.  In some cases, the vote result is quite close showing a considerable crossover of issues.  In other cases, the survey results indicate that the Committee as a group determined that the observation fit more specifically into one of the three issues.  </w:t>
      </w:r>
    </w:p>
    <w:p w:rsidR="00431353" w:rsidRPr="00E8491E" w:rsidRDefault="00431353" w:rsidP="005450D7">
      <w:pPr>
        <w:spacing w:before="120"/>
        <w:outlineLvl w:val="0"/>
      </w:pPr>
      <w:r>
        <w:t>The survey results in aggregate</w:t>
      </w:r>
      <w:r>
        <w:rPr>
          <w:vertAlign w:val="superscript"/>
        </w:rPr>
        <w:t>6</w:t>
      </w:r>
      <w:r>
        <w:t xml:space="preserve"> show the listing of the observations in numeric order delineated by the topics of scheduling, capacity, curtailment or information sharing. </w:t>
      </w:r>
    </w:p>
    <w:p w:rsidR="00431353" w:rsidRDefault="00431353">
      <w:r>
        <w:br w:type="page"/>
      </w:r>
    </w:p>
    <w:p w:rsidR="00431353" w:rsidRDefault="00431353" w:rsidP="005450D7">
      <w:pPr>
        <w:spacing w:before="120"/>
        <w:outlineLvl w:val="0"/>
        <w:rPr>
          <w:b/>
        </w:rPr>
      </w:pPr>
      <w:r>
        <w:rPr>
          <w:b/>
        </w:rPr>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rsidR="00431353" w:rsidRDefault="00431353" w:rsidP="005450D7">
      <w:pPr>
        <w:pStyle w:val="ListParagraph"/>
        <w:numPr>
          <w:ilvl w:val="0"/>
          <w:numId w:val="3"/>
        </w:numPr>
        <w:spacing w:before="120"/>
        <w:outlineLvl w:val="0"/>
      </w:pPr>
      <w:r>
        <w:t>Relationship to other existing standards</w:t>
      </w:r>
    </w:p>
    <w:p w:rsidR="00431353" w:rsidRDefault="00431353" w:rsidP="005450D7">
      <w:pPr>
        <w:pStyle w:val="ListParagraph"/>
        <w:numPr>
          <w:ilvl w:val="0"/>
          <w:numId w:val="1"/>
        </w:numPr>
        <w:spacing w:before="120"/>
        <w:outlineLvl w:val="0"/>
      </w:pPr>
      <w:r>
        <w:t xml:space="preserve">Observations that lead to a determination that there are no fundamental reasons why standards development could not go forward </w:t>
      </w:r>
    </w:p>
    <w:p w:rsidR="00431353" w:rsidRDefault="00431353" w:rsidP="005450D7">
      <w:pPr>
        <w:pStyle w:val="ListParagraph"/>
        <w:numPr>
          <w:ilvl w:val="0"/>
          <w:numId w:val="1"/>
        </w:numPr>
        <w:spacing w:before="120"/>
        <w:outlineLvl w:val="0"/>
      </w:pPr>
      <w:r>
        <w:t>If there is fundamental disagreements for standards development, they are to be highlighted for consideration</w:t>
      </w:r>
    </w:p>
    <w:p w:rsidR="00431353" w:rsidRDefault="00431353" w:rsidP="005450D7">
      <w:pPr>
        <w:rPr>
          <w:b/>
        </w:rPr>
      </w:pPr>
    </w:p>
    <w:tbl>
      <w:tblPr>
        <w:tblW w:w="13065" w:type="dxa"/>
        <w:tblInd w:w="93" w:type="dxa"/>
        <w:tblLook w:val="00A0" w:firstRow="1" w:lastRow="0" w:firstColumn="1" w:lastColumn="0" w:noHBand="0" w:noVBand="0"/>
      </w:tblPr>
      <w:tblGrid>
        <w:gridCol w:w="417"/>
        <w:gridCol w:w="519"/>
        <w:gridCol w:w="6639"/>
        <w:gridCol w:w="810"/>
        <w:gridCol w:w="1299"/>
        <w:gridCol w:w="1095"/>
        <w:gridCol w:w="1116"/>
        <w:gridCol w:w="1170"/>
      </w:tblGrid>
      <w:tr w:rsidR="00431353" w:rsidTr="003A1419">
        <w:trPr>
          <w:trHeight w:val="750"/>
          <w:tblHeader/>
        </w:trPr>
        <w:tc>
          <w:tcPr>
            <w:tcW w:w="417" w:type="dxa"/>
            <w:tcBorders>
              <w:top w:val="single" w:sz="4" w:space="0" w:color="auto"/>
              <w:left w:val="nil"/>
              <w:bottom w:val="single" w:sz="4" w:space="0" w:color="auto"/>
              <w:right w:val="nil"/>
            </w:tcBorders>
            <w:shd w:val="clear" w:color="000000" w:fill="DDD9C3"/>
            <w:vAlign w:val="bottom"/>
          </w:tcPr>
          <w:p w:rsidR="00431353" w:rsidRDefault="00431353" w:rsidP="003A1419">
            <w:pPr>
              <w:spacing w:before="120" w:after="120"/>
              <w:jc w:val="center"/>
              <w:rPr>
                <w:color w:val="000000"/>
              </w:rPr>
            </w:pPr>
            <w:r>
              <w:rPr>
                <w:color w:val="000000"/>
              </w:rPr>
              <w:t xml:space="preserve"> </w:t>
            </w:r>
          </w:p>
        </w:tc>
        <w:tc>
          <w:tcPr>
            <w:tcW w:w="519" w:type="dxa"/>
            <w:tcBorders>
              <w:top w:val="single" w:sz="4" w:space="0" w:color="auto"/>
              <w:left w:val="nil"/>
              <w:bottom w:val="single" w:sz="4" w:space="0" w:color="auto"/>
              <w:right w:val="nil"/>
            </w:tcBorders>
            <w:shd w:val="clear" w:color="000000" w:fill="DDD9C3"/>
            <w:vAlign w:val="bottom"/>
          </w:tcPr>
          <w:p w:rsidR="00431353" w:rsidRDefault="00431353" w:rsidP="003A1419">
            <w:pPr>
              <w:spacing w:before="120" w:after="120"/>
              <w:jc w:val="center"/>
              <w:rPr>
                <w:color w:val="000000"/>
              </w:rPr>
            </w:pPr>
            <w:r>
              <w:rPr>
                <w:color w:val="000000"/>
              </w:rPr>
              <w:t xml:space="preserve"> </w:t>
            </w:r>
          </w:p>
        </w:tc>
        <w:tc>
          <w:tcPr>
            <w:tcW w:w="6639" w:type="dxa"/>
            <w:tcBorders>
              <w:top w:val="single" w:sz="4" w:space="0" w:color="auto"/>
              <w:left w:val="nil"/>
              <w:bottom w:val="single" w:sz="4" w:space="0" w:color="auto"/>
              <w:right w:val="nil"/>
            </w:tcBorders>
            <w:shd w:val="clear" w:color="000000" w:fill="DDD9C3"/>
          </w:tcPr>
          <w:p w:rsidR="00431353" w:rsidRDefault="00431353" w:rsidP="003A1419">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tcPr>
          <w:p w:rsidR="00431353" w:rsidRDefault="00431353" w:rsidP="003A1419">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tcPr>
          <w:p w:rsidR="00431353" w:rsidRDefault="00431353" w:rsidP="003A1419">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tcPr>
          <w:p w:rsidR="00431353" w:rsidRDefault="00431353" w:rsidP="003A1419">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tcPr>
          <w:p w:rsidR="00431353" w:rsidRDefault="00431353" w:rsidP="003A1419">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tcPr>
          <w:p w:rsidR="00431353" w:rsidRDefault="00431353" w:rsidP="003A1419">
            <w:pPr>
              <w:spacing w:before="120" w:after="120"/>
              <w:jc w:val="center"/>
              <w:rPr>
                <w:color w:val="000000"/>
              </w:rPr>
            </w:pPr>
            <w:r>
              <w:rPr>
                <w:color w:val="000000"/>
              </w:rPr>
              <w:t>Comment</w:t>
            </w:r>
          </w:p>
        </w:tc>
      </w:tr>
      <w:tr w:rsidR="00431353" w:rsidTr="00352BB5">
        <w:trPr>
          <w:trHeight w:val="1205"/>
        </w:trPr>
        <w:tc>
          <w:tcPr>
            <w:tcW w:w="13065"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spacing w:before="120" w:after="120"/>
              <w:rPr>
                <w:color w:val="000000"/>
              </w:rPr>
            </w:pPr>
            <w:r>
              <w:rPr>
                <w:color w:val="000000"/>
              </w:rPr>
              <w:t>1.  OBSERVATIONS AND CORE ISSUES:</w:t>
            </w:r>
            <w:r>
              <w:rPr>
                <w:color w:val="000000"/>
              </w:rPr>
              <w:br/>
              <w:t>• Scheduling and other inconsistencies in the interactions of the two markets impact the effectiveness of providing gas and electric service.</w:t>
            </w:r>
            <w:r>
              <w:rPr>
                <w:color w:val="000000"/>
              </w:rPr>
              <w:br/>
              <w:t xml:space="preserve">• Core issue: Should NAESB examine: the gas &amp; electric scheduling timelines to create more certainty and flexibility in scheduling, recognizing that providing flexibility in one area may take away flexibility in another?  </w:t>
            </w:r>
          </w:p>
        </w:tc>
      </w:tr>
      <w:tr w:rsidR="00431353" w:rsidTr="003A1419">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5</w:t>
            </w:r>
          </w:p>
        </w:tc>
      </w:tr>
      <w:tr w:rsidR="00431353" w:rsidTr="003A1419">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tcPr>
          <w:p w:rsidR="00431353" w:rsidRDefault="00431353" w:rsidP="003A1419">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3</w:t>
            </w:r>
          </w:p>
        </w:tc>
      </w:tr>
      <w:tr w:rsidR="00431353" w:rsidTr="003A1419">
        <w:trPr>
          <w:trHeight w:val="204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tcPr>
          <w:p w:rsidR="00431353" w:rsidRDefault="00431353" w:rsidP="003A1419">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12</w:t>
            </w:r>
          </w:p>
        </w:tc>
      </w:tr>
      <w:tr w:rsidR="00431353" w:rsidTr="003A1419">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11</w:t>
            </w:r>
          </w:p>
        </w:tc>
      </w:tr>
      <w:tr w:rsidR="00431353" w:rsidTr="003A1419">
        <w:trPr>
          <w:trHeight w:val="1052"/>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2</w:t>
            </w:r>
          </w:p>
        </w:tc>
      </w:tr>
      <w:tr w:rsidR="00431353" w:rsidTr="003A1419">
        <w:trPr>
          <w:trHeight w:val="204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5</w:t>
            </w:r>
          </w:p>
        </w:tc>
      </w:tr>
      <w:tr w:rsidR="00431353" w:rsidTr="003A1419">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10</w:t>
            </w:r>
          </w:p>
        </w:tc>
      </w:tr>
      <w:tr w:rsidR="00431353" w:rsidTr="00352BB5">
        <w:trPr>
          <w:trHeight w:val="269"/>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w:t>
            </w:r>
            <w:r>
              <w:rPr>
                <w:color w:val="000000"/>
              </w:rPr>
              <w:lastRenderedPageBreak/>
              <w:t>bumping is to be enacted to provide firm service for hourly nominations.  A 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lastRenderedPageBreak/>
              <w:t>13</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9</w:t>
            </w:r>
          </w:p>
        </w:tc>
      </w:tr>
      <w:tr w:rsidR="00431353" w:rsidTr="003A1419">
        <w:trPr>
          <w:trHeight w:val="1785"/>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5</w:t>
            </w:r>
          </w:p>
        </w:tc>
      </w:tr>
      <w:tr w:rsidR="00431353" w:rsidTr="003A1419">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12</w:t>
            </w:r>
          </w:p>
        </w:tc>
      </w:tr>
      <w:tr w:rsidR="00431353" w:rsidTr="003A1419">
        <w:trPr>
          <w:trHeight w:val="765"/>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11</w:t>
            </w:r>
          </w:p>
        </w:tc>
      </w:tr>
      <w:tr w:rsidR="00431353" w:rsidTr="003A1419">
        <w:trPr>
          <w:trHeight w:val="300"/>
        </w:trPr>
        <w:tc>
          <w:tcPr>
            <w:tcW w:w="417" w:type="dxa"/>
            <w:tcBorders>
              <w:top w:val="nil"/>
              <w:left w:val="single" w:sz="4" w:space="0" w:color="auto"/>
              <w:bottom w:val="nil"/>
              <w:right w:val="single" w:sz="4" w:space="0" w:color="auto"/>
            </w:tcBorders>
            <w:shd w:val="clear" w:color="000000" w:fill="D8D8D8"/>
            <w:noWrap/>
          </w:tcPr>
          <w:p w:rsidR="00431353" w:rsidRDefault="00431353" w:rsidP="003A1419">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tcPr>
          <w:p w:rsidR="00431353" w:rsidRDefault="00431353" w:rsidP="003A1419">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tcPr>
          <w:p w:rsidR="00431353" w:rsidRDefault="00431353" w:rsidP="003A1419">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tcPr>
          <w:p w:rsidR="00431353" w:rsidRDefault="00431353" w:rsidP="003A1419">
            <w:pPr>
              <w:spacing w:before="120" w:after="120"/>
              <w:jc w:val="right"/>
              <w:rPr>
                <w:color w:val="000000"/>
              </w:rPr>
            </w:pPr>
            <w:r>
              <w:rPr>
                <w:color w:val="000000"/>
              </w:rPr>
              <w:t xml:space="preserve"> </w:t>
            </w:r>
          </w:p>
        </w:tc>
        <w:tc>
          <w:tcPr>
            <w:tcW w:w="1299" w:type="dxa"/>
            <w:tcBorders>
              <w:top w:val="nil"/>
              <w:left w:val="nil"/>
              <w:bottom w:val="nil"/>
              <w:right w:val="single" w:sz="24" w:space="0" w:color="auto"/>
            </w:tcBorders>
            <w:shd w:val="clear" w:color="000000" w:fill="D8D8D8"/>
            <w:noWrap/>
          </w:tcPr>
          <w:p w:rsidR="00431353" w:rsidRDefault="00431353" w:rsidP="003A1419">
            <w:pPr>
              <w:spacing w:before="120" w:after="120"/>
              <w:jc w:val="right"/>
              <w:rPr>
                <w:color w:val="000000"/>
              </w:rPr>
            </w:pPr>
            <w:r>
              <w:rPr>
                <w:color w:val="000000"/>
              </w:rPr>
              <w:t xml:space="preserve"> </w:t>
            </w:r>
          </w:p>
        </w:tc>
        <w:tc>
          <w:tcPr>
            <w:tcW w:w="1095" w:type="dxa"/>
            <w:tcBorders>
              <w:top w:val="nil"/>
              <w:left w:val="single" w:sz="24" w:space="0" w:color="auto"/>
              <w:bottom w:val="nil"/>
              <w:right w:val="single" w:sz="4" w:space="0" w:color="auto"/>
            </w:tcBorders>
            <w:shd w:val="clear" w:color="000000" w:fill="D8D8D8"/>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nil"/>
              <w:bottom w:val="nil"/>
              <w:right w:val="single" w:sz="24" w:space="0" w:color="auto"/>
            </w:tcBorders>
            <w:shd w:val="clear" w:color="000000" w:fill="D8D8D8"/>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nil"/>
              <w:right w:val="single" w:sz="4" w:space="0" w:color="auto"/>
            </w:tcBorders>
            <w:shd w:val="clear" w:color="000000" w:fill="D8D8D8"/>
            <w:noWrap/>
          </w:tcPr>
          <w:p w:rsidR="00431353" w:rsidRDefault="00431353" w:rsidP="003A1419">
            <w:pPr>
              <w:spacing w:before="120" w:after="120"/>
              <w:jc w:val="right"/>
              <w:rPr>
                <w:color w:val="000000"/>
              </w:rPr>
            </w:pPr>
            <w:r>
              <w:rPr>
                <w:color w:val="000000"/>
              </w:rPr>
              <w:t xml:space="preserve"> </w:t>
            </w:r>
          </w:p>
        </w:tc>
      </w:tr>
      <w:tr w:rsidR="00431353" w:rsidTr="00352BB5">
        <w:trPr>
          <w:trHeight w:val="1799"/>
        </w:trPr>
        <w:tc>
          <w:tcPr>
            <w:tcW w:w="13065"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keepNext/>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xml:space="preserve">• the structure of communications to make for a better utilization of existing infrastructure and capacity. </w:t>
            </w:r>
          </w:p>
        </w:tc>
      </w:tr>
      <w:tr w:rsidR="00431353" w:rsidTr="003A1419">
        <w:trPr>
          <w:trHeight w:val="2295"/>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0</w:t>
            </w:r>
          </w:p>
        </w:tc>
      </w:tr>
      <w:tr w:rsidR="00431353" w:rsidTr="00352BB5">
        <w:trPr>
          <w:trHeight w:val="1295"/>
        </w:trPr>
        <w:tc>
          <w:tcPr>
            <w:tcW w:w="13065"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keepNext/>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 xml:space="preserve">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431353" w:rsidTr="003A1419">
        <w:trPr>
          <w:trHeight w:val="4202"/>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4</w:t>
            </w:r>
          </w:p>
        </w:tc>
      </w:tr>
      <w:tr w:rsidR="00431353" w:rsidTr="003A1419">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5</w:t>
            </w:r>
          </w:p>
        </w:tc>
      </w:tr>
      <w:tr w:rsidR="00431353" w:rsidTr="003A1419">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8</w:t>
            </w:r>
          </w:p>
        </w:tc>
      </w:tr>
      <w:tr w:rsidR="00431353" w:rsidTr="003A1419">
        <w:trPr>
          <w:trHeight w:val="1095"/>
        </w:trPr>
        <w:tc>
          <w:tcPr>
            <w:tcW w:w="13065"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431353" w:rsidTr="003A1419">
        <w:trPr>
          <w:trHeight w:val="1275"/>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7</w:t>
            </w:r>
          </w:p>
        </w:tc>
      </w:tr>
      <w:tr w:rsidR="00431353" w:rsidTr="003A1419">
        <w:trPr>
          <w:trHeight w:val="51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9</w:t>
            </w:r>
          </w:p>
        </w:tc>
      </w:tr>
      <w:tr w:rsidR="00431353" w:rsidTr="003A1419">
        <w:trPr>
          <w:trHeight w:val="765"/>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1</w:t>
            </w:r>
          </w:p>
        </w:tc>
        <w:tc>
          <w:tcPr>
            <w:tcW w:w="1095" w:type="dxa"/>
            <w:tcBorders>
              <w:top w:val="nil"/>
              <w:left w:val="single" w:sz="24" w:space="0" w:color="auto"/>
              <w:bottom w:val="nil"/>
              <w:right w:val="nil"/>
            </w:tcBorders>
            <w:noWrap/>
          </w:tcPr>
          <w:p w:rsidR="00431353" w:rsidRDefault="00431353" w:rsidP="003A1419">
            <w:pPr>
              <w:spacing w:before="120" w:after="120"/>
              <w:jc w:val="right"/>
              <w:rPr>
                <w:color w:val="000000"/>
              </w:rPr>
            </w:pPr>
            <w:r>
              <w:rPr>
                <w:color w:val="000000"/>
              </w:rPr>
              <w:t xml:space="preserve"> </w:t>
            </w:r>
          </w:p>
        </w:tc>
        <w:tc>
          <w:tcPr>
            <w:tcW w:w="1116" w:type="dxa"/>
            <w:tcBorders>
              <w:top w:val="nil"/>
              <w:left w:val="single" w:sz="4" w:space="0" w:color="auto"/>
              <w:bottom w:val="single" w:sz="4" w:space="0" w:color="auto"/>
              <w:right w:val="single" w:sz="24" w:space="0" w:color="auto"/>
            </w:tcBorders>
            <w:shd w:val="clear" w:color="000000" w:fill="FFFF00"/>
            <w:noWrap/>
          </w:tcPr>
          <w:p w:rsidR="00431353" w:rsidRDefault="00431353" w:rsidP="003A1419">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19</w:t>
            </w:r>
          </w:p>
        </w:tc>
      </w:tr>
      <w:tr w:rsidR="00431353" w:rsidTr="003A1419">
        <w:trPr>
          <w:trHeight w:val="818"/>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7</w:t>
            </w:r>
          </w:p>
        </w:tc>
      </w:tr>
      <w:tr w:rsidR="00431353" w:rsidTr="003A1419">
        <w:trPr>
          <w:trHeight w:val="153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3</w:t>
            </w:r>
          </w:p>
        </w:tc>
      </w:tr>
      <w:tr w:rsidR="00431353" w:rsidTr="003A1419">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15</w:t>
            </w:r>
          </w:p>
        </w:tc>
      </w:tr>
      <w:tr w:rsidR="00431353" w:rsidTr="003A1419">
        <w:trPr>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3</w:t>
            </w:r>
          </w:p>
        </w:tc>
      </w:tr>
      <w:tr w:rsidR="00431353" w:rsidTr="003A1419">
        <w:trPr>
          <w:trHeight w:val="323"/>
        </w:trPr>
        <w:tc>
          <w:tcPr>
            <w:tcW w:w="417"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rsidR="00431353" w:rsidRDefault="00431353" w:rsidP="003A1419">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noWrap/>
          </w:tcPr>
          <w:p w:rsidR="00431353" w:rsidRDefault="00431353" w:rsidP="003A1419">
            <w:pPr>
              <w:spacing w:before="120" w:after="120"/>
              <w:jc w:val="right"/>
              <w:rPr>
                <w:color w:val="000000"/>
              </w:rPr>
            </w:pPr>
            <w:r>
              <w:rPr>
                <w:color w:val="000000"/>
              </w:rPr>
              <w:t xml:space="preserve"> </w:t>
            </w:r>
          </w:p>
        </w:tc>
        <w:tc>
          <w:tcPr>
            <w:tcW w:w="1170" w:type="dxa"/>
            <w:tcBorders>
              <w:top w:val="nil"/>
              <w:left w:val="single" w:sz="24" w:space="0" w:color="auto"/>
              <w:bottom w:val="single" w:sz="4" w:space="0" w:color="auto"/>
              <w:right w:val="single" w:sz="4" w:space="0" w:color="auto"/>
            </w:tcBorders>
            <w:noWrap/>
          </w:tcPr>
          <w:p w:rsidR="00431353" w:rsidRDefault="00431353" w:rsidP="003A1419">
            <w:pPr>
              <w:spacing w:before="120" w:after="120"/>
              <w:jc w:val="right"/>
              <w:rPr>
                <w:color w:val="000000"/>
              </w:rPr>
            </w:pPr>
            <w:r>
              <w:rPr>
                <w:color w:val="000000"/>
              </w:rPr>
              <w:t>8</w:t>
            </w:r>
          </w:p>
        </w:tc>
      </w:tr>
    </w:tbl>
    <w:p w:rsidR="00431353" w:rsidRDefault="00431353" w:rsidP="00F46F93">
      <w:pPr>
        <w:spacing w:before="120"/>
        <w:outlineLvl w:val="0"/>
        <w:rPr>
          <w:b/>
        </w:rPr>
      </w:pPr>
    </w:p>
    <w:p w:rsidR="00431353" w:rsidRDefault="00431353">
      <w:pPr>
        <w:rPr>
          <w:b/>
        </w:rPr>
      </w:pPr>
      <w:r>
        <w:rPr>
          <w:b/>
        </w:rPr>
        <w:br w:type="page"/>
      </w:r>
    </w:p>
    <w:p w:rsidR="00431353" w:rsidRDefault="00431353" w:rsidP="005450D7">
      <w:pPr>
        <w:spacing w:before="120"/>
        <w:outlineLvl w:val="0"/>
        <w:rPr>
          <w:b/>
        </w:rPr>
      </w:pPr>
      <w:r>
        <w:rPr>
          <w:b/>
        </w:rPr>
        <w:t xml:space="preserve">Below please find the list of observations where if noted in green indicate that they are primary, and in yellow indicate that they are secondary for policy related issues.  These observations have been consolidated, and reviewed in regard to </w:t>
      </w:r>
    </w:p>
    <w:p w:rsidR="00431353" w:rsidRDefault="00431353" w:rsidP="005450D7">
      <w:pPr>
        <w:pStyle w:val="ListParagraph"/>
        <w:numPr>
          <w:ilvl w:val="0"/>
          <w:numId w:val="3"/>
        </w:numPr>
        <w:spacing w:before="120"/>
        <w:outlineLvl w:val="0"/>
      </w:pPr>
      <w:r>
        <w:t>Relationship to other existing standards</w:t>
      </w:r>
    </w:p>
    <w:p w:rsidR="00431353" w:rsidRDefault="00431353" w:rsidP="005450D7">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rsidR="00431353" w:rsidRDefault="00431353" w:rsidP="005450D7">
      <w:pPr>
        <w:pStyle w:val="ListParagraph"/>
        <w:numPr>
          <w:ilvl w:val="0"/>
          <w:numId w:val="1"/>
        </w:numPr>
        <w:spacing w:before="120"/>
        <w:outlineLvl w:val="0"/>
      </w:pPr>
      <w:r>
        <w:t>Fundamental disagreements by market participants that, to be addressed, would require policy decisions or guidance</w:t>
      </w:r>
    </w:p>
    <w:p w:rsidR="00431353" w:rsidRDefault="00431353" w:rsidP="005450D7">
      <w:pPr>
        <w:rPr>
          <w:b/>
        </w:rPr>
      </w:pPr>
    </w:p>
    <w:tbl>
      <w:tblPr>
        <w:tblW w:w="13248" w:type="dxa"/>
        <w:jc w:val="right"/>
        <w:tblInd w:w="-319" w:type="dxa"/>
        <w:tblLook w:val="00A0" w:firstRow="1" w:lastRow="0" w:firstColumn="1" w:lastColumn="0" w:noHBand="0" w:noVBand="0"/>
      </w:tblPr>
      <w:tblGrid>
        <w:gridCol w:w="390"/>
        <w:gridCol w:w="510"/>
        <w:gridCol w:w="6982"/>
        <w:gridCol w:w="1028"/>
        <w:gridCol w:w="1123"/>
        <w:gridCol w:w="1205"/>
        <w:gridCol w:w="1005"/>
        <w:gridCol w:w="1005"/>
      </w:tblGrid>
      <w:tr w:rsidR="00431353" w:rsidTr="003A1419">
        <w:trPr>
          <w:trHeight w:val="765"/>
          <w:tblHeader/>
          <w:jc w:val="right"/>
        </w:trPr>
        <w:tc>
          <w:tcPr>
            <w:tcW w:w="390" w:type="dxa"/>
            <w:tcBorders>
              <w:top w:val="nil"/>
              <w:left w:val="nil"/>
              <w:bottom w:val="single" w:sz="8" w:space="0" w:color="auto"/>
              <w:right w:val="nil"/>
            </w:tcBorders>
            <w:shd w:val="clear" w:color="000000" w:fill="DDD9C3"/>
          </w:tcPr>
          <w:p w:rsidR="00431353" w:rsidRDefault="00431353" w:rsidP="003A1419">
            <w:pPr>
              <w:spacing w:before="120" w:after="120"/>
              <w:rPr>
                <w:color w:val="000000"/>
              </w:rPr>
            </w:pPr>
            <w:r>
              <w:rPr>
                <w:color w:val="000000"/>
              </w:rPr>
              <w:t xml:space="preserve"> </w:t>
            </w:r>
          </w:p>
        </w:tc>
        <w:tc>
          <w:tcPr>
            <w:tcW w:w="510" w:type="dxa"/>
            <w:tcBorders>
              <w:top w:val="nil"/>
              <w:left w:val="nil"/>
              <w:bottom w:val="single" w:sz="8" w:space="0" w:color="auto"/>
              <w:right w:val="nil"/>
            </w:tcBorders>
            <w:shd w:val="clear" w:color="000000" w:fill="DDD9C3"/>
          </w:tcPr>
          <w:p w:rsidR="00431353" w:rsidRDefault="00431353" w:rsidP="003A1419">
            <w:pPr>
              <w:spacing w:before="120" w:after="120"/>
              <w:rPr>
                <w:color w:val="000000"/>
              </w:rPr>
            </w:pPr>
            <w:r>
              <w:rPr>
                <w:color w:val="000000"/>
              </w:rPr>
              <w:t xml:space="preserve"> </w:t>
            </w:r>
          </w:p>
        </w:tc>
        <w:tc>
          <w:tcPr>
            <w:tcW w:w="6982" w:type="dxa"/>
            <w:tcBorders>
              <w:top w:val="nil"/>
              <w:left w:val="nil"/>
              <w:bottom w:val="single" w:sz="8" w:space="0" w:color="auto"/>
              <w:right w:val="single" w:sz="24" w:space="0" w:color="auto"/>
            </w:tcBorders>
            <w:shd w:val="clear" w:color="000000" w:fill="DDD9C3"/>
          </w:tcPr>
          <w:p w:rsidR="00431353" w:rsidRDefault="00431353" w:rsidP="003A1419">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tcPr>
          <w:p w:rsidR="00431353" w:rsidRDefault="00431353" w:rsidP="003A1419">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tcPr>
          <w:p w:rsidR="00431353" w:rsidRDefault="00431353" w:rsidP="003A1419">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tcPr>
          <w:p w:rsidR="00431353" w:rsidRDefault="00431353" w:rsidP="003A1419">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tcPr>
          <w:p w:rsidR="00431353" w:rsidRDefault="00431353" w:rsidP="003A1419">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tcPr>
          <w:p w:rsidR="00431353" w:rsidRDefault="00431353" w:rsidP="003A1419">
            <w:pPr>
              <w:spacing w:before="120" w:after="120"/>
              <w:rPr>
                <w:color w:val="000000"/>
              </w:rPr>
            </w:pPr>
            <w:r>
              <w:rPr>
                <w:color w:val="000000"/>
              </w:rPr>
              <w:t>Comment</w:t>
            </w:r>
          </w:p>
        </w:tc>
      </w:tr>
      <w:tr w:rsidR="00431353" w:rsidTr="003A1419">
        <w:trPr>
          <w:trHeight w:val="1366"/>
          <w:jc w:val="right"/>
        </w:trPr>
        <w:tc>
          <w:tcPr>
            <w:tcW w:w="13248" w:type="dxa"/>
            <w:gridSpan w:val="8"/>
            <w:tcBorders>
              <w:top w:val="single" w:sz="8" w:space="0" w:color="auto"/>
              <w:left w:val="nil"/>
              <w:bottom w:val="single" w:sz="4" w:space="0" w:color="auto"/>
              <w:right w:val="single" w:sz="24" w:space="0" w:color="auto"/>
            </w:tcBorders>
          </w:tcPr>
          <w:p w:rsidR="00431353" w:rsidRDefault="00431353" w:rsidP="003A1419">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rsidR="00431353" w:rsidTr="003A1419">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12</w:t>
            </w:r>
          </w:p>
        </w:tc>
      </w:tr>
      <w:tr w:rsidR="00431353" w:rsidTr="003A1419">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If timelines were modified to reduce the gaps in the clearing of gas and electricity markets, a nine hour gap could be reduced to a one hour gap if the timelines were </w:t>
            </w:r>
            <w:r>
              <w:rPr>
                <w:color w:val="000000"/>
              </w:rPr>
              <w:lastRenderedPageBreak/>
              <w:t>modified to an east and a west model.  This would be a considerable change to the timelines supported by the pipelines – with a focus on synchronizing the clearing times and the economic day for both markets.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lastRenderedPageBreak/>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2</w:t>
            </w:r>
          </w:p>
        </w:tc>
      </w:tr>
      <w:tr w:rsidR="00431353" w:rsidTr="003A1419">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r>
      <w:tr w:rsidR="00431353" w:rsidTr="003A1419">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w:t>
            </w:r>
            <w:r>
              <w:rPr>
                <w:color w:val="000000"/>
              </w:rPr>
              <w:lastRenderedPageBreak/>
              <w:t>provides some background for this observation.</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lastRenderedPageBreak/>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9</w:t>
            </w:r>
          </w:p>
        </w:tc>
      </w:tr>
      <w:tr w:rsidR="00431353" w:rsidTr="003A1419">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As more efficiencies and flexibility can be introduced into the scheduling for both markets, an outcome may be an increased market reliance on natural gas fired generation over other fuels used for electricity generation.</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23</w:t>
            </w:r>
          </w:p>
        </w:tc>
      </w:tr>
      <w:tr w:rsidR="00431353" w:rsidTr="003A1419">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r>
      <w:tr w:rsidR="00431353" w:rsidTr="003A1419">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12</w:t>
            </w:r>
          </w:p>
        </w:tc>
      </w:tr>
      <w:tr w:rsidR="00431353" w:rsidTr="003A1419">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11</w:t>
            </w:r>
          </w:p>
        </w:tc>
      </w:tr>
      <w:tr w:rsidR="00431353" w:rsidTr="003A1419">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keepNext/>
              <w:spacing w:before="120" w:after="60"/>
              <w:rPr>
                <w:color w:val="000000"/>
              </w:rPr>
            </w:pPr>
            <w:r>
              <w:rPr>
                <w:color w:val="000000"/>
              </w:rPr>
              <w:t xml:space="preserve">2.  Observations and Core Issues as of April 24, 2012 </w:t>
            </w:r>
          </w:p>
          <w:p w:rsidR="00431353" w:rsidRDefault="00431353" w:rsidP="00352BB5">
            <w:pPr>
              <w:keepNext/>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rsidR="00431353" w:rsidRDefault="00431353" w:rsidP="00352BB5">
            <w:pPr>
              <w:pStyle w:val="ListParagraph"/>
              <w:keepNext/>
              <w:numPr>
                <w:ilvl w:val="1"/>
                <w:numId w:val="8"/>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431353" w:rsidRDefault="00431353" w:rsidP="00352BB5">
            <w:pPr>
              <w:pStyle w:val="ListParagraph"/>
              <w:keepNext/>
              <w:numPr>
                <w:ilvl w:val="0"/>
                <w:numId w:val="8"/>
              </w:numPr>
              <w:spacing w:after="60"/>
              <w:ind w:left="342" w:hanging="342"/>
              <w:contextualSpacing w:val="0"/>
              <w:rPr>
                <w:color w:val="000000"/>
              </w:rPr>
            </w:pPr>
            <w:r>
              <w:rPr>
                <w:color w:val="000000"/>
              </w:rPr>
              <w:t>• the structure of communications to make for a better utilization of existing infrastructure and capacity.</w:t>
            </w:r>
          </w:p>
        </w:tc>
      </w:tr>
      <w:tr w:rsidR="00431353" w:rsidTr="003A1419">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single" w:sz="4" w:space="0" w:color="auto"/>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18</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8</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12</w:t>
            </w:r>
          </w:p>
        </w:tc>
      </w:tr>
      <w:tr w:rsidR="00431353" w:rsidTr="003A1419">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3</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17</w:t>
            </w:r>
          </w:p>
        </w:tc>
      </w:tr>
      <w:tr w:rsidR="00431353" w:rsidTr="003A1419">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r>
      <w:tr w:rsidR="00431353" w:rsidTr="003A1419">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14</w:t>
            </w:r>
          </w:p>
        </w:tc>
      </w:tr>
      <w:tr w:rsidR="00431353" w:rsidTr="003A1419">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r>
      <w:tr w:rsidR="00431353" w:rsidTr="003A1419">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13</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r>
      <w:tr w:rsidR="00431353" w:rsidTr="003A1419">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tcPr>
          <w:p w:rsidR="00431353" w:rsidRDefault="00431353" w:rsidP="003A1419">
            <w:pPr>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 xml:space="preserve">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431353" w:rsidTr="003A1419">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11</w:t>
            </w:r>
          </w:p>
        </w:tc>
      </w:tr>
      <w:tr w:rsidR="00431353" w:rsidTr="003A1419">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4</w:t>
            </w:r>
          </w:p>
        </w:tc>
      </w:tr>
      <w:tr w:rsidR="00431353" w:rsidTr="003A1419">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w:t>
            </w:r>
            <w:r>
              <w:rPr>
                <w:color w:val="000000"/>
              </w:rPr>
              <w:lastRenderedPageBreak/>
              <w:t>maintain flow measurement and flow management/control would be helpful.</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lastRenderedPageBreak/>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8</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tcPr>
          <w:p w:rsidR="00431353" w:rsidRDefault="00431353" w:rsidP="003A1419">
            <w:pPr>
              <w:spacing w:before="120" w:after="120"/>
              <w:rPr>
                <w:color w:val="000000"/>
              </w:rPr>
            </w:pPr>
            <w:r>
              <w:rPr>
                <w:color w:val="000000"/>
              </w:rPr>
              <w:t>14</w:t>
            </w:r>
          </w:p>
        </w:tc>
      </w:tr>
      <w:tr w:rsidR="00431353" w:rsidTr="003A1419">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noWrap/>
          </w:tcPr>
          <w:p w:rsidR="00431353" w:rsidRDefault="00431353" w:rsidP="003A1419">
            <w:pPr>
              <w:spacing w:before="120" w:after="120"/>
              <w:rPr>
                <w:color w:val="000000"/>
              </w:rPr>
            </w:pPr>
            <w:r>
              <w:rPr>
                <w:color w:val="000000"/>
              </w:rPr>
              <w:t xml:space="preserve"> </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r>
      <w:tr w:rsidR="00431353" w:rsidTr="003A1419">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tcPr>
          <w:p w:rsidR="00431353" w:rsidRDefault="00431353" w:rsidP="003A1419">
            <w:pPr>
              <w:keepNext/>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431353" w:rsidTr="003A1419">
        <w:trPr>
          <w:trHeight w:val="314"/>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w:t>
            </w:r>
            <w:r>
              <w:rPr>
                <w:color w:val="000000"/>
              </w:rPr>
              <w:lastRenderedPageBreak/>
              <w:t xml:space="preserve">purpose of the information, who provides the information, who accesses the information, and how the information is presented, should be analyzed to ensure that the needed confidentiality is preserved. </w:t>
            </w:r>
          </w:p>
        </w:tc>
        <w:tc>
          <w:tcPr>
            <w:tcW w:w="1028" w:type="dxa"/>
            <w:tcBorders>
              <w:top w:val="nil"/>
              <w:left w:val="single" w:sz="24" w:space="0" w:color="auto"/>
              <w:bottom w:val="nil"/>
              <w:right w:val="nil"/>
            </w:tcBorders>
            <w:noWrap/>
          </w:tcPr>
          <w:p w:rsidR="00431353" w:rsidRDefault="00431353" w:rsidP="003A1419">
            <w:pPr>
              <w:spacing w:before="120" w:after="120"/>
              <w:rPr>
                <w:color w:val="000000"/>
              </w:rPr>
            </w:pPr>
            <w:r>
              <w:rPr>
                <w:color w:val="000000"/>
              </w:rPr>
              <w:lastRenderedPageBreak/>
              <w:t xml:space="preserve"> </w:t>
            </w:r>
          </w:p>
        </w:tc>
        <w:tc>
          <w:tcPr>
            <w:tcW w:w="1123" w:type="dxa"/>
            <w:tcBorders>
              <w:top w:val="nil"/>
              <w:left w:val="single" w:sz="4" w:space="0" w:color="auto"/>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r>
      <w:tr w:rsidR="00431353" w:rsidTr="003A1419">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7</w:t>
            </w:r>
          </w:p>
        </w:tc>
      </w:tr>
      <w:tr w:rsidR="00431353" w:rsidTr="003A1419">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3</w:t>
            </w:r>
          </w:p>
        </w:tc>
      </w:tr>
      <w:tr w:rsidR="00431353" w:rsidTr="003A1419">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tcPr>
          <w:p w:rsidR="00431353" w:rsidRDefault="00431353" w:rsidP="003A1419">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tcPr>
          <w:p w:rsidR="00431353" w:rsidRDefault="00431353" w:rsidP="003A1419">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 xml:space="preserve"> </w:t>
            </w:r>
          </w:p>
        </w:tc>
        <w:tc>
          <w:tcPr>
            <w:tcW w:w="1123" w:type="dxa"/>
            <w:tcBorders>
              <w:top w:val="nil"/>
              <w:left w:val="nil"/>
              <w:bottom w:val="single" w:sz="4" w:space="0" w:color="auto"/>
              <w:right w:val="single" w:sz="24" w:space="0" w:color="auto"/>
            </w:tcBorders>
            <w:shd w:val="clear" w:color="000000" w:fill="FFFF00"/>
            <w:noWrap/>
          </w:tcPr>
          <w:p w:rsidR="00431353" w:rsidRDefault="00431353" w:rsidP="003A1419">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noWrap/>
          </w:tcPr>
          <w:p w:rsidR="00431353" w:rsidRDefault="00431353" w:rsidP="003A1419">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tcPr>
          <w:p w:rsidR="00431353" w:rsidRDefault="00431353" w:rsidP="003A1419">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noWrap/>
          </w:tcPr>
          <w:p w:rsidR="00431353" w:rsidRDefault="00431353" w:rsidP="003A1419">
            <w:pPr>
              <w:spacing w:before="120" w:after="120"/>
              <w:rPr>
                <w:color w:val="000000"/>
              </w:rPr>
            </w:pPr>
            <w:r>
              <w:rPr>
                <w:color w:val="000000"/>
              </w:rPr>
              <w:t>3</w:t>
            </w:r>
          </w:p>
        </w:tc>
      </w:tr>
    </w:tbl>
    <w:p w:rsidR="00431353" w:rsidRDefault="00431353">
      <w:pPr>
        <w:rPr>
          <w:b/>
        </w:rPr>
      </w:pPr>
      <w:r>
        <w:rPr>
          <w:b/>
        </w:rPr>
        <w:br w:type="page"/>
      </w:r>
    </w:p>
    <w:p w:rsidR="00431353" w:rsidRDefault="00431353" w:rsidP="00F46F93">
      <w:pPr>
        <w:spacing w:before="120"/>
        <w:outlineLvl w:val="0"/>
        <w:rPr>
          <w:b/>
        </w:rPr>
      </w:pPr>
      <w:r>
        <w:rPr>
          <w:b/>
        </w:rPr>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rsidR="00431353" w:rsidRDefault="00431353" w:rsidP="00AE19C1">
      <w:pPr>
        <w:pStyle w:val="ListParagraph"/>
        <w:numPr>
          <w:ilvl w:val="0"/>
          <w:numId w:val="12"/>
        </w:numPr>
        <w:spacing w:before="120"/>
        <w:outlineLvl w:val="0"/>
      </w:pPr>
      <w:r>
        <w:t xml:space="preserve">Practices in existence today that address the underlying issues, but do now lend themselves to uniform market applicability </w:t>
      </w:r>
    </w:p>
    <w:p w:rsidR="00431353" w:rsidRDefault="00431353" w:rsidP="00AE19C1">
      <w:pPr>
        <w:pStyle w:val="ListParagraph"/>
        <w:numPr>
          <w:ilvl w:val="0"/>
          <w:numId w:val="12"/>
        </w:numPr>
        <w:spacing w:before="120"/>
        <w:outlineLvl w:val="0"/>
      </w:pPr>
      <w:r>
        <w:t>Practices that are primarily adopted regionally or by specific pipeline, are distinct, and are unlikely to be extended to other regions or to all pipelines.</w:t>
      </w:r>
    </w:p>
    <w:p w:rsidR="00431353" w:rsidRDefault="00431353" w:rsidP="00AE19C1">
      <w:pPr>
        <w:pStyle w:val="ListParagraph"/>
        <w:numPr>
          <w:ilvl w:val="0"/>
          <w:numId w:val="12"/>
        </w:numPr>
        <w:spacing w:before="120"/>
        <w:outlineLvl w:val="0"/>
      </w:pPr>
      <w:r>
        <w:t>Observations that lead to a confidence that pipeline-specific or regional commercial practices have made significant progress  to address gas-electric harmonization issues, and</w:t>
      </w:r>
    </w:p>
    <w:p w:rsidR="00431353" w:rsidRDefault="00431353" w:rsidP="00AE19C1">
      <w:pPr>
        <w:pStyle w:val="ListParagraph"/>
        <w:numPr>
          <w:ilvl w:val="0"/>
          <w:numId w:val="9"/>
        </w:numPr>
        <w:spacing w:before="120"/>
        <w:outlineLvl w:val="0"/>
        <w:rPr>
          <w:b/>
        </w:rPr>
      </w:pPr>
      <w:r>
        <w:t>Framing issues that put the observations in context, in particular recognizing the limitations of commercial initiatives that may encounter policy constraints</w:t>
      </w:r>
    </w:p>
    <w:p w:rsidR="00431353" w:rsidRDefault="00431353" w:rsidP="00F46F93">
      <w:pPr>
        <w:rPr>
          <w:b/>
        </w:rPr>
      </w:pPr>
    </w:p>
    <w:tbl>
      <w:tblPr>
        <w:tblW w:w="13260" w:type="dxa"/>
        <w:jc w:val="right"/>
        <w:tblLayout w:type="fixed"/>
        <w:tblLook w:val="00A0" w:firstRow="1" w:lastRow="0" w:firstColumn="1" w:lastColumn="0" w:noHBand="0" w:noVBand="0"/>
      </w:tblPr>
      <w:tblGrid>
        <w:gridCol w:w="417"/>
        <w:gridCol w:w="519"/>
        <w:gridCol w:w="6638"/>
        <w:gridCol w:w="810"/>
        <w:gridCol w:w="1350"/>
        <w:gridCol w:w="1366"/>
        <w:gridCol w:w="1080"/>
        <w:gridCol w:w="1080"/>
      </w:tblGrid>
      <w:tr w:rsidR="00431353" w:rsidTr="00352BB5">
        <w:trPr>
          <w:trHeight w:val="765"/>
          <w:tblHeader/>
          <w:jc w:val="right"/>
        </w:trPr>
        <w:tc>
          <w:tcPr>
            <w:tcW w:w="417" w:type="dxa"/>
            <w:tcBorders>
              <w:top w:val="nil"/>
              <w:left w:val="nil"/>
              <w:bottom w:val="single" w:sz="8" w:space="0" w:color="auto"/>
              <w:right w:val="nil"/>
            </w:tcBorders>
            <w:shd w:val="clear" w:color="auto" w:fill="DDD9C3"/>
          </w:tcPr>
          <w:p w:rsidR="00431353" w:rsidRDefault="00431353">
            <w:pPr>
              <w:spacing w:before="120" w:after="120"/>
              <w:rPr>
                <w:color w:val="000000"/>
              </w:rPr>
            </w:pPr>
            <w:r>
              <w:rPr>
                <w:color w:val="000000"/>
              </w:rPr>
              <w:t xml:space="preserve"> </w:t>
            </w:r>
          </w:p>
        </w:tc>
        <w:tc>
          <w:tcPr>
            <w:tcW w:w="519" w:type="dxa"/>
            <w:tcBorders>
              <w:top w:val="nil"/>
              <w:left w:val="nil"/>
              <w:bottom w:val="single" w:sz="8" w:space="0" w:color="auto"/>
              <w:right w:val="nil"/>
            </w:tcBorders>
            <w:shd w:val="clear" w:color="auto" w:fill="DDD9C3"/>
          </w:tcPr>
          <w:p w:rsidR="00431353" w:rsidRDefault="00431353">
            <w:pPr>
              <w:spacing w:before="120" w:after="120"/>
              <w:rPr>
                <w:color w:val="000000"/>
              </w:rPr>
            </w:pPr>
            <w:r>
              <w:rPr>
                <w:color w:val="000000"/>
              </w:rPr>
              <w:t xml:space="preserve"> </w:t>
            </w:r>
          </w:p>
        </w:tc>
        <w:tc>
          <w:tcPr>
            <w:tcW w:w="6638" w:type="dxa"/>
            <w:tcBorders>
              <w:top w:val="nil"/>
              <w:left w:val="nil"/>
              <w:bottom w:val="single" w:sz="8" w:space="0" w:color="auto"/>
              <w:right w:val="nil"/>
            </w:tcBorders>
            <w:shd w:val="clear" w:color="auto" w:fill="DDD9C3"/>
          </w:tcPr>
          <w:p w:rsidR="00431353" w:rsidRDefault="00431353">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auto" w:fill="DDD9C3"/>
            <w:noWrap/>
          </w:tcPr>
          <w:p w:rsidR="00431353" w:rsidRDefault="00431353">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auto" w:fill="DDD9C3"/>
          </w:tcPr>
          <w:p w:rsidR="00431353" w:rsidRDefault="00431353">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auto" w:fill="DDD9C3"/>
          </w:tcPr>
          <w:p w:rsidR="00431353" w:rsidRDefault="00431353">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auto" w:fill="DDD9C3"/>
            <w:noWrap/>
          </w:tcPr>
          <w:p w:rsidR="00431353" w:rsidRDefault="00431353">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auto" w:fill="DDD9C3"/>
            <w:noWrap/>
          </w:tcPr>
          <w:p w:rsidR="00431353" w:rsidRDefault="00431353">
            <w:pPr>
              <w:spacing w:before="120" w:after="120"/>
              <w:rPr>
                <w:color w:val="000000"/>
              </w:rPr>
            </w:pPr>
            <w:r>
              <w:rPr>
                <w:color w:val="000000"/>
              </w:rPr>
              <w:t>Comment</w:t>
            </w:r>
          </w:p>
        </w:tc>
      </w:tr>
      <w:tr w:rsidR="00431353" w:rsidTr="00352BB5">
        <w:trPr>
          <w:trHeight w:val="1384"/>
          <w:jc w:val="right"/>
        </w:trPr>
        <w:tc>
          <w:tcPr>
            <w:tcW w:w="13260" w:type="dxa"/>
            <w:gridSpan w:val="8"/>
            <w:tcBorders>
              <w:top w:val="nil"/>
              <w:left w:val="single" w:sz="4" w:space="0" w:color="auto"/>
              <w:bottom w:val="single" w:sz="4" w:space="0" w:color="auto"/>
              <w:right w:val="single" w:sz="4" w:space="0" w:color="auto"/>
            </w:tcBorders>
          </w:tcPr>
          <w:p w:rsidR="00431353" w:rsidRDefault="00431353" w:rsidP="00352BB5">
            <w:pPr>
              <w:spacing w:before="120" w:after="120"/>
              <w:rPr>
                <w:color w:val="000000"/>
              </w:rPr>
            </w:pPr>
            <w:r>
              <w:rPr>
                <w:color w:val="000000"/>
              </w:rPr>
              <w:t>1.  OBSERVATIONS AND CORE ISSUES:</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xml:space="preserve">• The gas &amp; electric scheduling timelines to create more certainty and flexibility in scheduling, recognizing that providing flexibility in one area may take away flexibility in another? </w:t>
            </w:r>
          </w:p>
        </w:tc>
      </w:tr>
      <w:tr w:rsidR="00431353" w:rsidTr="00352BB5">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5</w:t>
            </w:r>
          </w:p>
        </w:tc>
      </w:tr>
      <w:tr w:rsidR="00431353" w:rsidTr="00352BB5">
        <w:trPr>
          <w:trHeight w:val="102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3</w:t>
            </w:r>
          </w:p>
        </w:tc>
      </w:tr>
      <w:tr w:rsidR="00431353" w:rsidTr="00352BB5">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3</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12</w:t>
            </w:r>
          </w:p>
        </w:tc>
      </w:tr>
      <w:tr w:rsidR="00431353" w:rsidTr="00352BB5">
        <w:trPr>
          <w:trHeight w:val="102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4</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9</w:t>
            </w:r>
          </w:p>
        </w:tc>
        <w:tc>
          <w:tcPr>
            <w:tcW w:w="1350" w:type="dxa"/>
            <w:tcBorders>
              <w:top w:val="nil"/>
              <w:left w:val="single" w:sz="24" w:space="0" w:color="auto"/>
              <w:bottom w:val="nil"/>
              <w:right w:val="nil"/>
            </w:tcBorders>
            <w:noWrap/>
          </w:tcPr>
          <w:p w:rsidR="00431353" w:rsidRDefault="00431353">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11</w:t>
            </w:r>
          </w:p>
        </w:tc>
      </w:tr>
      <w:tr w:rsidR="00431353" w:rsidTr="00352BB5">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11</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t>16</w:t>
            </w:r>
          </w:p>
        </w:tc>
        <w:tc>
          <w:tcPr>
            <w:tcW w:w="1350" w:type="dxa"/>
            <w:tcBorders>
              <w:top w:val="nil"/>
              <w:left w:val="single" w:sz="24" w:space="0" w:color="auto"/>
              <w:bottom w:val="nil"/>
              <w:right w:val="nil"/>
            </w:tcBorders>
            <w:noWrap/>
          </w:tcPr>
          <w:p w:rsidR="00431353" w:rsidRDefault="00431353">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12</w:t>
            </w:r>
          </w:p>
        </w:tc>
      </w:tr>
      <w:tr w:rsidR="00431353" w:rsidTr="00352BB5">
        <w:trPr>
          <w:trHeight w:val="1835"/>
          <w:jc w:val="right"/>
        </w:trPr>
        <w:tc>
          <w:tcPr>
            <w:tcW w:w="13260"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keepNext/>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r>
      <w:tr w:rsidR="00431353" w:rsidTr="00352BB5">
        <w:trPr>
          <w:trHeight w:val="1275"/>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22</w:t>
            </w:r>
          </w:p>
        </w:tc>
      </w:tr>
      <w:tr w:rsidR="00431353" w:rsidTr="00352BB5">
        <w:trPr>
          <w:trHeight w:val="458"/>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18</w:t>
            </w:r>
          </w:p>
        </w:tc>
      </w:tr>
      <w:tr w:rsidR="00431353" w:rsidTr="00352BB5">
        <w:trPr>
          <w:trHeight w:val="44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3</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t>25</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8</w:t>
            </w:r>
          </w:p>
        </w:tc>
      </w:tr>
      <w:tr w:rsidR="00431353" w:rsidTr="00352BB5">
        <w:trPr>
          <w:trHeight w:val="765"/>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4</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23</w:t>
            </w:r>
          </w:p>
        </w:tc>
      </w:tr>
      <w:tr w:rsidR="00431353" w:rsidTr="00352BB5">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6</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t>25</w:t>
            </w:r>
          </w:p>
        </w:tc>
        <w:tc>
          <w:tcPr>
            <w:tcW w:w="1350" w:type="dxa"/>
            <w:tcBorders>
              <w:top w:val="nil"/>
              <w:left w:val="single" w:sz="24" w:space="0" w:color="auto"/>
              <w:bottom w:val="nil"/>
              <w:right w:val="nil"/>
            </w:tcBorders>
            <w:noWrap/>
          </w:tcPr>
          <w:p w:rsidR="00431353" w:rsidRDefault="00431353">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3</w:t>
            </w:r>
          </w:p>
        </w:tc>
      </w:tr>
      <w:tr w:rsidR="00431353" w:rsidTr="00352BB5">
        <w:trPr>
          <w:trHeight w:val="765"/>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8</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5</w:t>
            </w:r>
          </w:p>
        </w:tc>
        <w:tc>
          <w:tcPr>
            <w:tcW w:w="1350" w:type="dxa"/>
            <w:tcBorders>
              <w:top w:val="nil"/>
              <w:left w:val="single" w:sz="24" w:space="0" w:color="auto"/>
              <w:bottom w:val="nil"/>
              <w:right w:val="nil"/>
            </w:tcBorders>
            <w:noWrap/>
          </w:tcPr>
          <w:p w:rsidR="00431353" w:rsidRDefault="00431353">
            <w:pPr>
              <w:spacing w:before="120" w:after="120"/>
              <w:rPr>
                <w:color w:val="000000"/>
              </w:rPr>
            </w:pPr>
            <w:r>
              <w:rPr>
                <w:color w:val="000000"/>
              </w:rPr>
              <w:t xml:space="preserve"> </w:t>
            </w:r>
          </w:p>
        </w:tc>
        <w:tc>
          <w:tcPr>
            <w:tcW w:w="1366" w:type="dxa"/>
            <w:tcBorders>
              <w:top w:val="nil"/>
              <w:left w:val="single" w:sz="4" w:space="0" w:color="auto"/>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18</w:t>
            </w:r>
          </w:p>
        </w:tc>
      </w:tr>
      <w:tr w:rsidR="00431353" w:rsidTr="00352BB5">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9</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13</w:t>
            </w:r>
          </w:p>
        </w:tc>
      </w:tr>
      <w:tr w:rsidR="00431353" w:rsidTr="00352BB5">
        <w:trPr>
          <w:trHeight w:val="26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10</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Incorporating use of LNG and storage facilities as peak shaving units can provide flexibility for power generation and expands the capability of the market in meeting demand for power.</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16</w:t>
            </w:r>
          </w:p>
        </w:tc>
      </w:tr>
      <w:tr w:rsidR="00431353" w:rsidTr="00352BB5">
        <w:trPr>
          <w:trHeight w:val="593"/>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13</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14</w:t>
            </w:r>
          </w:p>
        </w:tc>
      </w:tr>
      <w:tr w:rsidR="00431353" w:rsidTr="00352BB5">
        <w:trPr>
          <w:trHeight w:val="1313"/>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14</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14</w:t>
            </w:r>
          </w:p>
        </w:tc>
      </w:tr>
      <w:tr w:rsidR="00431353" w:rsidTr="00352BB5">
        <w:trPr>
          <w:trHeight w:val="2295"/>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15</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0</w:t>
            </w:r>
          </w:p>
        </w:tc>
      </w:tr>
      <w:tr w:rsidR="00431353" w:rsidTr="00352BB5">
        <w:trPr>
          <w:trHeight w:val="53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16</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 xml:space="preserve">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w:t>
            </w:r>
            <w:r>
              <w:rPr>
                <w:color w:val="000000"/>
              </w:rPr>
              <w:lastRenderedPageBreak/>
              <w:t>variable energy resources?)</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lastRenderedPageBreak/>
              <w:t>20</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7</w:t>
            </w:r>
          </w:p>
        </w:tc>
      </w:tr>
      <w:tr w:rsidR="00431353" w:rsidTr="00352BB5">
        <w:trPr>
          <w:trHeight w:val="153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17</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13</w:t>
            </w:r>
          </w:p>
        </w:tc>
      </w:tr>
      <w:tr w:rsidR="00431353" w:rsidTr="00352BB5">
        <w:trPr>
          <w:trHeight w:val="765"/>
          <w:jc w:val="right"/>
        </w:trPr>
        <w:tc>
          <w:tcPr>
            <w:tcW w:w="417" w:type="dxa"/>
            <w:tcBorders>
              <w:top w:val="nil"/>
              <w:left w:val="single" w:sz="4" w:space="0" w:color="auto"/>
              <w:bottom w:val="nil"/>
              <w:right w:val="single" w:sz="4" w:space="0" w:color="auto"/>
            </w:tcBorders>
            <w:shd w:val="clear" w:color="auto" w:fill="EEECE1"/>
            <w:noWrap/>
          </w:tcPr>
          <w:p w:rsidR="00431353" w:rsidRDefault="00431353">
            <w:pPr>
              <w:spacing w:before="120" w:after="120"/>
              <w:rPr>
                <w:color w:val="000000"/>
              </w:rPr>
            </w:pPr>
            <w:r>
              <w:rPr>
                <w:color w:val="000000"/>
              </w:rPr>
              <w:t>2</w:t>
            </w:r>
          </w:p>
        </w:tc>
        <w:tc>
          <w:tcPr>
            <w:tcW w:w="519" w:type="dxa"/>
            <w:tcBorders>
              <w:top w:val="nil"/>
              <w:left w:val="nil"/>
              <w:bottom w:val="nil"/>
              <w:right w:val="single" w:sz="4" w:space="0" w:color="auto"/>
            </w:tcBorders>
            <w:shd w:val="clear" w:color="auto" w:fill="EEECE1"/>
            <w:noWrap/>
          </w:tcPr>
          <w:p w:rsidR="00431353" w:rsidRDefault="00431353">
            <w:pPr>
              <w:spacing w:before="120" w:after="120"/>
              <w:rPr>
                <w:color w:val="000000"/>
              </w:rPr>
            </w:pPr>
            <w:r>
              <w:rPr>
                <w:color w:val="000000"/>
              </w:rPr>
              <w:t>18</w:t>
            </w:r>
          </w:p>
        </w:tc>
        <w:tc>
          <w:tcPr>
            <w:tcW w:w="6638" w:type="dxa"/>
            <w:tcBorders>
              <w:top w:val="nil"/>
              <w:left w:val="nil"/>
              <w:bottom w:val="nil"/>
              <w:right w:val="single" w:sz="4" w:space="0" w:color="auto"/>
            </w:tcBorders>
            <w:shd w:val="clear" w:color="auto" w:fill="EEECE1"/>
          </w:tcPr>
          <w:p w:rsidR="00431353" w:rsidRDefault="00431353">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noWrap/>
          </w:tcPr>
          <w:p w:rsidR="00431353" w:rsidRDefault="00431353">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auto" w:fill="92D050"/>
            <w:noWrap/>
          </w:tcPr>
          <w:p w:rsidR="00431353" w:rsidRDefault="00431353">
            <w:pPr>
              <w:spacing w:before="120" w:after="120"/>
              <w:rPr>
                <w:color w:val="000000"/>
              </w:rPr>
            </w:pPr>
            <w:r>
              <w:rPr>
                <w:color w:val="000000"/>
              </w:rPr>
              <w:t>20</w:t>
            </w:r>
          </w:p>
        </w:tc>
        <w:tc>
          <w:tcPr>
            <w:tcW w:w="1366" w:type="dxa"/>
            <w:tcBorders>
              <w:top w:val="nil"/>
              <w:left w:val="nil"/>
              <w:bottom w:val="nil"/>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nil"/>
              <w:right w:val="single" w:sz="4" w:space="0" w:color="auto"/>
            </w:tcBorders>
            <w:noWrap/>
          </w:tcPr>
          <w:p w:rsidR="00431353" w:rsidRDefault="00431353">
            <w:pPr>
              <w:spacing w:before="120" w:after="120"/>
              <w:rPr>
                <w:color w:val="000000"/>
              </w:rPr>
            </w:pPr>
            <w:r>
              <w:rPr>
                <w:color w:val="000000"/>
              </w:rPr>
              <w:t>2</w:t>
            </w:r>
          </w:p>
        </w:tc>
        <w:tc>
          <w:tcPr>
            <w:tcW w:w="1080" w:type="dxa"/>
            <w:tcBorders>
              <w:top w:val="nil"/>
              <w:left w:val="nil"/>
              <w:bottom w:val="nil"/>
              <w:right w:val="single" w:sz="4" w:space="0" w:color="auto"/>
            </w:tcBorders>
            <w:shd w:val="clear" w:color="auto" w:fill="FFFF00"/>
            <w:noWrap/>
          </w:tcPr>
          <w:p w:rsidR="00431353" w:rsidRDefault="00431353">
            <w:pPr>
              <w:spacing w:before="120" w:after="120"/>
              <w:rPr>
                <w:color w:val="000000"/>
              </w:rPr>
            </w:pPr>
            <w:r>
              <w:rPr>
                <w:color w:val="000000"/>
              </w:rPr>
              <w:t>14</w:t>
            </w:r>
          </w:p>
        </w:tc>
      </w:tr>
      <w:tr w:rsidR="00431353" w:rsidTr="00352BB5">
        <w:trPr>
          <w:trHeight w:val="1349"/>
          <w:jc w:val="right"/>
        </w:trPr>
        <w:tc>
          <w:tcPr>
            <w:tcW w:w="13260" w:type="dxa"/>
            <w:gridSpan w:val="8"/>
            <w:tcBorders>
              <w:top w:val="single" w:sz="4" w:space="0" w:color="auto"/>
              <w:left w:val="single" w:sz="4" w:space="0" w:color="auto"/>
              <w:bottom w:val="single" w:sz="4" w:space="0" w:color="auto"/>
              <w:right w:val="single" w:sz="4" w:space="0" w:color="auto"/>
            </w:tcBorders>
          </w:tcPr>
          <w:p w:rsidR="00431353" w:rsidRDefault="00431353" w:rsidP="00352BB5">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r>
      <w:tr w:rsidR="00431353" w:rsidTr="00352BB5">
        <w:trPr>
          <w:trHeight w:val="51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1</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11</w:t>
            </w:r>
          </w:p>
        </w:tc>
      </w:tr>
      <w:tr w:rsidR="00431353" w:rsidTr="00352BB5">
        <w:trPr>
          <w:trHeight w:val="204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2</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10"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auto" w:fill="92D050"/>
            <w:noWrap/>
          </w:tcPr>
          <w:p w:rsidR="00431353" w:rsidRDefault="00431353">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noWrap/>
          </w:tcPr>
          <w:p w:rsidR="00431353" w:rsidRDefault="00431353">
            <w:pPr>
              <w:spacing w:before="120" w:after="120"/>
              <w:rPr>
                <w:color w:val="000000"/>
              </w:rPr>
            </w:pPr>
            <w:r>
              <w:rPr>
                <w:color w:val="000000"/>
              </w:rPr>
              <w:t xml:space="preserve"> </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auto" w:fill="FFFF00"/>
            <w:noWrap/>
          </w:tcPr>
          <w:p w:rsidR="00431353" w:rsidRDefault="00431353">
            <w:pPr>
              <w:spacing w:before="120" w:after="120"/>
              <w:rPr>
                <w:color w:val="000000"/>
              </w:rPr>
            </w:pPr>
            <w:r>
              <w:rPr>
                <w:color w:val="000000"/>
              </w:rPr>
              <w:t>13</w:t>
            </w:r>
          </w:p>
        </w:tc>
      </w:tr>
      <w:tr w:rsidR="00431353" w:rsidTr="00352BB5">
        <w:trPr>
          <w:trHeight w:val="1530"/>
          <w:jc w:val="right"/>
        </w:trPr>
        <w:tc>
          <w:tcPr>
            <w:tcW w:w="417" w:type="dxa"/>
            <w:tcBorders>
              <w:top w:val="nil"/>
              <w:left w:val="single" w:sz="4" w:space="0" w:color="auto"/>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auto" w:fill="EEECE1"/>
            <w:noWrap/>
          </w:tcPr>
          <w:p w:rsidR="00431353" w:rsidRDefault="00431353">
            <w:pPr>
              <w:spacing w:before="120" w:after="120"/>
              <w:rPr>
                <w:color w:val="000000"/>
              </w:rPr>
            </w:pPr>
            <w:r>
              <w:rPr>
                <w:color w:val="000000"/>
              </w:rPr>
              <w:t>7</w:t>
            </w:r>
          </w:p>
        </w:tc>
        <w:tc>
          <w:tcPr>
            <w:tcW w:w="6638" w:type="dxa"/>
            <w:tcBorders>
              <w:top w:val="nil"/>
              <w:left w:val="nil"/>
              <w:bottom w:val="single" w:sz="4" w:space="0" w:color="auto"/>
              <w:right w:val="single" w:sz="4" w:space="0" w:color="auto"/>
            </w:tcBorders>
            <w:shd w:val="clear" w:color="auto" w:fill="EEECE1"/>
          </w:tcPr>
          <w:p w:rsidR="00431353" w:rsidRDefault="00431353">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auto" w:fill="92D050"/>
            <w:noWrap/>
          </w:tcPr>
          <w:p w:rsidR="00431353" w:rsidRDefault="00431353">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 xml:space="preserve"> </w:t>
            </w:r>
          </w:p>
        </w:tc>
        <w:tc>
          <w:tcPr>
            <w:tcW w:w="1366" w:type="dxa"/>
            <w:tcBorders>
              <w:top w:val="nil"/>
              <w:left w:val="nil"/>
              <w:bottom w:val="single" w:sz="4" w:space="0" w:color="auto"/>
              <w:right w:val="single" w:sz="24" w:space="0" w:color="auto"/>
            </w:tcBorders>
            <w:shd w:val="clear" w:color="auto" w:fill="FFFF00"/>
            <w:noWrap/>
          </w:tcPr>
          <w:p w:rsidR="00431353" w:rsidRDefault="00431353">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noWrap/>
          </w:tcPr>
          <w:p w:rsidR="00431353" w:rsidRDefault="00431353">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noWrap/>
          </w:tcPr>
          <w:p w:rsidR="00431353" w:rsidRDefault="00431353">
            <w:pPr>
              <w:spacing w:before="120" w:after="120"/>
              <w:rPr>
                <w:color w:val="000000"/>
              </w:rPr>
            </w:pPr>
            <w:r>
              <w:rPr>
                <w:color w:val="000000"/>
              </w:rPr>
              <w:t>5</w:t>
            </w:r>
          </w:p>
        </w:tc>
      </w:tr>
    </w:tbl>
    <w:p w:rsidR="00431353" w:rsidRDefault="00431353" w:rsidP="00352BB5">
      <w:pPr>
        <w:rPr>
          <w:b/>
        </w:rPr>
        <w:sectPr w:rsidR="00431353">
          <w:headerReference w:type="default" r:id="rId20"/>
          <w:pgSz w:w="15840" w:h="12240" w:orient="landscape" w:code="1"/>
          <w:pgMar w:top="1440" w:right="1440" w:bottom="1440" w:left="1440" w:header="720" w:footer="720" w:gutter="0"/>
          <w:cols w:space="720"/>
          <w:docGrid w:linePitch="360"/>
        </w:sectPr>
      </w:pPr>
    </w:p>
    <w:tbl>
      <w:tblPr>
        <w:tblW w:w="0" w:type="auto"/>
        <w:tblLook w:val="01E0" w:firstRow="1" w:lastRow="1" w:firstColumn="1" w:lastColumn="1" w:noHBand="0" w:noVBand="0"/>
      </w:tblPr>
      <w:tblGrid>
        <w:gridCol w:w="2877"/>
        <w:gridCol w:w="6699"/>
      </w:tblGrid>
      <w:tr w:rsidR="00431353" w:rsidTr="003B4596">
        <w:trPr>
          <w:tblHeader/>
        </w:trPr>
        <w:tc>
          <w:tcPr>
            <w:tcW w:w="2877" w:type="dxa"/>
            <w:tcBorders>
              <w:top w:val="single" w:sz="4" w:space="0" w:color="auto"/>
              <w:bottom w:val="single" w:sz="4" w:space="0" w:color="auto"/>
            </w:tcBorders>
          </w:tcPr>
          <w:p w:rsidR="00431353" w:rsidRPr="003B4596" w:rsidRDefault="00431353" w:rsidP="003B4596">
            <w:pPr>
              <w:pStyle w:val="Title"/>
              <w:spacing w:before="40" w:after="40"/>
              <w:rPr>
                <w:rFonts w:ascii="Times New Roman" w:hAnsi="Times New Roman"/>
                <w:szCs w:val="18"/>
              </w:rPr>
            </w:pPr>
            <w:r w:rsidRPr="003B4596">
              <w:rPr>
                <w:rFonts w:ascii="Times New Roman" w:hAnsi="Times New Roman"/>
                <w:szCs w:val="18"/>
              </w:rPr>
              <w:lastRenderedPageBreak/>
              <w:t>Member</w:t>
            </w:r>
          </w:p>
        </w:tc>
        <w:tc>
          <w:tcPr>
            <w:tcW w:w="6699" w:type="dxa"/>
            <w:tcBorders>
              <w:top w:val="single" w:sz="4" w:space="0" w:color="auto"/>
              <w:bottom w:val="single" w:sz="4" w:space="0" w:color="auto"/>
            </w:tcBorders>
          </w:tcPr>
          <w:p w:rsidR="00431353" w:rsidRPr="003B4596" w:rsidRDefault="00431353" w:rsidP="003B4596">
            <w:pPr>
              <w:pStyle w:val="Title"/>
              <w:spacing w:before="40" w:after="40"/>
              <w:rPr>
                <w:rFonts w:ascii="Times New Roman" w:hAnsi="Times New Roman"/>
                <w:szCs w:val="18"/>
              </w:rPr>
            </w:pPr>
            <w:r w:rsidRPr="003B4596">
              <w:rPr>
                <w:rFonts w:ascii="Times New Roman" w:hAnsi="Times New Roman"/>
                <w:szCs w:val="18"/>
              </w:rPr>
              <w:t>Company/Organization</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Vicky Bailey</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BHMM Energy Services, LLC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Jim Buccigross</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8760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Craig Colombo</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Dominion Resources</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szCs w:val="18"/>
              </w:rPr>
            </w:pPr>
            <w:r w:rsidRPr="003B4596">
              <w:rPr>
                <w:rFonts w:ascii="Times New Roman" w:hAnsi="Times New Roman"/>
                <w:szCs w:val="18"/>
              </w:rPr>
              <w:t xml:space="preserve">Valerie Crockett </w:t>
            </w:r>
            <w:r w:rsidRPr="003B4596">
              <w:rPr>
                <w:rFonts w:ascii="Times New Roman" w:hAnsi="Times New Roman"/>
                <w:i/>
                <w:szCs w:val="18"/>
              </w:rPr>
              <w:t>(Co-Chair)</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Tennessee Valley Authority</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Lorraine Cross</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Cross &amp; Company, PLLC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Alex DeBoissiere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The United Illuminating Company</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Michael Desselle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Southwest Power Pool</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Katie Elder</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Aspen Environmental Group</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Bruce Ellsworth</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New York State Reliability Council</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Lisa Epifani</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Van Ness Feldman</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Doug Field</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Southern Star Central Gas Pipeline</w:t>
            </w:r>
          </w:p>
        </w:tc>
      </w:tr>
      <w:tr w:rsidR="00431353" w:rsidTr="003B4596">
        <w:tc>
          <w:tcPr>
            <w:tcW w:w="2877" w:type="dxa"/>
          </w:tcPr>
          <w:p w:rsidR="00431353" w:rsidRPr="003B4596" w:rsidRDefault="00431353" w:rsidP="00070100">
            <w:pPr>
              <w:pStyle w:val="Title"/>
              <w:spacing w:before="40" w:after="40"/>
              <w:jc w:val="left"/>
              <w:rPr>
                <w:rFonts w:ascii="Times New Roman" w:hAnsi="Times New Roman"/>
                <w:b w:val="0"/>
                <w:szCs w:val="18"/>
              </w:rPr>
            </w:pPr>
            <w:r w:rsidRPr="003B4596">
              <w:rPr>
                <w:rFonts w:ascii="Times New Roman" w:hAnsi="Times New Roman"/>
                <w:b w:val="0"/>
                <w:szCs w:val="18"/>
              </w:rPr>
              <w:t>Michelle Foss</w:t>
            </w:r>
          </w:p>
        </w:tc>
        <w:tc>
          <w:tcPr>
            <w:tcW w:w="6699" w:type="dxa"/>
          </w:tcPr>
          <w:p w:rsidR="00431353" w:rsidRPr="003B4596" w:rsidRDefault="00431353" w:rsidP="00070100">
            <w:pPr>
              <w:pStyle w:val="Title"/>
              <w:spacing w:before="40" w:after="40"/>
              <w:jc w:val="left"/>
              <w:rPr>
                <w:rFonts w:ascii="Times New Roman" w:hAnsi="Times New Roman"/>
                <w:b w:val="0"/>
                <w:szCs w:val="18"/>
              </w:rPr>
            </w:pPr>
            <w:r w:rsidRPr="003B4596">
              <w:rPr>
                <w:rFonts w:ascii="Times New Roman" w:hAnsi="Times New Roman"/>
                <w:b w:val="0"/>
                <w:szCs w:val="18"/>
              </w:rPr>
              <w:t>University of Texas</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Christopher Freitas</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US Department of Energy</w:t>
            </w:r>
            <w:r w:rsidR="003152AE">
              <w:rPr>
                <w:rFonts w:ascii="Times New Roman" w:hAnsi="Times New Roman"/>
                <w:b w:val="0"/>
                <w:szCs w:val="18"/>
              </w:rPr>
              <w:t xml:space="preserve"> (non-voting)</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Arthur Fusco</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Central Electric Power Cooperative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William Gallagher</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Vermont Public Power Supply Authority</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Bob Gee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Gee Strategies Group, LLC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Michehl Gent</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Open Access Technology International,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Michael Goldenberg</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FERC</w:t>
            </w:r>
            <w:r w:rsidR="003152AE">
              <w:rPr>
                <w:rFonts w:ascii="Times New Roman" w:hAnsi="Times New Roman"/>
                <w:b w:val="0"/>
                <w:szCs w:val="18"/>
              </w:rPr>
              <w:t xml:space="preserve"> (non-voting)</w:t>
            </w:r>
            <w:bookmarkStart w:id="0" w:name="_GoBack"/>
            <w:bookmarkEnd w:id="0"/>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Joseph Hartsoe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American Electric Power Service Corp.</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Jesse D. Hurley</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Shift Research, LLC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Kevin Kirby</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ISO New England,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Richard Kruse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Spectra Energy Transmission</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Gregory Lander</w:t>
            </w:r>
          </w:p>
        </w:tc>
        <w:tc>
          <w:tcPr>
            <w:tcW w:w="6699" w:type="dxa"/>
          </w:tcPr>
          <w:p w:rsidR="00431353" w:rsidRPr="003B4596" w:rsidRDefault="00431353" w:rsidP="003B4596">
            <w:pPr>
              <w:pStyle w:val="Title"/>
              <w:spacing w:before="40" w:after="40"/>
              <w:jc w:val="both"/>
              <w:rPr>
                <w:rFonts w:ascii="Times New Roman" w:hAnsi="Times New Roman"/>
                <w:b w:val="0"/>
                <w:szCs w:val="18"/>
              </w:rPr>
            </w:pPr>
            <w:r w:rsidRPr="003B4596">
              <w:rPr>
                <w:rFonts w:ascii="Times New Roman" w:hAnsi="Times New Roman"/>
                <w:b w:val="0"/>
                <w:szCs w:val="18"/>
              </w:rPr>
              <w:t>Capacity Center</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Wayne Moore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Southern Company</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John Moura</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North American Electric Reliability Corporation</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Rana Mukerji</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New York Independent System Operator, Inc. (NYISO)</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Lou Oberski</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Dominion Resources Services,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Joelle Ogg</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DC Energy</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Randy E. Parker</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 xml:space="preserve">ExxonMobil Gas and Power Marketing Company </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Marty Patterson</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American Midstream Partners, LP</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Keith Sappenfield</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Encana Oil &amp; Gas (USA),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Pam Silberstein</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FERC</w:t>
            </w:r>
            <w:r w:rsidR="003152AE">
              <w:rPr>
                <w:rFonts w:ascii="Times New Roman" w:hAnsi="Times New Roman"/>
                <w:b w:val="0"/>
                <w:szCs w:val="18"/>
              </w:rPr>
              <w:t xml:space="preserve"> (non-voting)</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Commissioner Timothy Simon</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California Public Utility Commission</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Rick Smead</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Navigant Consulting, Inc.</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James Stanzione</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National Grid</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Terence (Terry) Thorn</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KEMA Gas Consulting Services</w:t>
            </w:r>
          </w:p>
        </w:tc>
      </w:tr>
      <w:tr w:rsidR="00431353" w:rsidTr="003B4596">
        <w:tc>
          <w:tcPr>
            <w:tcW w:w="2877" w:type="dxa"/>
          </w:tcPr>
          <w:p w:rsidR="00431353" w:rsidRPr="003B4596" w:rsidRDefault="00431353" w:rsidP="003B4596">
            <w:pPr>
              <w:pStyle w:val="Title"/>
              <w:spacing w:before="40" w:after="40"/>
              <w:jc w:val="left"/>
              <w:rPr>
                <w:rFonts w:ascii="Times New Roman" w:hAnsi="Times New Roman"/>
                <w:szCs w:val="18"/>
              </w:rPr>
            </w:pPr>
            <w:r w:rsidRPr="003B4596">
              <w:rPr>
                <w:rFonts w:ascii="Times New Roman" w:hAnsi="Times New Roman"/>
                <w:szCs w:val="18"/>
              </w:rPr>
              <w:t xml:space="preserve">Sue Tierney </w:t>
            </w:r>
            <w:r w:rsidRPr="003B4596">
              <w:rPr>
                <w:rFonts w:ascii="Times New Roman" w:hAnsi="Times New Roman"/>
                <w:i/>
                <w:szCs w:val="18"/>
              </w:rPr>
              <w:t>(Co-Chair)</w:t>
            </w:r>
          </w:p>
        </w:tc>
        <w:tc>
          <w:tcPr>
            <w:tcW w:w="6699" w:type="dxa"/>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Analysis Group, Inc.</w:t>
            </w:r>
          </w:p>
        </w:tc>
      </w:tr>
      <w:tr w:rsidR="00431353" w:rsidTr="003B4596">
        <w:tc>
          <w:tcPr>
            <w:tcW w:w="2877" w:type="dxa"/>
            <w:tcBorders>
              <w:top w:val="nil"/>
              <w:left w:val="nil"/>
              <w:bottom w:val="single" w:sz="4" w:space="0" w:color="auto"/>
              <w:right w:val="nil"/>
            </w:tcBorders>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Kenneth L. Yeasting</w:t>
            </w:r>
          </w:p>
        </w:tc>
        <w:tc>
          <w:tcPr>
            <w:tcW w:w="6699" w:type="dxa"/>
            <w:tcBorders>
              <w:top w:val="nil"/>
              <w:left w:val="nil"/>
              <w:bottom w:val="single" w:sz="4" w:space="0" w:color="auto"/>
              <w:right w:val="nil"/>
            </w:tcBorders>
          </w:tcPr>
          <w:p w:rsidR="00431353" w:rsidRPr="003B4596" w:rsidRDefault="00431353" w:rsidP="003B4596">
            <w:pPr>
              <w:pStyle w:val="Title"/>
              <w:spacing w:before="40" w:after="40"/>
              <w:jc w:val="left"/>
              <w:rPr>
                <w:rFonts w:ascii="Times New Roman" w:hAnsi="Times New Roman"/>
                <w:b w:val="0"/>
                <w:szCs w:val="18"/>
              </w:rPr>
            </w:pPr>
            <w:r w:rsidRPr="003B4596">
              <w:rPr>
                <w:rFonts w:ascii="Times New Roman" w:hAnsi="Times New Roman"/>
                <w:b w:val="0"/>
                <w:szCs w:val="18"/>
              </w:rPr>
              <w:t>Cambridge Energy Research Associates</w:t>
            </w:r>
          </w:p>
        </w:tc>
      </w:tr>
    </w:tbl>
    <w:p w:rsidR="00431353" w:rsidRDefault="00431353" w:rsidP="00352BB5">
      <w:pPr>
        <w:rPr>
          <w:b/>
        </w:rPr>
      </w:pPr>
    </w:p>
    <w:p w:rsidR="00431353" w:rsidRDefault="00431353" w:rsidP="00352BB5">
      <w:pPr>
        <w:rPr>
          <w:b/>
        </w:rPr>
        <w:sectPr w:rsidR="00431353" w:rsidSect="00AA7E0F">
          <w:headerReference w:type="default" r:id="rId21"/>
          <w:pgSz w:w="12240" w:h="15840" w:code="1"/>
          <w:pgMar w:top="1440" w:right="1440" w:bottom="1440" w:left="1440" w:header="720" w:footer="720" w:gutter="0"/>
          <w:cols w:space="720"/>
          <w:docGrid w:linePitch="360"/>
        </w:sectPr>
      </w:pPr>
    </w:p>
    <w:tbl>
      <w:tblPr>
        <w:tblW w:w="9558" w:type="dxa"/>
        <w:tblLayout w:type="fixed"/>
        <w:tblLook w:val="01E0" w:firstRow="1" w:lastRow="1" w:firstColumn="1" w:lastColumn="1" w:noHBand="0" w:noVBand="0"/>
      </w:tblPr>
      <w:tblGrid>
        <w:gridCol w:w="378"/>
        <w:gridCol w:w="2970"/>
        <w:gridCol w:w="2610"/>
        <w:gridCol w:w="3600"/>
      </w:tblGrid>
      <w:tr w:rsidR="00431353" w:rsidTr="003A1419">
        <w:trPr>
          <w:trHeight w:val="495"/>
          <w:tblHeader/>
        </w:trPr>
        <w:tc>
          <w:tcPr>
            <w:tcW w:w="9558" w:type="dxa"/>
            <w:gridSpan w:val="4"/>
            <w:tcBorders>
              <w:bottom w:val="single" w:sz="4" w:space="0" w:color="auto"/>
            </w:tcBorders>
          </w:tcPr>
          <w:p w:rsidR="00431353" w:rsidRDefault="00431353" w:rsidP="003A1419">
            <w:pPr>
              <w:pStyle w:val="BodyText"/>
              <w:spacing w:before="120" w:after="12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rsidR="00431353" w:rsidTr="003A1419">
        <w:trPr>
          <w:tblHeader/>
        </w:trPr>
        <w:tc>
          <w:tcPr>
            <w:tcW w:w="378" w:type="dxa"/>
            <w:tcBorders>
              <w:top w:val="single" w:sz="4" w:space="0" w:color="auto"/>
              <w:bottom w:val="single" w:sz="4" w:space="0" w:color="auto"/>
            </w:tcBorders>
          </w:tcPr>
          <w:p w:rsidR="00431353" w:rsidRDefault="00431353" w:rsidP="003A1419">
            <w:pPr>
              <w:pStyle w:val="ListParagraph"/>
              <w:numPr>
                <w:ilvl w:val="0"/>
                <w:numId w:val="15"/>
              </w:numPr>
              <w:autoSpaceDE w:val="0"/>
              <w:autoSpaceDN w:val="0"/>
              <w:adjustRightInd w:val="0"/>
              <w:spacing w:before="60"/>
              <w:ind w:left="187" w:hanging="187"/>
              <w:contextualSpacing w:val="0"/>
              <w:rPr>
                <w:rFonts w:ascii="Wingdings" w:hAnsi="Wingdings"/>
                <w:b/>
                <w:sz w:val="18"/>
                <w:szCs w:val="18"/>
              </w:rPr>
            </w:pPr>
            <w:r>
              <w:rPr>
                <w:rFonts w:ascii="Wingdings" w:hAnsi="Wingdings"/>
                <w:b/>
                <w:sz w:val="18"/>
                <w:szCs w:val="18"/>
              </w:rPr>
              <w:t></w:t>
            </w:r>
          </w:p>
        </w:tc>
        <w:tc>
          <w:tcPr>
            <w:tcW w:w="2970" w:type="dxa"/>
            <w:tcBorders>
              <w:top w:val="single" w:sz="4" w:space="0" w:color="auto"/>
              <w:bottom w:val="single" w:sz="4" w:space="0" w:color="auto"/>
            </w:tcBorders>
          </w:tcPr>
          <w:p w:rsidR="00431353" w:rsidRDefault="00431353" w:rsidP="003A1419">
            <w:pPr>
              <w:autoSpaceDE w:val="0"/>
              <w:autoSpaceDN w:val="0"/>
              <w:adjustRightInd w:val="0"/>
              <w:spacing w:before="60" w:after="40"/>
              <w:rPr>
                <w:sz w:val="18"/>
                <w:szCs w:val="18"/>
              </w:rPr>
            </w:pPr>
            <w:r>
              <w:rPr>
                <w:sz w:val="18"/>
                <w:szCs w:val="18"/>
              </w:rPr>
              <w:t>Date/Time</w:t>
            </w:r>
          </w:p>
        </w:tc>
        <w:tc>
          <w:tcPr>
            <w:tcW w:w="2610" w:type="dxa"/>
            <w:tcBorders>
              <w:top w:val="single" w:sz="4" w:space="0" w:color="auto"/>
              <w:bottom w:val="single" w:sz="4" w:space="0" w:color="auto"/>
            </w:tcBorders>
          </w:tcPr>
          <w:p w:rsidR="00431353" w:rsidRDefault="00431353" w:rsidP="003A1419">
            <w:pPr>
              <w:autoSpaceDE w:val="0"/>
              <w:autoSpaceDN w:val="0"/>
              <w:adjustRightInd w:val="0"/>
              <w:spacing w:before="60" w:after="40"/>
              <w:rPr>
                <w:sz w:val="18"/>
                <w:szCs w:val="18"/>
              </w:rPr>
            </w:pPr>
            <w:r>
              <w:rPr>
                <w:sz w:val="18"/>
                <w:szCs w:val="18"/>
              </w:rPr>
              <w:t>Meeting</w:t>
            </w:r>
          </w:p>
        </w:tc>
        <w:tc>
          <w:tcPr>
            <w:tcW w:w="3600" w:type="dxa"/>
            <w:tcBorders>
              <w:top w:val="single" w:sz="4" w:space="0" w:color="auto"/>
              <w:bottom w:val="single" w:sz="4" w:space="0" w:color="auto"/>
            </w:tcBorders>
          </w:tcPr>
          <w:p w:rsidR="00431353" w:rsidRDefault="00431353" w:rsidP="003A1419">
            <w:pPr>
              <w:autoSpaceDE w:val="0"/>
              <w:autoSpaceDN w:val="0"/>
              <w:adjustRightInd w:val="0"/>
              <w:spacing w:before="60" w:after="40"/>
              <w:rPr>
                <w:sz w:val="18"/>
                <w:szCs w:val="18"/>
              </w:rPr>
            </w:pPr>
            <w:r>
              <w:rPr>
                <w:sz w:val="18"/>
                <w:szCs w:val="18"/>
              </w:rPr>
              <w:t>Deliverables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January 27, 1:00 pm to 4:00 pm</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 - Organizational</w:t>
            </w:r>
          </w:p>
        </w:tc>
        <w:tc>
          <w:tcPr>
            <w:tcW w:w="3600" w:type="dxa"/>
          </w:tcPr>
          <w:p w:rsidR="00431353" w:rsidRDefault="00431353" w:rsidP="003A1419">
            <w:pPr>
              <w:autoSpaceDE w:val="0"/>
              <w:autoSpaceDN w:val="0"/>
              <w:adjustRightInd w:val="0"/>
              <w:spacing w:before="60" w:after="40"/>
              <w:rPr>
                <w:sz w:val="18"/>
                <w:szCs w:val="18"/>
              </w:rPr>
            </w:pPr>
            <w:r>
              <w:rPr>
                <w:sz w:val="18"/>
                <w:szCs w:val="18"/>
              </w:rPr>
              <w:t>Introduction to the Committee</w:t>
            </w:r>
          </w:p>
        </w:tc>
      </w:tr>
      <w:tr w:rsidR="00431353" w:rsidTr="003A1419">
        <w:trPr>
          <w:trHeight w:val="243"/>
        </w:trPr>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February 15, 1:00 pm to 4:00 pm</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March 1, 10:00 am to 1:00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Team 2</w:t>
            </w:r>
          </w:p>
        </w:tc>
        <w:tc>
          <w:tcPr>
            <w:tcW w:w="3600" w:type="dxa"/>
          </w:tcPr>
          <w:p w:rsidR="00431353" w:rsidRDefault="00431353" w:rsidP="003A1419">
            <w:pPr>
              <w:autoSpaceDE w:val="0"/>
              <w:autoSpaceDN w:val="0"/>
              <w:adjustRightInd w:val="0"/>
              <w:spacing w:before="60" w:after="40"/>
              <w:rPr>
                <w:sz w:val="18"/>
                <w:szCs w:val="18"/>
              </w:rPr>
            </w:pPr>
            <w:r>
              <w:rPr>
                <w:sz w:val="18"/>
                <w:szCs w:val="18"/>
              </w:rPr>
              <w:t>Work on core issues for coordination of transactions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March 1, 1:30 to 4:30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Team 1</w:t>
            </w:r>
          </w:p>
        </w:tc>
        <w:tc>
          <w:tcPr>
            <w:tcW w:w="3600" w:type="dxa"/>
          </w:tcPr>
          <w:p w:rsidR="00431353" w:rsidRDefault="00431353" w:rsidP="003A1419">
            <w:pPr>
              <w:autoSpaceDE w:val="0"/>
              <w:autoSpaceDN w:val="0"/>
              <w:adjustRightInd w:val="0"/>
              <w:spacing w:before="60" w:after="40"/>
              <w:rPr>
                <w:sz w:val="18"/>
                <w:szCs w:val="18"/>
              </w:rPr>
            </w:pPr>
            <w:r>
              <w:rPr>
                <w:sz w:val="18"/>
                <w:szCs w:val="18"/>
              </w:rPr>
              <w:t>Work on core issues for transparency of information</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March 2, 1:30 to 4:30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Team 3</w:t>
            </w:r>
          </w:p>
        </w:tc>
        <w:tc>
          <w:tcPr>
            <w:tcW w:w="3600" w:type="dxa"/>
          </w:tcPr>
          <w:p w:rsidR="00431353" w:rsidRDefault="00431353" w:rsidP="003A1419">
            <w:pPr>
              <w:autoSpaceDE w:val="0"/>
              <w:autoSpaceDN w:val="0"/>
              <w:adjustRightInd w:val="0"/>
              <w:spacing w:before="60" w:after="40"/>
              <w:rPr>
                <w:sz w:val="18"/>
                <w:szCs w:val="18"/>
              </w:rPr>
            </w:pPr>
            <w:r>
              <w:rPr>
                <w:sz w:val="18"/>
                <w:szCs w:val="18"/>
              </w:rPr>
              <w:t>Work on core issues on commercial/operational issues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March 5, 1:30 to 2:30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Leadership Team</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of the teams and determine direction</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March 16, 9:00 am to 10:00 am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of the teams, revise and prepare for NAESB Board meetings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 xml:space="preserve">March  20, 1:00 pm to 4:00 pm </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of the teams, revise and prepare for NAESB Board meetings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March 22  – 9:00 am to 1:00 pm</w:t>
            </w:r>
          </w:p>
        </w:tc>
        <w:tc>
          <w:tcPr>
            <w:tcW w:w="2610" w:type="dxa"/>
          </w:tcPr>
          <w:p w:rsidR="00431353" w:rsidRDefault="00431353" w:rsidP="003A1419">
            <w:pPr>
              <w:autoSpaceDE w:val="0"/>
              <w:autoSpaceDN w:val="0"/>
              <w:adjustRightInd w:val="0"/>
              <w:spacing w:before="60" w:after="40"/>
              <w:rPr>
                <w:sz w:val="18"/>
                <w:szCs w:val="18"/>
              </w:rPr>
            </w:pPr>
            <w:r>
              <w:rPr>
                <w:sz w:val="18"/>
                <w:szCs w:val="18"/>
              </w:rPr>
              <w:t>NAESB Board Meeting, Houston</w:t>
            </w:r>
          </w:p>
        </w:tc>
        <w:tc>
          <w:tcPr>
            <w:tcW w:w="3600" w:type="dxa"/>
          </w:tcPr>
          <w:p w:rsidR="00431353" w:rsidRDefault="00431353" w:rsidP="003A1419">
            <w:pPr>
              <w:tabs>
                <w:tab w:val="left" w:pos="2520"/>
                <w:tab w:val="left" w:pos="2970"/>
              </w:tabs>
              <w:autoSpaceDE w:val="0"/>
              <w:autoSpaceDN w:val="0"/>
              <w:adjustRightInd w:val="0"/>
              <w:spacing w:before="60" w:after="40"/>
              <w:rPr>
                <w:sz w:val="18"/>
                <w:szCs w:val="18"/>
              </w:rPr>
            </w:pPr>
            <w:r>
              <w:rPr>
                <w:sz w:val="18"/>
                <w:szCs w:val="18"/>
              </w:rPr>
              <w:t>Review of Progress of Committee</w:t>
            </w:r>
          </w:p>
        </w:tc>
      </w:tr>
      <w:tr w:rsidR="00431353" w:rsidTr="003A1419">
        <w:tc>
          <w:tcPr>
            <w:tcW w:w="378" w:type="dxa"/>
          </w:tcPr>
          <w:p w:rsidR="00431353" w:rsidRDefault="00431353" w:rsidP="003A1419">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rsidR="00431353" w:rsidRDefault="00431353" w:rsidP="003A1419">
            <w:pPr>
              <w:autoSpaceDE w:val="0"/>
              <w:autoSpaceDN w:val="0"/>
              <w:adjustRightInd w:val="0"/>
              <w:spacing w:before="60" w:after="40"/>
              <w:rPr>
                <w:sz w:val="18"/>
                <w:szCs w:val="18"/>
              </w:rPr>
            </w:pPr>
            <w:r>
              <w:rPr>
                <w:sz w:val="18"/>
                <w:szCs w:val="18"/>
              </w:rPr>
              <w:t>April 4, 1:00 pm to 4:00 pm (Cancelled)</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 xml:space="preserve">April 24, 10:00 am to 4:00 pm E </w:t>
            </w:r>
          </w:p>
        </w:tc>
        <w:tc>
          <w:tcPr>
            <w:tcW w:w="2610" w:type="dxa"/>
          </w:tcPr>
          <w:p w:rsidR="00431353" w:rsidRDefault="00431353" w:rsidP="003A1419">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 Discuss categories and prepare survey</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 xml:space="preserve">May 16, 1:00 pm to 4:00 pm C </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recommendations based on survey responses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 xml:space="preserve">June 8, 10:00 am to 4:00 pm E </w:t>
            </w:r>
          </w:p>
        </w:tc>
        <w:tc>
          <w:tcPr>
            <w:tcW w:w="2610" w:type="dxa"/>
          </w:tcPr>
          <w:p w:rsidR="00431353" w:rsidRDefault="00431353" w:rsidP="003A1419">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 xml:space="preserve">June 19, 1:00 pm to 4:00 pm C </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June 21 – 9:00 am to 1:00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NAESB Board Meeting, Houston</w:t>
            </w:r>
          </w:p>
        </w:tc>
        <w:tc>
          <w:tcPr>
            <w:tcW w:w="3600" w:type="dxa"/>
          </w:tcPr>
          <w:p w:rsidR="00431353" w:rsidRDefault="00431353" w:rsidP="003A1419">
            <w:pPr>
              <w:tabs>
                <w:tab w:val="left" w:pos="2520"/>
                <w:tab w:val="left" w:pos="2970"/>
              </w:tabs>
              <w:autoSpaceDE w:val="0"/>
              <w:autoSpaceDN w:val="0"/>
              <w:adjustRightInd w:val="0"/>
              <w:spacing w:before="60" w:after="40"/>
              <w:rPr>
                <w:sz w:val="18"/>
                <w:szCs w:val="18"/>
              </w:rPr>
            </w:pPr>
            <w:r>
              <w:rPr>
                <w:sz w:val="18"/>
                <w:szCs w:val="18"/>
              </w:rPr>
              <w:t>Review of Progress of Committee with Possible Board Vote to Approve Recommendations</w:t>
            </w:r>
          </w:p>
        </w:tc>
      </w:tr>
      <w:tr w:rsidR="00431353" w:rsidTr="003A1419">
        <w:tc>
          <w:tcPr>
            <w:tcW w:w="378" w:type="dxa"/>
          </w:tcPr>
          <w:p w:rsidR="00431353"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July 18 – 1:00 pm to 4:00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formation of recommendations to the Board of Directors</w:t>
            </w:r>
          </w:p>
        </w:tc>
      </w:tr>
      <w:tr w:rsidR="00431353" w:rsidTr="003A1419">
        <w:tc>
          <w:tcPr>
            <w:tcW w:w="378" w:type="dxa"/>
          </w:tcPr>
          <w:p w:rsidR="00431353" w:rsidRPr="00C22D37"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r w:rsidRPr="00C22D37">
              <w:rPr>
                <w:b/>
                <w:i/>
                <w:sz w:val="18"/>
                <w:szCs w:val="18"/>
              </w:rPr>
              <w:t xml:space="preserve"> </w:t>
            </w:r>
          </w:p>
        </w:tc>
        <w:tc>
          <w:tcPr>
            <w:tcW w:w="2970" w:type="dxa"/>
          </w:tcPr>
          <w:p w:rsidR="00431353" w:rsidRDefault="00431353" w:rsidP="003A1419">
            <w:pPr>
              <w:autoSpaceDE w:val="0"/>
              <w:autoSpaceDN w:val="0"/>
              <w:adjustRightInd w:val="0"/>
              <w:spacing w:before="60" w:after="40"/>
              <w:rPr>
                <w:sz w:val="18"/>
                <w:szCs w:val="18"/>
              </w:rPr>
            </w:pPr>
            <w:r>
              <w:rPr>
                <w:sz w:val="18"/>
                <w:szCs w:val="18"/>
              </w:rPr>
              <w:t>August 2 – 10:00 am to 4:00 pm E</w:t>
            </w:r>
          </w:p>
        </w:tc>
        <w:tc>
          <w:tcPr>
            <w:tcW w:w="2610" w:type="dxa"/>
          </w:tcPr>
          <w:p w:rsidR="00431353" w:rsidRDefault="00431353" w:rsidP="003A1419">
            <w:pPr>
              <w:autoSpaceDE w:val="0"/>
              <w:autoSpaceDN w:val="0"/>
              <w:adjustRightInd w:val="0"/>
              <w:spacing w:before="60" w:after="40"/>
              <w:rPr>
                <w:sz w:val="18"/>
                <w:szCs w:val="18"/>
              </w:rPr>
            </w:pPr>
            <w:r>
              <w:rPr>
                <w:sz w:val="18"/>
                <w:szCs w:val="18"/>
              </w:rPr>
              <w:t>Meeting, Conference Call &amp; Web Cast, Baltimore, MD</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Review Work Plan and Assignments and Progress Made to date regarding drafting recommendations to the Board of Directors</w:t>
            </w:r>
          </w:p>
        </w:tc>
      </w:tr>
      <w:tr w:rsidR="00431353" w:rsidTr="003A1419">
        <w:tc>
          <w:tcPr>
            <w:tcW w:w="378" w:type="dxa"/>
          </w:tcPr>
          <w:p w:rsidR="00431353" w:rsidRPr="00C22D37" w:rsidRDefault="00431353" w:rsidP="003A1419">
            <w:pPr>
              <w:pStyle w:val="ListParagraph"/>
              <w:numPr>
                <w:ilvl w:val="0"/>
                <w:numId w:val="15"/>
              </w:numPr>
              <w:autoSpaceDE w:val="0"/>
              <w:autoSpaceDN w:val="0"/>
              <w:adjustRightInd w:val="0"/>
              <w:spacing w:before="120" w:after="40"/>
              <w:ind w:left="180" w:hanging="180"/>
              <w:contextualSpacing w:val="0"/>
              <w:rPr>
                <w:b/>
                <w:i/>
                <w:sz w:val="18"/>
                <w:szCs w:val="18"/>
              </w:rPr>
            </w:pPr>
          </w:p>
        </w:tc>
        <w:tc>
          <w:tcPr>
            <w:tcW w:w="2970" w:type="dxa"/>
          </w:tcPr>
          <w:p w:rsidR="00431353" w:rsidRDefault="00431353" w:rsidP="003A1419">
            <w:pPr>
              <w:autoSpaceDE w:val="0"/>
              <w:autoSpaceDN w:val="0"/>
              <w:adjustRightInd w:val="0"/>
              <w:spacing w:before="60" w:after="40"/>
              <w:rPr>
                <w:sz w:val="18"/>
                <w:szCs w:val="18"/>
              </w:rPr>
            </w:pPr>
            <w:r>
              <w:rPr>
                <w:sz w:val="18"/>
                <w:szCs w:val="18"/>
              </w:rPr>
              <w:t>August 27 – 1:00 pm to 4:00 pm C</w:t>
            </w:r>
          </w:p>
        </w:tc>
        <w:tc>
          <w:tcPr>
            <w:tcW w:w="2610" w:type="dxa"/>
          </w:tcPr>
          <w:p w:rsidR="00431353" w:rsidRDefault="00431353" w:rsidP="003A1419">
            <w:pPr>
              <w:autoSpaceDE w:val="0"/>
              <w:autoSpaceDN w:val="0"/>
              <w:adjustRightInd w:val="0"/>
              <w:spacing w:before="60" w:after="40"/>
              <w:rPr>
                <w:sz w:val="18"/>
                <w:szCs w:val="18"/>
              </w:rPr>
            </w:pPr>
            <w:r>
              <w:rPr>
                <w:sz w:val="18"/>
                <w:szCs w:val="18"/>
              </w:rPr>
              <w:t>Conference Call &amp; Web Cast</w:t>
            </w:r>
            <w:r>
              <w:rPr>
                <w:sz w:val="18"/>
                <w:szCs w:val="18"/>
              </w:rPr>
              <w:br/>
              <w:t>Full Committee</w:t>
            </w:r>
          </w:p>
        </w:tc>
        <w:tc>
          <w:tcPr>
            <w:tcW w:w="3600" w:type="dxa"/>
          </w:tcPr>
          <w:p w:rsidR="00431353" w:rsidRDefault="00431353" w:rsidP="003A1419">
            <w:pPr>
              <w:autoSpaceDE w:val="0"/>
              <w:autoSpaceDN w:val="0"/>
              <w:adjustRightInd w:val="0"/>
              <w:spacing w:before="60" w:after="40"/>
              <w:rPr>
                <w:sz w:val="18"/>
                <w:szCs w:val="18"/>
              </w:rPr>
            </w:pPr>
            <w:r>
              <w:rPr>
                <w:sz w:val="18"/>
                <w:szCs w:val="18"/>
              </w:rPr>
              <w:t xml:space="preserve">Review Draft Report and Vote </w:t>
            </w:r>
          </w:p>
        </w:tc>
      </w:tr>
      <w:tr w:rsidR="00431353" w:rsidTr="003A1419">
        <w:tc>
          <w:tcPr>
            <w:tcW w:w="378" w:type="dxa"/>
            <w:tcBorders>
              <w:bottom w:val="single" w:sz="4" w:space="0" w:color="auto"/>
            </w:tcBorders>
          </w:tcPr>
          <w:p w:rsidR="00431353" w:rsidRDefault="00431353" w:rsidP="003A1419">
            <w:pPr>
              <w:autoSpaceDE w:val="0"/>
              <w:autoSpaceDN w:val="0"/>
              <w:adjustRightInd w:val="0"/>
              <w:spacing w:before="120" w:after="40"/>
              <w:jc w:val="right"/>
              <w:rPr>
                <w:sz w:val="18"/>
                <w:szCs w:val="18"/>
              </w:rPr>
            </w:pPr>
          </w:p>
        </w:tc>
        <w:tc>
          <w:tcPr>
            <w:tcW w:w="2970" w:type="dxa"/>
            <w:tcBorders>
              <w:bottom w:val="single" w:sz="4" w:space="0" w:color="auto"/>
            </w:tcBorders>
          </w:tcPr>
          <w:p w:rsidR="00431353" w:rsidRDefault="00431353" w:rsidP="003A1419">
            <w:pPr>
              <w:autoSpaceDE w:val="0"/>
              <w:autoSpaceDN w:val="0"/>
              <w:adjustRightInd w:val="0"/>
              <w:spacing w:before="60" w:after="40"/>
              <w:rPr>
                <w:sz w:val="18"/>
                <w:szCs w:val="18"/>
              </w:rPr>
            </w:pPr>
            <w:r>
              <w:rPr>
                <w:sz w:val="18"/>
                <w:szCs w:val="18"/>
              </w:rPr>
              <w:t>September 20, 9:00 am to 1:00 pm C</w:t>
            </w:r>
          </w:p>
        </w:tc>
        <w:tc>
          <w:tcPr>
            <w:tcW w:w="2610" w:type="dxa"/>
            <w:tcBorders>
              <w:bottom w:val="single" w:sz="4" w:space="0" w:color="auto"/>
            </w:tcBorders>
          </w:tcPr>
          <w:p w:rsidR="00431353" w:rsidRDefault="00431353" w:rsidP="003A1419">
            <w:pPr>
              <w:autoSpaceDE w:val="0"/>
              <w:autoSpaceDN w:val="0"/>
              <w:adjustRightInd w:val="0"/>
              <w:spacing w:before="60" w:after="40"/>
              <w:rPr>
                <w:sz w:val="18"/>
                <w:szCs w:val="18"/>
              </w:rPr>
            </w:pPr>
            <w:r>
              <w:rPr>
                <w:sz w:val="18"/>
                <w:szCs w:val="18"/>
              </w:rPr>
              <w:t>NAESB Board Meeting, Houston</w:t>
            </w:r>
          </w:p>
        </w:tc>
        <w:tc>
          <w:tcPr>
            <w:tcW w:w="3600" w:type="dxa"/>
            <w:tcBorders>
              <w:bottom w:val="single" w:sz="4" w:space="0" w:color="auto"/>
            </w:tcBorders>
          </w:tcPr>
          <w:p w:rsidR="00431353" w:rsidRDefault="00431353" w:rsidP="003A1419">
            <w:pPr>
              <w:tabs>
                <w:tab w:val="left" w:pos="2520"/>
                <w:tab w:val="left" w:pos="2970"/>
              </w:tabs>
              <w:autoSpaceDE w:val="0"/>
              <w:autoSpaceDN w:val="0"/>
              <w:adjustRightInd w:val="0"/>
              <w:spacing w:before="60" w:after="40"/>
              <w:rPr>
                <w:sz w:val="18"/>
                <w:szCs w:val="18"/>
              </w:rPr>
            </w:pPr>
            <w:r>
              <w:rPr>
                <w:sz w:val="18"/>
                <w:szCs w:val="18"/>
              </w:rPr>
              <w:t>Review of Progress of Committee with Possible Board Vote to Approve Recommendations</w:t>
            </w:r>
          </w:p>
        </w:tc>
      </w:tr>
    </w:tbl>
    <w:p w:rsidR="00431353" w:rsidRDefault="00431353" w:rsidP="00352BB5">
      <w:pPr>
        <w:rPr>
          <w:b/>
        </w:rPr>
      </w:pPr>
    </w:p>
    <w:p w:rsidR="00431353" w:rsidRDefault="00431353" w:rsidP="00352BB5">
      <w:pPr>
        <w:rPr>
          <w:b/>
        </w:rPr>
      </w:pPr>
    </w:p>
    <w:p w:rsidR="00431353" w:rsidRDefault="00431353" w:rsidP="00352BB5">
      <w:pPr>
        <w:rPr>
          <w:b/>
        </w:rPr>
        <w:sectPr w:rsidR="00431353" w:rsidSect="00AA7E0F">
          <w:headerReference w:type="default" r:id="rId22"/>
          <w:pgSz w:w="12240" w:h="15840" w:code="1"/>
          <w:pgMar w:top="1440" w:right="1440" w:bottom="1440" w:left="1440" w:header="720" w:footer="720" w:gutter="0"/>
          <w:cols w:space="720"/>
          <w:docGrid w:linePitch="360"/>
        </w:sectPr>
      </w:pPr>
    </w:p>
    <w:tbl>
      <w:tblPr>
        <w:tblW w:w="0" w:type="auto"/>
        <w:tblLayout w:type="fixed"/>
        <w:tblLook w:val="01E0" w:firstRow="1" w:lastRow="1" w:firstColumn="1" w:lastColumn="1" w:noHBand="0" w:noVBand="0"/>
      </w:tblPr>
      <w:tblGrid>
        <w:gridCol w:w="468"/>
        <w:gridCol w:w="4950"/>
        <w:gridCol w:w="4605"/>
      </w:tblGrid>
      <w:tr w:rsidR="00431353" w:rsidTr="003B4596">
        <w:trPr>
          <w:tblHeader/>
        </w:trPr>
        <w:tc>
          <w:tcPr>
            <w:tcW w:w="10023" w:type="dxa"/>
            <w:gridSpan w:val="3"/>
            <w:tcBorders>
              <w:bottom w:val="single" w:sz="4" w:space="0" w:color="auto"/>
            </w:tcBorders>
          </w:tcPr>
          <w:p w:rsidR="00431353" w:rsidRPr="003B4596" w:rsidRDefault="00431353" w:rsidP="003B4596">
            <w:pPr>
              <w:pStyle w:val="Title"/>
              <w:spacing w:before="120" w:after="120"/>
              <w:rPr>
                <w:rFonts w:ascii="Times New Roman" w:hAnsi="Times New Roman"/>
                <w:szCs w:val="18"/>
              </w:rPr>
            </w:pPr>
            <w:r w:rsidRPr="003B4596">
              <w:rPr>
                <w:rFonts w:ascii="Times New Roman" w:hAnsi="Times New Roman"/>
                <w:szCs w:val="18"/>
              </w:rPr>
              <w:lastRenderedPageBreak/>
              <w:t xml:space="preserve">NAESB Gas-Electric Harmonization Committee – Reference Documents </w:t>
            </w:r>
          </w:p>
        </w:tc>
      </w:tr>
      <w:tr w:rsidR="00431353" w:rsidTr="003B4596">
        <w:trPr>
          <w:tblHeader/>
        </w:trPr>
        <w:tc>
          <w:tcPr>
            <w:tcW w:w="468" w:type="dxa"/>
            <w:tcBorders>
              <w:top w:val="single" w:sz="4" w:space="0" w:color="auto"/>
              <w:bottom w:val="single" w:sz="4" w:space="0" w:color="auto"/>
            </w:tcBorders>
          </w:tcPr>
          <w:p w:rsidR="00431353" w:rsidRPr="003B4596" w:rsidRDefault="00431353" w:rsidP="003A1419">
            <w:pPr>
              <w:pStyle w:val="Title"/>
              <w:rPr>
                <w:rFonts w:ascii="Times New Roman" w:hAnsi="Times New Roman"/>
                <w:szCs w:val="18"/>
              </w:rPr>
            </w:pPr>
            <w:r w:rsidRPr="003B4596">
              <w:rPr>
                <w:rFonts w:ascii="Times New Roman" w:hAnsi="Times New Roman"/>
                <w:szCs w:val="18"/>
              </w:rPr>
              <w:t>#</w:t>
            </w:r>
          </w:p>
        </w:tc>
        <w:tc>
          <w:tcPr>
            <w:tcW w:w="4950" w:type="dxa"/>
            <w:tcBorders>
              <w:top w:val="single" w:sz="4" w:space="0" w:color="auto"/>
              <w:bottom w:val="single" w:sz="4" w:space="0" w:color="auto"/>
            </w:tcBorders>
          </w:tcPr>
          <w:p w:rsidR="00431353" w:rsidRPr="003B4596" w:rsidRDefault="00431353" w:rsidP="003A1419">
            <w:pPr>
              <w:pStyle w:val="Title"/>
              <w:rPr>
                <w:rFonts w:ascii="Times New Roman" w:hAnsi="Times New Roman"/>
                <w:szCs w:val="18"/>
              </w:rPr>
            </w:pPr>
            <w:r w:rsidRPr="003B4596">
              <w:rPr>
                <w:rFonts w:ascii="Times New Roman" w:hAnsi="Times New Roman"/>
                <w:szCs w:val="18"/>
              </w:rPr>
              <w:t>Document</w:t>
            </w:r>
          </w:p>
        </w:tc>
        <w:tc>
          <w:tcPr>
            <w:tcW w:w="4605" w:type="dxa"/>
            <w:tcBorders>
              <w:top w:val="single" w:sz="4" w:space="0" w:color="auto"/>
              <w:bottom w:val="single" w:sz="4" w:space="0" w:color="auto"/>
            </w:tcBorders>
          </w:tcPr>
          <w:p w:rsidR="00431353" w:rsidRPr="003B4596" w:rsidRDefault="00431353" w:rsidP="003A1419">
            <w:pPr>
              <w:pStyle w:val="Title"/>
              <w:rPr>
                <w:rFonts w:ascii="Times New Roman" w:hAnsi="Times New Roman"/>
                <w:szCs w:val="18"/>
              </w:rPr>
            </w:pPr>
            <w:r w:rsidRPr="003B4596">
              <w:rPr>
                <w:rFonts w:ascii="Times New Roman" w:hAnsi="Times New Roman"/>
                <w:szCs w:val="18"/>
              </w:rPr>
              <w:t>Link</w:t>
            </w:r>
          </w:p>
        </w:tc>
      </w:tr>
      <w:tr w:rsidR="00431353" w:rsidTr="003B4596">
        <w:tc>
          <w:tcPr>
            <w:tcW w:w="468" w:type="dxa"/>
            <w:tcBorders>
              <w:top w:val="single" w:sz="4" w:space="0" w:color="auto"/>
            </w:tcBorders>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w:t>
            </w:r>
          </w:p>
        </w:tc>
        <w:tc>
          <w:tcPr>
            <w:tcW w:w="4950" w:type="dxa"/>
            <w:tcBorders>
              <w:top w:val="single" w:sz="4" w:space="0" w:color="auto"/>
            </w:tcBorders>
          </w:tcPr>
          <w:p w:rsidR="00431353" w:rsidRPr="003B4596" w:rsidRDefault="00431353" w:rsidP="003B4596">
            <w:pPr>
              <w:spacing w:before="120" w:after="60"/>
              <w:rPr>
                <w:sz w:val="18"/>
                <w:szCs w:val="18"/>
              </w:rPr>
            </w:pPr>
            <w:r w:rsidRPr="003B4596">
              <w:rPr>
                <w:sz w:val="18"/>
                <w:szCs w:val="18"/>
              </w:rPr>
              <w:t>MIT Study, The Future of the Electric Grid</w:t>
            </w:r>
          </w:p>
        </w:tc>
        <w:tc>
          <w:tcPr>
            <w:tcW w:w="4605" w:type="dxa"/>
            <w:tcBorders>
              <w:top w:val="single" w:sz="4" w:space="0" w:color="auto"/>
            </w:tcBorders>
          </w:tcPr>
          <w:p w:rsidR="00431353" w:rsidRPr="003B4596" w:rsidRDefault="0061729E" w:rsidP="003B4596">
            <w:pPr>
              <w:spacing w:before="120" w:after="60"/>
              <w:ind w:left="1"/>
              <w:rPr>
                <w:sz w:val="18"/>
                <w:szCs w:val="18"/>
              </w:rPr>
            </w:pPr>
            <w:hyperlink r:id="rId23" w:history="1">
              <w:r w:rsidR="00431353" w:rsidRPr="003B4596">
                <w:rPr>
                  <w:rStyle w:val="Hyperlink"/>
                  <w:sz w:val="18"/>
                  <w:szCs w:val="18"/>
                </w:rPr>
                <w:t>http://web.mit.edu/mitei/research/studies/documents/electric-grid-2011/Electric_Grid_Full_Report.pdf</w:t>
              </w:r>
            </w:hyperlink>
            <w:r w:rsidR="00431353" w:rsidRPr="003B4596">
              <w:rPr>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w:t>
            </w:r>
          </w:p>
        </w:tc>
        <w:tc>
          <w:tcPr>
            <w:tcW w:w="4950" w:type="dxa"/>
          </w:tcPr>
          <w:p w:rsidR="00431353" w:rsidRPr="003B4596" w:rsidRDefault="00431353" w:rsidP="003B4596">
            <w:pPr>
              <w:spacing w:before="120" w:after="60"/>
              <w:rPr>
                <w:sz w:val="18"/>
                <w:szCs w:val="18"/>
              </w:rPr>
            </w:pPr>
            <w:r w:rsidRPr="003B4596">
              <w:rPr>
                <w:sz w:val="18"/>
                <w:szCs w:val="18"/>
              </w:rPr>
              <w:t>MIT Study, The Future of Natural Gas</w:t>
            </w:r>
          </w:p>
        </w:tc>
        <w:tc>
          <w:tcPr>
            <w:tcW w:w="4605" w:type="dxa"/>
          </w:tcPr>
          <w:p w:rsidR="00431353" w:rsidRPr="003B4596" w:rsidRDefault="0061729E" w:rsidP="003B4596">
            <w:pPr>
              <w:spacing w:before="120" w:after="60"/>
              <w:ind w:left="1"/>
              <w:rPr>
                <w:sz w:val="18"/>
                <w:szCs w:val="18"/>
              </w:rPr>
            </w:pPr>
            <w:hyperlink r:id="rId24" w:history="1">
              <w:r w:rsidR="00431353" w:rsidRPr="003B4596">
                <w:rPr>
                  <w:rStyle w:val="Hyperlink"/>
                  <w:sz w:val="18"/>
                  <w:szCs w:val="18"/>
                </w:rPr>
                <w:t>http://web.mit.edu/mitei/research/studies/documents/natural-gas-2011/NaturalGas_Report.pdf</w:t>
              </w:r>
            </w:hyperlink>
            <w:r w:rsidR="00431353" w:rsidRPr="003B4596">
              <w:rPr>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3</w:t>
            </w:r>
          </w:p>
        </w:tc>
        <w:tc>
          <w:tcPr>
            <w:tcW w:w="4950" w:type="dxa"/>
          </w:tcPr>
          <w:p w:rsidR="00431353" w:rsidRPr="003B4596" w:rsidRDefault="00431353" w:rsidP="003B4596">
            <w:pPr>
              <w:spacing w:before="120" w:after="60"/>
              <w:rPr>
                <w:sz w:val="18"/>
                <w:szCs w:val="18"/>
              </w:rPr>
            </w:pPr>
            <w:r w:rsidRPr="003B4596">
              <w:rPr>
                <w:sz w:val="18"/>
                <w:szCs w:val="18"/>
              </w:rPr>
              <w:t>FERC-NERC Joint Task Force Report on Outages and curtailments During the Southwest Weather Event on February 1-5, 2011</w:t>
            </w:r>
          </w:p>
        </w:tc>
        <w:tc>
          <w:tcPr>
            <w:tcW w:w="4605" w:type="dxa"/>
          </w:tcPr>
          <w:p w:rsidR="00431353" w:rsidRPr="003B4596" w:rsidRDefault="0061729E" w:rsidP="003B4596">
            <w:pPr>
              <w:spacing w:before="120" w:after="60"/>
              <w:ind w:left="1"/>
              <w:rPr>
                <w:sz w:val="18"/>
                <w:szCs w:val="18"/>
              </w:rPr>
            </w:pPr>
            <w:hyperlink r:id="rId25" w:history="1">
              <w:r w:rsidR="00431353" w:rsidRPr="003B4596">
                <w:rPr>
                  <w:rStyle w:val="Hyperlink"/>
                  <w:sz w:val="18"/>
                  <w:szCs w:val="18"/>
                </w:rPr>
                <w:t>http://www.ferc.gov/legal/staff-reports/08-16-11-report.pdf</w:t>
              </w:r>
            </w:hyperlink>
            <w:r w:rsidR="00431353" w:rsidRPr="003B4596">
              <w:rPr>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4</w:t>
            </w:r>
          </w:p>
        </w:tc>
        <w:tc>
          <w:tcPr>
            <w:tcW w:w="4950" w:type="dxa"/>
          </w:tcPr>
          <w:p w:rsidR="00431353" w:rsidRPr="003B4596" w:rsidRDefault="00431353" w:rsidP="003B4596">
            <w:pPr>
              <w:spacing w:before="120" w:after="60"/>
              <w:rPr>
                <w:sz w:val="18"/>
                <w:szCs w:val="18"/>
              </w:rPr>
            </w:pPr>
            <w:r w:rsidRPr="003B4596">
              <w:rPr>
                <w:sz w:val="18"/>
                <w:szCs w:val="18"/>
              </w:rPr>
              <w:t>North American Natural Gas Midstream Infrastructure Through 2035: A Secure Energy Future Executive Summary Prepared by the INGAA Foundation</w:t>
            </w:r>
          </w:p>
        </w:tc>
        <w:tc>
          <w:tcPr>
            <w:tcW w:w="4605" w:type="dxa"/>
          </w:tcPr>
          <w:p w:rsidR="00431353" w:rsidRPr="003B4596" w:rsidRDefault="0061729E" w:rsidP="003B4596">
            <w:pPr>
              <w:spacing w:before="120" w:after="60"/>
              <w:ind w:left="1"/>
              <w:rPr>
                <w:sz w:val="18"/>
                <w:szCs w:val="18"/>
              </w:rPr>
            </w:pPr>
            <w:hyperlink r:id="rId26" w:history="1">
              <w:r w:rsidR="00431353" w:rsidRPr="003B4596">
                <w:rPr>
                  <w:rStyle w:val="Hyperlink"/>
                  <w:sz w:val="18"/>
                  <w:szCs w:val="18"/>
                </w:rPr>
                <w:t>http://www.ingaa.org/File.aspx?id=14911</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5</w:t>
            </w:r>
          </w:p>
        </w:tc>
        <w:tc>
          <w:tcPr>
            <w:tcW w:w="4950" w:type="dxa"/>
          </w:tcPr>
          <w:p w:rsidR="00431353" w:rsidRPr="003B4596" w:rsidRDefault="00431353" w:rsidP="003B4596">
            <w:pPr>
              <w:spacing w:before="120" w:after="60"/>
              <w:rPr>
                <w:sz w:val="18"/>
                <w:szCs w:val="18"/>
              </w:rPr>
            </w:pPr>
            <w:r w:rsidRPr="003B4596">
              <w:rPr>
                <w:sz w:val="18"/>
                <w:szCs w:val="18"/>
              </w:rPr>
              <w:t>Implications of Greater Reliance on Natural Gas For Electricity Generation Prepared For the American Public Power Association</w:t>
            </w:r>
          </w:p>
        </w:tc>
        <w:tc>
          <w:tcPr>
            <w:tcW w:w="4605" w:type="dxa"/>
          </w:tcPr>
          <w:p w:rsidR="00431353" w:rsidRPr="003B4596" w:rsidRDefault="0061729E" w:rsidP="003B4596">
            <w:pPr>
              <w:spacing w:before="120" w:after="60"/>
              <w:ind w:left="1"/>
              <w:rPr>
                <w:sz w:val="18"/>
                <w:szCs w:val="18"/>
              </w:rPr>
            </w:pPr>
            <w:hyperlink r:id="rId27" w:history="1">
              <w:r w:rsidR="00431353" w:rsidRPr="003B4596">
                <w:rPr>
                  <w:rStyle w:val="Hyperlink"/>
                  <w:sz w:val="18"/>
                  <w:szCs w:val="18"/>
                </w:rPr>
                <w:t>http://www.publicpower.org/files/PDFs/ImplicationsOfGreaterRelianceOnNGforElectricityGeneration.pdf</w:t>
              </w:r>
            </w:hyperlink>
            <w:r w:rsidR="00431353" w:rsidRPr="003B4596">
              <w:rPr>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6</w:t>
            </w:r>
          </w:p>
        </w:tc>
        <w:tc>
          <w:tcPr>
            <w:tcW w:w="4950" w:type="dxa"/>
          </w:tcPr>
          <w:p w:rsidR="00431353" w:rsidRPr="003B4596" w:rsidRDefault="00431353" w:rsidP="003B4596">
            <w:pPr>
              <w:spacing w:before="120" w:after="60"/>
              <w:rPr>
                <w:sz w:val="18"/>
                <w:szCs w:val="18"/>
              </w:rPr>
            </w:pPr>
            <w:r w:rsidRPr="003B4596">
              <w:rPr>
                <w:sz w:val="18"/>
                <w:szCs w:val="18"/>
              </w:rPr>
              <w:t>NAESB current Gas Nomination Standards and Gas-electric Coordination Standards</w:t>
            </w:r>
          </w:p>
        </w:tc>
        <w:tc>
          <w:tcPr>
            <w:tcW w:w="4605" w:type="dxa"/>
          </w:tcPr>
          <w:p w:rsidR="00431353" w:rsidRPr="003B4596" w:rsidRDefault="0061729E" w:rsidP="003B4596">
            <w:pPr>
              <w:spacing w:before="120" w:after="60"/>
              <w:ind w:left="1"/>
              <w:rPr>
                <w:sz w:val="18"/>
                <w:szCs w:val="18"/>
              </w:rPr>
            </w:pPr>
            <w:hyperlink r:id="rId28" w:history="1">
              <w:r w:rsidR="00431353" w:rsidRPr="003B4596">
                <w:rPr>
                  <w:rStyle w:val="Hyperlink"/>
                  <w:sz w:val="18"/>
                  <w:szCs w:val="18"/>
                </w:rPr>
                <w:t>http://www.naesb.org/misc/geh_related_standards.docx</w:t>
              </w:r>
            </w:hyperlink>
            <w:r w:rsidR="00431353" w:rsidRPr="003B4596">
              <w:rPr>
                <w:color w:val="000000"/>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7</w:t>
            </w:r>
          </w:p>
        </w:tc>
        <w:tc>
          <w:tcPr>
            <w:tcW w:w="4950" w:type="dxa"/>
          </w:tcPr>
          <w:p w:rsidR="00431353" w:rsidRPr="003B4596" w:rsidRDefault="00431353" w:rsidP="003B4596">
            <w:pPr>
              <w:spacing w:before="120" w:after="60"/>
              <w:rPr>
                <w:color w:val="1F497D"/>
                <w:sz w:val="18"/>
                <w:szCs w:val="18"/>
              </w:rPr>
            </w:pPr>
            <w:r w:rsidRPr="003B4596">
              <w:rPr>
                <w:sz w:val="18"/>
                <w:szCs w:val="18"/>
              </w:rPr>
              <w:t>Electricity Advisory Committee Interdependence of Electricity System Infrastructure and Natural Gas Infrastructure</w:t>
            </w:r>
          </w:p>
        </w:tc>
        <w:tc>
          <w:tcPr>
            <w:tcW w:w="4605" w:type="dxa"/>
          </w:tcPr>
          <w:p w:rsidR="00431353" w:rsidRPr="003B4596" w:rsidRDefault="0061729E" w:rsidP="003B4596">
            <w:pPr>
              <w:spacing w:before="120" w:after="60"/>
              <w:ind w:left="1"/>
              <w:rPr>
                <w:color w:val="1F497D"/>
                <w:sz w:val="18"/>
                <w:szCs w:val="18"/>
              </w:rPr>
            </w:pPr>
            <w:hyperlink r:id="rId29" w:history="1">
              <w:r w:rsidR="00431353" w:rsidRPr="003B4596">
                <w:rPr>
                  <w:rStyle w:val="Hyperlink"/>
                  <w:sz w:val="18"/>
                  <w:szCs w:val="18"/>
                </w:rPr>
                <w:t>http://www.naesb.org/misc/electric_infrastructure_gas_infrastructure_oct2011.pdf</w:t>
              </w:r>
            </w:hyperlink>
            <w:r w:rsidR="00431353" w:rsidRPr="003B4596">
              <w:rPr>
                <w:color w:val="1F497D"/>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8</w:t>
            </w:r>
          </w:p>
        </w:tc>
        <w:tc>
          <w:tcPr>
            <w:tcW w:w="4950" w:type="dxa"/>
          </w:tcPr>
          <w:p w:rsidR="00431353" w:rsidRPr="003B4596" w:rsidRDefault="00431353" w:rsidP="003B4596">
            <w:pPr>
              <w:spacing w:before="120" w:after="60"/>
              <w:rPr>
                <w:sz w:val="18"/>
                <w:szCs w:val="18"/>
              </w:rPr>
            </w:pPr>
            <w:r w:rsidRPr="003B4596">
              <w:rPr>
                <w:sz w:val="18"/>
                <w:szCs w:val="18"/>
              </w:rPr>
              <w:t xml:space="preserve">NERC 2011 Special Reliability Assessment:  A Primer of the Natural Gas and Electric Power Interdependency in the United States </w:t>
            </w:r>
            <w:r w:rsidRPr="003B4596">
              <w:rPr>
                <w:i/>
                <w:sz w:val="18"/>
                <w:szCs w:val="18"/>
              </w:rPr>
              <w:t xml:space="preserve">– </w:t>
            </w:r>
            <w:r w:rsidRPr="003B4596">
              <w:rPr>
                <w:b/>
                <w:i/>
                <w:sz w:val="18"/>
                <w:szCs w:val="18"/>
              </w:rPr>
              <w:t>DUPLICATE OF ITEM 13</w:t>
            </w:r>
          </w:p>
        </w:tc>
        <w:tc>
          <w:tcPr>
            <w:tcW w:w="4605" w:type="dxa"/>
          </w:tcPr>
          <w:p w:rsidR="00431353" w:rsidRPr="003B4596" w:rsidRDefault="0061729E" w:rsidP="003B4596">
            <w:pPr>
              <w:spacing w:before="120" w:after="60"/>
              <w:ind w:left="1"/>
              <w:rPr>
                <w:sz w:val="18"/>
                <w:szCs w:val="18"/>
              </w:rPr>
            </w:pPr>
            <w:hyperlink r:id="rId30" w:history="1">
              <w:r w:rsidR="00431353" w:rsidRPr="003B4596">
                <w:rPr>
                  <w:rStyle w:val="Hyperlink"/>
                  <w:sz w:val="18"/>
                  <w:szCs w:val="18"/>
                </w:rPr>
                <w:t>http://www.naesb.org/misc/nerc_primer_gas_electric_interdependency_nov2011.pdf</w:t>
              </w:r>
            </w:hyperlink>
            <w:r w:rsidR="00431353" w:rsidRPr="003B4596">
              <w:rPr>
                <w:color w:val="1F497D"/>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9</w:t>
            </w:r>
          </w:p>
        </w:tc>
        <w:tc>
          <w:tcPr>
            <w:tcW w:w="4950" w:type="dxa"/>
          </w:tcPr>
          <w:p w:rsidR="00431353" w:rsidRPr="003B4596" w:rsidRDefault="00431353" w:rsidP="003B4596">
            <w:pPr>
              <w:spacing w:before="120" w:after="60"/>
              <w:rPr>
                <w:sz w:val="18"/>
                <w:szCs w:val="18"/>
              </w:rPr>
            </w:pPr>
            <w:r w:rsidRPr="003B4596">
              <w:rPr>
                <w:sz w:val="18"/>
                <w:szCs w:val="18"/>
              </w:rPr>
              <w:t>NERC Gas/Electricity Interdependencies and Recommendations, 2004</w:t>
            </w:r>
          </w:p>
        </w:tc>
        <w:tc>
          <w:tcPr>
            <w:tcW w:w="4605" w:type="dxa"/>
          </w:tcPr>
          <w:p w:rsidR="00431353" w:rsidRPr="003B4596" w:rsidRDefault="0061729E" w:rsidP="003B4596">
            <w:pPr>
              <w:spacing w:before="120" w:after="60"/>
              <w:ind w:left="1"/>
              <w:rPr>
                <w:sz w:val="18"/>
                <w:szCs w:val="18"/>
              </w:rPr>
            </w:pPr>
            <w:hyperlink r:id="rId31" w:history="1">
              <w:r w:rsidR="00431353" w:rsidRPr="003B4596">
                <w:rPr>
                  <w:rStyle w:val="Hyperlink"/>
                  <w:sz w:val="18"/>
                  <w:szCs w:val="18"/>
                </w:rPr>
                <w:t>http://www.naesb.org/misc/nerc_gas_electricity_interdependencies_2004.pdf</w:t>
              </w:r>
            </w:hyperlink>
            <w:r w:rsidR="00431353" w:rsidRPr="003B4596">
              <w:rPr>
                <w:color w:val="1F497D"/>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10</w:t>
            </w:r>
          </w:p>
        </w:tc>
        <w:tc>
          <w:tcPr>
            <w:tcW w:w="4950" w:type="dxa"/>
          </w:tcPr>
          <w:p w:rsidR="00431353" w:rsidRPr="003B4596" w:rsidRDefault="00431353" w:rsidP="003B4596">
            <w:pPr>
              <w:spacing w:before="120" w:after="60"/>
              <w:rPr>
                <w:sz w:val="18"/>
                <w:szCs w:val="18"/>
              </w:rPr>
            </w:pPr>
            <w:r w:rsidRPr="003B4596">
              <w:rPr>
                <w:sz w:val="18"/>
                <w:szCs w:val="18"/>
              </w:rPr>
              <w:t>NPC Prudent Development – Executive Summary (may be replaced by the published version – Ken Yeasting)</w:t>
            </w:r>
          </w:p>
        </w:tc>
        <w:tc>
          <w:tcPr>
            <w:tcW w:w="4605" w:type="dxa"/>
          </w:tcPr>
          <w:p w:rsidR="00431353" w:rsidRPr="003B4596" w:rsidRDefault="0061729E" w:rsidP="003B4596">
            <w:pPr>
              <w:spacing w:before="120" w:after="60"/>
              <w:ind w:left="1"/>
              <w:rPr>
                <w:sz w:val="18"/>
                <w:szCs w:val="18"/>
              </w:rPr>
            </w:pPr>
            <w:hyperlink r:id="rId32" w:history="1">
              <w:r w:rsidR="00431353" w:rsidRPr="003B4596">
                <w:rPr>
                  <w:rStyle w:val="Hyperlink"/>
                  <w:sz w:val="18"/>
                  <w:szCs w:val="18"/>
                </w:rPr>
                <w:t>http://www.naesb.org/misc/npc_north_american_resource_dev_exec_summ_volume_dec2011.pdf</w:t>
              </w:r>
            </w:hyperlink>
            <w:r w:rsidR="00431353" w:rsidRPr="003B4596">
              <w:rPr>
                <w:color w:val="1F497D"/>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11</w:t>
            </w:r>
          </w:p>
        </w:tc>
        <w:tc>
          <w:tcPr>
            <w:tcW w:w="4950" w:type="dxa"/>
          </w:tcPr>
          <w:p w:rsidR="00431353" w:rsidRPr="003B4596" w:rsidRDefault="00431353" w:rsidP="003B4596">
            <w:pPr>
              <w:spacing w:before="120" w:after="60"/>
              <w:rPr>
                <w:sz w:val="18"/>
                <w:szCs w:val="18"/>
              </w:rPr>
            </w:pPr>
            <w:r w:rsidRPr="003B4596">
              <w:rPr>
                <w:sz w:val="18"/>
                <w:szCs w:val="18"/>
              </w:rPr>
              <w:t>NPC Prudent Development – Ch. 3 – Natural Gas Demand (may be replaced by the published version – Ken Yeasting)</w:t>
            </w:r>
          </w:p>
        </w:tc>
        <w:tc>
          <w:tcPr>
            <w:tcW w:w="4605" w:type="dxa"/>
          </w:tcPr>
          <w:p w:rsidR="00431353" w:rsidRPr="003B4596" w:rsidRDefault="0061729E" w:rsidP="003B4596">
            <w:pPr>
              <w:spacing w:before="120" w:after="60"/>
              <w:ind w:left="1"/>
              <w:rPr>
                <w:sz w:val="18"/>
                <w:szCs w:val="18"/>
              </w:rPr>
            </w:pPr>
            <w:hyperlink r:id="rId33" w:history="1">
              <w:r w:rsidR="00431353" w:rsidRPr="003B4596">
                <w:rPr>
                  <w:rStyle w:val="Hyperlink"/>
                  <w:sz w:val="18"/>
                  <w:szCs w:val="18"/>
                </w:rPr>
                <w:t>http://www.naesb.org/misc/npc_demand_chapter_091511.pdf</w:t>
              </w:r>
            </w:hyperlink>
            <w:r w:rsidR="00431353" w:rsidRPr="003B4596">
              <w:rPr>
                <w:color w:val="1F497D"/>
                <w:sz w:val="18"/>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12</w:t>
            </w:r>
          </w:p>
        </w:tc>
        <w:tc>
          <w:tcPr>
            <w:tcW w:w="4950" w:type="dxa"/>
          </w:tcPr>
          <w:p w:rsidR="00431353" w:rsidRPr="003B4596" w:rsidRDefault="00431353" w:rsidP="003B4596">
            <w:pPr>
              <w:spacing w:before="120" w:after="60"/>
              <w:rPr>
                <w:sz w:val="18"/>
                <w:szCs w:val="18"/>
              </w:rPr>
            </w:pPr>
            <w:r w:rsidRPr="003B4596">
              <w:rPr>
                <w:sz w:val="18"/>
                <w:szCs w:val="18"/>
              </w:rPr>
              <w:t>Excerpt of NAESB Bylaws</w:t>
            </w:r>
          </w:p>
        </w:tc>
        <w:tc>
          <w:tcPr>
            <w:tcW w:w="4605" w:type="dxa"/>
          </w:tcPr>
          <w:p w:rsidR="00431353" w:rsidRPr="003B4596" w:rsidRDefault="0061729E" w:rsidP="003B4596">
            <w:pPr>
              <w:spacing w:before="120" w:after="60"/>
              <w:ind w:left="1"/>
              <w:rPr>
                <w:sz w:val="18"/>
                <w:szCs w:val="18"/>
              </w:rPr>
            </w:pPr>
            <w:hyperlink r:id="rId34" w:history="1">
              <w:r w:rsidR="00431353" w:rsidRPr="003B4596">
                <w:rPr>
                  <w:rStyle w:val="Hyperlink"/>
                  <w:sz w:val="18"/>
                  <w:szCs w:val="18"/>
                </w:rPr>
                <w:t>http://www.naesb.org/misc/naesb_bylaws_section2.2_best_practices.pptx</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13</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 xml:space="preserve">NERC December 2011 Special Assessment - </w:t>
            </w:r>
            <w:r w:rsidRPr="003B4596">
              <w:rPr>
                <w:rFonts w:ascii="Times New Roman" w:hAnsi="Times New Roman"/>
                <w:i/>
                <w:szCs w:val="18"/>
              </w:rPr>
              <w:t>DUPLICATE OF ITEM 8</w:t>
            </w:r>
          </w:p>
        </w:tc>
        <w:tc>
          <w:tcPr>
            <w:tcW w:w="4605" w:type="dxa"/>
          </w:tcPr>
          <w:p w:rsidR="00431353" w:rsidRPr="003B4596" w:rsidRDefault="0061729E" w:rsidP="003B4596">
            <w:pPr>
              <w:spacing w:before="120" w:after="60"/>
              <w:ind w:left="1"/>
              <w:rPr>
                <w:b/>
                <w:sz w:val="18"/>
                <w:szCs w:val="18"/>
              </w:rPr>
            </w:pPr>
            <w:hyperlink r:id="rId35" w:history="1">
              <w:r w:rsidR="00431353" w:rsidRPr="003B4596">
                <w:rPr>
                  <w:rStyle w:val="Hyperlink"/>
                  <w:sz w:val="18"/>
                  <w:szCs w:val="18"/>
                </w:rPr>
                <w:t>http://www.nerc.com/files/Gas_Electric_Interdependencies_Phase_I.pdf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14</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Natural Gas in a Smart Energy Future – American Gas Foundation, APGA Research Foundation, Canadian Gas Foundation, INGAA Foundation, Natural Gas Supply Foundation and their members</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36" w:history="1">
              <w:r w:rsidR="00431353" w:rsidRPr="003B4596">
                <w:rPr>
                  <w:rStyle w:val="Hyperlink"/>
                  <w:rFonts w:ascii="Times New Roman" w:hAnsi="Times New Roman"/>
                  <w:b w:val="0"/>
                  <w:szCs w:val="18"/>
                </w:rPr>
                <w:t>http://media.godashboard.com/gti/Natural_Gas_in_a_Smart_Energy_Future_01-26-2011.pdf</w:t>
              </w:r>
            </w:hyperlink>
          </w:p>
        </w:tc>
      </w:tr>
      <w:tr w:rsidR="00431353" w:rsidTr="003B4596">
        <w:tc>
          <w:tcPr>
            <w:tcW w:w="468" w:type="dxa"/>
          </w:tcPr>
          <w:p w:rsidR="00431353" w:rsidRPr="003B4596" w:rsidRDefault="00431353" w:rsidP="003B4596">
            <w:pPr>
              <w:pStyle w:val="Title"/>
              <w:keepNext/>
              <w:spacing w:before="120" w:after="60"/>
              <w:jc w:val="left"/>
              <w:rPr>
                <w:rFonts w:ascii="Times New Roman" w:hAnsi="Times New Roman"/>
                <w:b w:val="0"/>
                <w:szCs w:val="18"/>
              </w:rPr>
            </w:pPr>
            <w:r w:rsidRPr="003B4596">
              <w:rPr>
                <w:rFonts w:ascii="Times New Roman" w:hAnsi="Times New Roman"/>
                <w:b w:val="0"/>
                <w:szCs w:val="18"/>
              </w:rPr>
              <w:lastRenderedPageBreak/>
              <w:t>15</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37" w:history="1">
              <w:r w:rsidR="00431353" w:rsidRPr="003B4596">
                <w:rPr>
                  <w:rStyle w:val="Hyperlink"/>
                  <w:rFonts w:ascii="Times New Roman" w:hAnsi="Times New Roman"/>
                  <w:b w:val="0"/>
                  <w:szCs w:val="18"/>
                </w:rPr>
                <w:t>http://www.naesb.org/misc/icf_geic_primer062206.pdf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16</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Nuclear Plant Interface Coordination – Standard NUC-001-2, NERC, April 2010</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38" w:history="1">
              <w:r w:rsidR="00431353" w:rsidRPr="003B4596">
                <w:rPr>
                  <w:rStyle w:val="Hyperlink"/>
                  <w:rFonts w:ascii="Times New Roman" w:hAnsi="Times New Roman"/>
                  <w:b w:val="0"/>
                  <w:szCs w:val="18"/>
                </w:rPr>
                <w:t>http://www.nerc.com/files/NUC-001-2.pdf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17</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Natural Gas year in Review – EIA, December 9, 2011</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39" w:history="1">
              <w:r w:rsidR="00431353" w:rsidRPr="003B4596">
                <w:rPr>
                  <w:rStyle w:val="Hyperlink"/>
                  <w:rFonts w:ascii="Times New Roman" w:hAnsi="Times New Roman"/>
                  <w:b w:val="0"/>
                  <w:szCs w:val="18"/>
                </w:rPr>
                <w:t>http://205.254.135.7/naturalgas/review/</w:t>
              </w:r>
            </w:hyperlink>
            <w:r w:rsidR="00431353" w:rsidRPr="003B4596">
              <w:rPr>
                <w:rFonts w:ascii="Times New Roman" w:hAnsi="Times New Roman"/>
                <w:b w:val="0"/>
                <w:szCs w:val="18"/>
              </w:rPr>
              <w:t xml:space="preserve">, and </w:t>
            </w:r>
            <w:hyperlink r:id="rId40" w:history="1">
              <w:r w:rsidR="00431353" w:rsidRPr="003B4596">
                <w:rPr>
                  <w:rStyle w:val="Hyperlink"/>
                  <w:rFonts w:ascii="Times New Roman" w:hAnsi="Times New Roman"/>
                  <w:b w:val="0"/>
                  <w:szCs w:val="18"/>
                </w:rPr>
                <w:t>http://205.254.135.7/naturalgas/review/print_version.cfm</w:t>
              </w:r>
            </w:hyperlink>
            <w:r w:rsidR="00431353" w:rsidRPr="003B4596">
              <w:rPr>
                <w:rFonts w:ascii="Times New Roman" w:hAnsi="Times New Roman"/>
                <w:b w:val="0"/>
                <w:szCs w:val="18"/>
              </w:rPr>
              <w:t xml:space="preserve"> (print version)</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18</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ERCOT Nodal Protocols</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1" w:history="1">
              <w:r w:rsidR="00431353" w:rsidRPr="003B4596">
                <w:rPr>
                  <w:rStyle w:val="Hyperlink"/>
                  <w:rFonts w:ascii="Times New Roman" w:hAnsi="Times New Roman"/>
                  <w:b w:val="0"/>
                  <w:szCs w:val="18"/>
                </w:rPr>
                <w:t>http://www2.econ.iastate.edu/tesfatsi/ERCOT.DefinitionsAcronyms.Oct2011.pdf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19</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Commission Role Regarding Environmental Protection Agency’s Mercury and Air Toxics Standards</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2" w:history="1">
              <w:r w:rsidR="00431353" w:rsidRPr="003B4596">
                <w:rPr>
                  <w:rStyle w:val="Hyperlink"/>
                  <w:rFonts w:ascii="Times New Roman" w:hAnsi="Times New Roman"/>
                  <w:b w:val="0"/>
                  <w:szCs w:val="18"/>
                </w:rPr>
                <w:t>http://www.ferc.gov/media/news-releases/2012/2012-1/01-30-12-notice.pdf</w:t>
              </w:r>
            </w:hyperlink>
            <w:r w:rsidR="00431353" w:rsidRPr="003B4596">
              <w:rPr>
                <w:rFonts w:ascii="Times New Roman" w:hAnsi="Times New Roman"/>
                <w:b w:val="0"/>
                <w:szCs w:val="18"/>
              </w:rPr>
              <w:t xml:space="preserve"> </w:t>
            </w:r>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 xml:space="preserve">20 </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How does the natural gas delivery system work – AGA web site</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3" w:history="1">
              <w:r w:rsidR="00431353" w:rsidRPr="003B4596">
                <w:rPr>
                  <w:rStyle w:val="Hyperlink"/>
                  <w:rFonts w:ascii="Times New Roman" w:hAnsi="Times New Roman"/>
                  <w:b w:val="0"/>
                  <w:szCs w:val="18"/>
                </w:rPr>
                <w:t>http://www.aga.org/Kc/aboutnaturalgas/consumerinfo/Pages/NGDeliverySystem.aspx</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21</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Request for Comments of Commissioner Moeller, on Coordination between the Natural Gas and Electricity Markets, February 3, 2011</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4" w:history="1">
              <w:r w:rsidR="00431353" w:rsidRPr="003B4596">
                <w:rPr>
                  <w:rStyle w:val="Hyperlink"/>
                  <w:rFonts w:ascii="Times New Roman" w:hAnsi="Times New Roman"/>
                  <w:b w:val="0"/>
                  <w:szCs w:val="18"/>
                </w:rPr>
                <w:t>http://www.ferc.gov/about/com-mem/moeller/moellergaselectricletter.pdf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22</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Gas and Electric Infrastructure Interdependency Analysis, prepared for the Midwest ISO, February 22, 2012</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5" w:history="1">
              <w:r w:rsidR="00431353" w:rsidRPr="003B4596">
                <w:rPr>
                  <w:rStyle w:val="Hyperlink"/>
                  <w:rFonts w:ascii="Times New Roman" w:hAnsi="Times New Roman"/>
                  <w:b w:val="0"/>
                  <w:szCs w:val="18"/>
                </w:rPr>
                <w:t>https://www.midwestiso.org/Library/Repository/Communication%20Material/Key%20Presentations%20and%20Whitepapers/Natural%20Gas-Electric%20Infrastructure%20Interdependency%20Analysis_022212_Final%20Public.pdf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23</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Power Plants Likely Covered by the EPA Mercury and Air Toxics Rule, EPA, December 2011</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6" w:history="1">
              <w:r w:rsidR="00431353" w:rsidRPr="003B4596">
                <w:rPr>
                  <w:rStyle w:val="Hyperlink"/>
                  <w:rFonts w:ascii="Times New Roman" w:hAnsi="Times New Roman"/>
                  <w:b w:val="0"/>
                  <w:szCs w:val="18"/>
                </w:rPr>
                <w:t>http://www.epa.gov/mats/pdfs/20111221PowerPlantsLikelyCoveredbyMATS.pdf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24</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NARUC Inventory on Gas Curtailment Planning, Institute of Public Utilities and the US Department of Energy, April 2005</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7" w:history="1">
              <w:r w:rsidR="00431353" w:rsidRPr="003B4596">
                <w:rPr>
                  <w:rStyle w:val="Hyperlink"/>
                  <w:rFonts w:ascii="Times New Roman" w:hAnsi="Times New Roman"/>
                  <w:b w:val="0"/>
                  <w:szCs w:val="18"/>
                </w:rPr>
                <w:t>http://www.naruc.org/Publications/CIP_GasCurtailmentInventoryReport_8.pdf</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25</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rsidR="00431353" w:rsidRPr="003B4596" w:rsidRDefault="0061729E" w:rsidP="003B4596">
            <w:pPr>
              <w:pStyle w:val="Title"/>
              <w:spacing w:before="120" w:after="60"/>
              <w:jc w:val="left"/>
              <w:rPr>
                <w:rFonts w:ascii="Times New Roman" w:hAnsi="Times New Roman"/>
                <w:b w:val="0"/>
                <w:szCs w:val="18"/>
              </w:rPr>
            </w:pPr>
            <w:hyperlink r:id="rId48" w:history="1">
              <w:r w:rsidR="00431353" w:rsidRPr="003B4596">
                <w:rPr>
                  <w:rStyle w:val="Hyperlink"/>
                  <w:rFonts w:ascii="Times New Roman" w:hAnsi="Times New Roman"/>
                  <w:b w:val="0"/>
                  <w:szCs w:val="18"/>
                </w:rPr>
                <w:t>http://www.naesb.org/pdf4/geh051612w3.docx</w:t>
              </w:r>
            </w:hyperlink>
          </w:p>
        </w:tc>
      </w:tr>
      <w:tr w:rsidR="00431353" w:rsidTr="003B4596">
        <w:tc>
          <w:tcPr>
            <w:tcW w:w="468"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26</w:t>
            </w:r>
          </w:p>
        </w:tc>
        <w:tc>
          <w:tcPr>
            <w:tcW w:w="4950" w:type="dxa"/>
          </w:tcPr>
          <w:p w:rsidR="00431353" w:rsidRPr="003B4596" w:rsidRDefault="00431353" w:rsidP="003B4596">
            <w:pPr>
              <w:pStyle w:val="Title"/>
              <w:spacing w:before="120" w:after="60"/>
              <w:jc w:val="left"/>
              <w:rPr>
                <w:rFonts w:ascii="Times New Roman" w:hAnsi="Times New Roman"/>
                <w:b w:val="0"/>
                <w:szCs w:val="18"/>
              </w:rPr>
            </w:pPr>
            <w:r w:rsidRPr="003B4596">
              <w:rPr>
                <w:rFonts w:ascii="Times New Roman" w:hAnsi="Times New Roman"/>
                <w:b w:val="0"/>
                <w:szCs w:val="18"/>
              </w:rPr>
              <w:t>Natural Gas White Paper Draft, ISO New England, July 2012</w:t>
            </w:r>
          </w:p>
        </w:tc>
        <w:tc>
          <w:tcPr>
            <w:tcW w:w="4605" w:type="dxa"/>
          </w:tcPr>
          <w:p w:rsidR="00431353" w:rsidRPr="003B4596" w:rsidRDefault="0061729E" w:rsidP="003B4596">
            <w:pPr>
              <w:pStyle w:val="Title"/>
              <w:spacing w:before="120" w:after="60"/>
              <w:jc w:val="left"/>
              <w:rPr>
                <w:rFonts w:ascii="Times New Roman" w:hAnsi="Times New Roman"/>
                <w:b w:val="0"/>
              </w:rPr>
            </w:pPr>
            <w:hyperlink r:id="rId49" w:history="1">
              <w:r w:rsidR="00431353" w:rsidRPr="003B4596">
                <w:rPr>
                  <w:rStyle w:val="Hyperlink"/>
                  <w:rFonts w:ascii="Times New Roman" w:hAnsi="Times New Roman"/>
                  <w:b w:val="0"/>
                </w:rPr>
                <w:t>http://www.naesb.org/pdf4/geh080212w1.pdf</w:t>
              </w:r>
            </w:hyperlink>
          </w:p>
        </w:tc>
      </w:tr>
    </w:tbl>
    <w:p w:rsidR="00431353" w:rsidRDefault="00431353" w:rsidP="00352BB5">
      <w:pPr>
        <w:rPr>
          <w:b/>
        </w:rPr>
      </w:pPr>
    </w:p>
    <w:sectPr w:rsidR="00431353" w:rsidSect="00AA7E0F">
      <w:headerReference w:type="default" r:id="rId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9E" w:rsidRDefault="0061729E">
      <w:r>
        <w:separator/>
      </w:r>
    </w:p>
  </w:endnote>
  <w:endnote w:type="continuationSeparator" w:id="0">
    <w:p w:rsidR="0061729E" w:rsidRDefault="0061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Bradley Hand ITC">
    <w:altName w:val="Viner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Pr="00657BE1" w:rsidRDefault="000E7319">
    <w:pPr>
      <w:pStyle w:val="Footer"/>
      <w:pBdr>
        <w:top w:val="single" w:sz="4" w:space="1" w:color="auto"/>
      </w:pBdr>
      <w:jc w:val="right"/>
      <w:rPr>
        <w:i/>
      </w:rPr>
    </w:pPr>
    <w:r>
      <w:t>NAESB Gas-Electric Harmonization Committee Report to the NAESB Board of Directors, August 27,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Pr="000E7319" w:rsidRDefault="000E7319">
    <w:pPr>
      <w:pStyle w:val="Footer"/>
      <w:pBdr>
        <w:top w:val="single" w:sz="4" w:space="1" w:color="auto"/>
      </w:pBdr>
      <w:jc w:val="right"/>
    </w:pPr>
    <w:r>
      <w:t>NAESB Gas-Electric Harmonization Committee Report to the NAESB Board of Directors, August 27, 2012</w:t>
    </w:r>
  </w:p>
  <w:p w:rsidR="000E7319" w:rsidRPr="00AA7E0F" w:rsidRDefault="000E7319">
    <w:pPr>
      <w:pStyle w:val="Footer"/>
      <w:pBdr>
        <w:top w:val="single" w:sz="4" w:space="1" w:color="auto"/>
      </w:pBdr>
      <w:jc w:val="right"/>
    </w:pPr>
    <w:r>
      <w:t xml:space="preserve">Page </w:t>
    </w:r>
    <w:r>
      <w:fldChar w:fldCharType="begin"/>
    </w:r>
    <w:r>
      <w:instrText xml:space="preserve"> PAGE   \* MERGEFORMAT </w:instrText>
    </w:r>
    <w:r>
      <w:fldChar w:fldCharType="separate"/>
    </w:r>
    <w:r w:rsidR="003152AE">
      <w:rPr>
        <w:noProof/>
      </w:rPr>
      <w:t>40</w:t>
    </w:r>
    <w:r>
      <w:rPr>
        <w:noProof/>
      </w:rPr>
      <w:fldChar w:fldCharType="end"/>
    </w:r>
    <w:r>
      <w:rPr>
        <w:noProof/>
      </w:rPr>
      <w:t xml:space="preserve"> of  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0E73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0E7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9E" w:rsidRDefault="0061729E">
      <w:r>
        <w:separator/>
      </w:r>
    </w:p>
  </w:footnote>
  <w:footnote w:type="continuationSeparator" w:id="0">
    <w:p w:rsidR="0061729E" w:rsidRDefault="0061729E">
      <w:r>
        <w:continuationSeparator/>
      </w:r>
    </w:p>
  </w:footnote>
  <w:footnote w:id="1">
    <w:p w:rsidR="000E7319" w:rsidRDefault="000E7319" w:rsidP="00657BE1">
      <w:pPr>
        <w:spacing w:before="120"/>
      </w:pPr>
      <w:r w:rsidRPr="00657BE1">
        <w:rPr>
          <w:rStyle w:val="FootnoteReference"/>
          <w:sz w:val="18"/>
          <w:szCs w:val="18"/>
        </w:rPr>
        <w:footnoteRef/>
      </w:r>
      <w:r w:rsidRPr="00657BE1">
        <w:rPr>
          <w:sz w:val="18"/>
          <w:szCs w:val="18"/>
        </w:rPr>
        <w:t xml:space="preserve"> The National Petroleum Council endorsed the report in September 2011.  The list for the members of the National Petroleum Council can be found at the following link:  </w:t>
      </w:r>
      <w:hyperlink r:id="rId1" w:history="1">
        <w:r w:rsidRPr="00657BE1">
          <w:rPr>
            <w:rStyle w:val="Hyperlink"/>
            <w:sz w:val="18"/>
            <w:szCs w:val="18"/>
          </w:rPr>
          <w:t>http://www.npc.org/members/bycom.html</w:t>
        </w:r>
      </w:hyperlink>
      <w:r>
        <w:rPr>
          <w:rStyle w:val="Hyperlink"/>
          <w:sz w:val="18"/>
          <w:szCs w:val="18"/>
        </w:rPr>
        <w:t>.</w:t>
      </w:r>
    </w:p>
  </w:footnote>
  <w:footnote w:id="2">
    <w:p w:rsidR="000E7319" w:rsidRDefault="000E7319" w:rsidP="00657BE1">
      <w:pPr>
        <w:spacing w:before="120"/>
        <w:jc w:val="both"/>
      </w:pPr>
      <w:r w:rsidRPr="00657BE1">
        <w:rPr>
          <w:rStyle w:val="FootnoteReference"/>
          <w:sz w:val="18"/>
          <w:szCs w:val="18"/>
        </w:rPr>
        <w:footnoteRef/>
      </w:r>
      <w:r w:rsidRPr="00657BE1">
        <w:rPr>
          <w:sz w:val="18"/>
          <w:szCs w:val="18"/>
        </w:rPr>
        <w:t xml:space="preserve"> The executive summary of the report can be access from the following link: </w:t>
      </w:r>
      <w:hyperlink r:id="rId2" w:history="1">
        <w:r w:rsidRPr="00657BE1">
          <w:rPr>
            <w:rStyle w:val="Hyperlink"/>
            <w:sz w:val="18"/>
            <w:szCs w:val="18"/>
          </w:rPr>
          <w:t>http://www.npc.org/NARD-ExecSummVol.pdf</w:t>
        </w:r>
      </w:hyperlink>
      <w:r>
        <w:rPr>
          <w:rStyle w:val="Hyperlink"/>
          <w:sz w:val="18"/>
          <w:szCs w:val="18"/>
        </w:rPr>
        <w:t>.</w:t>
      </w:r>
    </w:p>
  </w:footnote>
  <w:footnote w:id="3">
    <w:p w:rsidR="000E7319" w:rsidRDefault="000E7319" w:rsidP="00657BE1">
      <w:pPr>
        <w:pStyle w:val="FootnoteText"/>
        <w:spacing w:before="120"/>
      </w:pPr>
      <w:r w:rsidRPr="00657BE1">
        <w:rPr>
          <w:rStyle w:val="FootnoteReference"/>
          <w:sz w:val="18"/>
          <w:szCs w:val="18"/>
        </w:rPr>
        <w:footnoteRef/>
      </w:r>
      <w:r w:rsidRPr="00657BE1">
        <w:rPr>
          <w:sz w:val="18"/>
          <w:szCs w:val="18"/>
        </w:rPr>
        <w:t xml:space="preserve"> The GEH Committee meetings and mate</w:t>
      </w:r>
      <w:r>
        <w:rPr>
          <w:sz w:val="18"/>
          <w:szCs w:val="18"/>
        </w:rPr>
        <w:t>r</w:t>
      </w:r>
      <w:r w:rsidRPr="00657BE1">
        <w:rPr>
          <w:sz w:val="18"/>
          <w:szCs w:val="18"/>
        </w:rPr>
        <w:t>ials an be accessed from the NAES</w:t>
      </w:r>
      <w:r>
        <w:rPr>
          <w:sz w:val="18"/>
          <w:szCs w:val="18"/>
        </w:rPr>
        <w:t>B</w:t>
      </w:r>
      <w:r w:rsidRPr="00657BE1">
        <w:rPr>
          <w:sz w:val="18"/>
          <w:szCs w:val="18"/>
        </w:rPr>
        <w:t xml:space="preserve"> web site at the following hyperlink: </w:t>
      </w:r>
      <w:hyperlink r:id="rId3" w:history="1">
        <w:r w:rsidRPr="00657BE1">
          <w:rPr>
            <w:rStyle w:val="Hyperlink"/>
            <w:sz w:val="18"/>
            <w:szCs w:val="18"/>
          </w:rPr>
          <w:t>http://www.naesb.org/board_gas_electric_harmonization.asp</w:t>
        </w:r>
      </w:hyperlink>
      <w:r>
        <w:rPr>
          <w:sz w:val="18"/>
          <w:szCs w:val="18"/>
        </w:rPr>
        <w:t>.</w:t>
      </w:r>
    </w:p>
  </w:footnote>
  <w:footnote w:id="4">
    <w:p w:rsidR="000E7319" w:rsidRDefault="000E7319" w:rsidP="00357AD5">
      <w:pPr>
        <w:pStyle w:val="FootnoteText"/>
        <w:spacing w:before="120" w:after="120"/>
      </w:pPr>
      <w:r w:rsidRPr="00357AD5">
        <w:rPr>
          <w:rStyle w:val="FootnoteReference"/>
          <w:sz w:val="18"/>
          <w:szCs w:val="18"/>
        </w:rPr>
        <w:footnoteRef/>
      </w:r>
      <w:r w:rsidRPr="00357AD5">
        <w:rPr>
          <w:sz w:val="18"/>
          <w:szCs w:val="18"/>
        </w:rPr>
        <w:t xml:space="preserve"> The </w:t>
      </w:r>
      <w:r>
        <w:rPr>
          <w:sz w:val="18"/>
          <w:szCs w:val="18"/>
        </w:rPr>
        <w:t xml:space="preserve">GEH Observations by Issue </w:t>
      </w:r>
      <w:r w:rsidRPr="00357AD5">
        <w:rPr>
          <w:sz w:val="18"/>
          <w:szCs w:val="18"/>
        </w:rPr>
        <w:t xml:space="preserve">survey can be found at:  </w:t>
      </w:r>
      <w:hyperlink r:id="rId4" w:history="1">
        <w:r w:rsidRPr="00352BB5">
          <w:rPr>
            <w:rStyle w:val="Hyperlink"/>
            <w:sz w:val="18"/>
            <w:szCs w:val="18"/>
          </w:rPr>
          <w:t>http://www.naesb.org/pdf4/geh042612_survey.docx</w:t>
        </w:r>
      </w:hyperlink>
    </w:p>
  </w:footnote>
  <w:footnote w:id="5">
    <w:p w:rsidR="000E7319" w:rsidRDefault="000E7319">
      <w:pPr>
        <w:pStyle w:val="FootnoteText"/>
      </w:pPr>
      <w:r w:rsidRPr="00A664F4">
        <w:rPr>
          <w:rStyle w:val="FootnoteReference"/>
          <w:sz w:val="18"/>
          <w:szCs w:val="18"/>
        </w:rPr>
        <w:footnoteRef/>
      </w:r>
      <w:r w:rsidRPr="00A664F4">
        <w:rPr>
          <w:sz w:val="18"/>
          <w:szCs w:val="18"/>
        </w:rPr>
        <w:t xml:space="preserve"> Each of the observations are based on findings from one or more of the reports provided in Appendix D:  List of Reference Reports.  The findings from the reports were listed in working document “Matrix of Issues” (</w:t>
      </w:r>
      <w:hyperlink r:id="rId5" w:history="1">
        <w:r w:rsidRPr="00A664F4">
          <w:rPr>
            <w:rStyle w:val="Hyperlink"/>
            <w:sz w:val="18"/>
            <w:szCs w:val="18"/>
          </w:rPr>
          <w:t>http://www.naesb.org/pdf4/geh021512w1.docx</w:t>
        </w:r>
      </w:hyperlink>
      <w:r w:rsidRPr="00A664F4">
        <w:rPr>
          <w:sz w:val="18"/>
          <w:szCs w:val="18"/>
        </w:rPr>
        <w:t>), from which the committee observations were identified.</w:t>
      </w:r>
    </w:p>
  </w:footnote>
  <w:footnote w:id="6">
    <w:p w:rsidR="000E7319" w:rsidRDefault="000E7319" w:rsidP="00357AD5">
      <w:pPr>
        <w:pStyle w:val="FootnoteText"/>
        <w:spacing w:before="120" w:after="120"/>
      </w:pPr>
      <w:r w:rsidRPr="00357AD5">
        <w:rPr>
          <w:rStyle w:val="FootnoteReference"/>
          <w:sz w:val="18"/>
          <w:szCs w:val="18"/>
        </w:rPr>
        <w:footnoteRef/>
      </w:r>
      <w:r w:rsidRPr="00357AD5">
        <w:rPr>
          <w:sz w:val="18"/>
          <w:szCs w:val="18"/>
        </w:rPr>
        <w:t xml:space="preserve"> The aggregate </w:t>
      </w:r>
      <w:r>
        <w:rPr>
          <w:sz w:val="18"/>
          <w:szCs w:val="18"/>
        </w:rPr>
        <w:t xml:space="preserve">GEH Observations by Issue </w:t>
      </w:r>
      <w:r w:rsidRPr="00357AD5">
        <w:rPr>
          <w:sz w:val="18"/>
          <w:szCs w:val="18"/>
        </w:rPr>
        <w:t xml:space="preserve">survey results can be found at: </w:t>
      </w:r>
      <w:r>
        <w:rPr>
          <w:sz w:val="18"/>
          <w:szCs w:val="18"/>
        </w:rPr>
        <w:t xml:space="preserve">  </w:t>
      </w:r>
      <w:hyperlink r:id="rId6" w:history="1">
        <w:r w:rsidRPr="00352BB5">
          <w:rPr>
            <w:rStyle w:val="Hyperlink"/>
            <w:sz w:val="18"/>
            <w:szCs w:val="18"/>
          </w:rPr>
          <w:t>http://www.naesb.org/pdf4/geh042612_survey_results.docx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414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6233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Default="000E7319">
    <w:pPr>
      <w:pStyle w:val="Header"/>
      <w:jc w:val="right"/>
      <w:rPr>
        <w:b/>
        <w:caps/>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6"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27"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7" style="position:absolute;left:0;text-align:left;margin-left:1in;margin-top:18pt;width:133.1pt;height:117pt;flip:x;z-index:-25165516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DbSwQAAIcMAAAOAAAAZHJzL2Uyb0RvYy54bWzsV9tu4zYQfS/QfyD0&#10;rphSZOuCKIvEl3SBtBtktx9AS5RFrEQSJH3JLvrvHZKS7STddi99XAMxeJkZzpyZOeNcvTn0HdpR&#10;pZngZRBd4ABRXoma8U0Z/PlhFWYB0obwmnSC0zJ4ojp4c/3rL1d7WdBYtKKrqUJghOtiL8ugNUYW&#10;k4muWtoTfSEk5XDZCNUTA1u1mdSK7MF6301ijGeTvVC1VKKiWsPpwl8G185+09DKvGsaTQ3qygB8&#10;M+5bue+1/Z5cX5Fio4hsWTW4Qb7Di54wDo8eTS2IIWir2CtTPauU0KIxF5XoJ6JpWEVdDBBNhF9E&#10;c6fEVrpYNsV+I48wAbQvcPpus9UfuweFWF0G8TRAnPSQI/csukwtOHu5KUDmTsn38kH5CGF5L6qP&#10;Gq4nL+/tfuOF0Xr/u6jBHtka4cA5NKpHTcfkb1Aq7gQAQAeXjadjNujBoAoOo1mOL1NIWgV3UZJN&#10;czzkq2ohqVYvimZRgOx1hhOfy6pdDvopKHjlKU6c5oQU1oXB7cFNGyPUnj7Bq38M3vctkdRlTVvo&#10;RnhnI7yPUJSEbzqKLjMPsZMb8dUeXMTFvAUxeqOU2LeU1OBWZOUB8zMFu9GQmm9AO4qjeEDNe0CK&#10;EfN4NkCW5DP31ogYKaTS5o6KHtlFGSiIwqWQ7O61sW6dRGyZcLFiXQfnpOj4swMQ9CfwKKjaO/u8&#10;65bPOc6X2TJLwiSeLcMELxbhzWqehLNVlE4Xl4v5fBH9Zd+NkqJldU25fWbs3Cj5utQNHOJ77ti7&#10;WnSstuasS1pt1vNOoR0B5li5zwDImdjkuRsOBIjlRUhRnODbOA9XsywNk1UyDfMUZyGO8tt8hpM8&#10;Wayeh3TPOP3xkNC+DPIptLUL54uxYfd5HRspemaAmzvWl0F2FCKFrcUlr11qDWGdX59BYd0/QQHp&#10;HhPtKtcWq+85c1gfHPUMTKOLtaifoJSVgAKDQoS5AotWqE8B2gNHlwGHIRKg7i2HZgABMy7UuFiP&#10;C8IrUCwDEyC/nBtP+1up2KYFu56BtLwBeloxV8K2mbwPQ5sBLVxfSVYV8DdkBFaviuy/xxRoma0C&#10;3/2o67/KRk/Ux60MYVJIYtiadcw8uakHKbVO8d0DqyyadnNGNelINXBtX0WXuc3vKGV1oItpQ9Uj&#10;7cDyjj5SzT4BVWNXLCDoCP7EQVpCu1vITkevaOncPMBnt88cXAPxj91l1wMUkJUXw+wf0PSDciGq&#10;bU+58ZNfOd8F1y2TOkCqoP2a1sBMb2uf2rHszvklzm4wzuPbcD7Fc+CXdBne5EkapniZJjjJonk0&#10;H5txqynAQLqFZP9DNzoiGceQI4nzziCFhcQTT2UnhGsvbRQ1VWuPG+Cl4Rz0jhcO5hOyFvRvnQav&#10;Zyh45ybwv0zQE9n/nAcnaj0jQV/pPsU/58EX5sFYrgNdwNbxrvu1C6tnP6fP907q9P/D9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0/0Q&#10;2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48"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iyMMA&#10;AADbAAAADwAAAGRycy9kb3ducmV2LnhtbESPT4vCMBTE74LfITzBm6ZWEOkaZREU8SD4B8Tb2+bZ&#10;dtu8lCba+u2NsLDHYWZ+wyxWnanEkxpXWFYwGUcgiFOrC84UXM6b0RyE88gaK8uk4EUOVst+b4GJ&#10;ti0f6XnymQgQdgkqyL2vEyldmpNBN7Y1cfDutjHog2wyqRtsA9xUMo6imTRYcFjIsaZ1Tml5ehgF&#10;nTO/bXm4Tjf7ny3vYyrvN1MqNRx0318gPHX+P/zX3mkF8Qw+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iyMMAAADbAAAADwAAAAAAAAAAAAAAAACYAgAAZHJzL2Rv&#10;d25yZXYueG1sUEsFBgAAAAAEAAQA9QAAAIgDA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9"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pzF3BAAAA2wAAAA8AAABkcnMvZG93bnJldi54bWxEj0GLwjAUhO8L/ofwBC9F0/XgSjWKCIIX&#10;D1bR66N5ttXmJTRZrf/eCILHYWa+YebLzjTiTq2vLSv4HaUgiAuray4VHA+b4RSED8gaG8uk4Eke&#10;lovezxwzbR+8p3seShEh7DNUUIXgMil9UZFBP7KOOHoX2xoMUbal1C0+Itw0cpymE2mw5rhQoaN1&#10;RcUt/zcK1uTScO52eZJsi0t5nZySlTspNeh3qxmIQF34hj/trVYw/oP3l/g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pzF3BAAAA2wAAAA8AAAAAAAAAAAAAAAAAnwIA&#10;AGRycy9kb3ducmV2LnhtbFBLBQYAAAAABAAEAPcAAACNAw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Pr="00CD496C" w:rsidRDefault="000E7319" w:rsidP="00AA7E0F">
    <w:pPr>
      <w:pStyle w:val="Header"/>
      <w:spacing w:before="240" w:after="240"/>
      <w:jc w:val="right"/>
      <w:rPr>
        <w:b/>
        <w:caps/>
        <w:sz w:val="18"/>
        <w:szCs w:val="18"/>
      </w:rPr>
    </w:pPr>
    <w:r>
      <w:rPr>
        <w:b/>
        <w:caps/>
        <w:sz w:val="18"/>
        <w:szCs w:val="18"/>
      </w:rPr>
      <w:t>APPENDIX D:  Reference Documents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0E73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619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8"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9"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6028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FBzSgQAAIQMAAAOAAAAZHJzL2Uyb0RvYy54bWzsV1lv4zYQfi/Q/0Do&#10;XbEky9aByIvER7pA2gbZ9gfQEmURK5EESR/Zov+9Q1KyHKfHHn1cAzF4zAxnvpn5xrl9d+padCBS&#10;Uc4KL7wJPERYySvKdoX3+28bP/WQ0phVuOWMFN4LUd67xY8/3B5FTiLe8LYiEoERpvKjKLxGa5FP&#10;JqpsSIfVDReEwWXNZYc1bOVuUkl8BOtdO4mCYD45clkJyUuiFJyu3KW3sPbrmpT617pWRKO28MA3&#10;bb+l/d6a78niFuc7iUVDy94N/BVedJgyePRsaoU1RntJ35jqaCm54rW+KXk34XVNS2JjgGjC4Cqa&#10;B8n3wsayy487cYYJoL3C6avNlr8cniSiVeElHmK4gxTZV9E0MdgcxS4HkQcpPogn6QKE5SMvPyq4&#10;nlzfm/3OCaPt8WdegT2819xic6plh+qWip+gUuwJxI9ONhkv52SQk0YlHIbzLJgmkLMS7sI4nWVB&#10;n66ygZwavTCchx4y12kQu1SWzbrXT0DBKc+C2GpOcG5c6N3u3TQxQumpEV31beh+aLAgNmnKQNej&#10;C23g0H2GksRs1xI0TR3CVmyAVzlsEePLBsTInZT82BBcgVehkQfILxTMRkFmvgDsMAqjHjTnAc4H&#10;yKN5j1icze1bA2A4F1LpB8I7ZBaFJyEKm0F8eFTauDWKmCphfEPbFs5x3rJXByDoTuBRUDV35nnb&#10;K39kQbZO12nsx9F87cfBauXfbZaxP9+EyWw1XS2Xq/BP824Y5w2tKsLMM0PfhvHnZa5nENdx585V&#10;vKWVMWdcUnK3XbYSHTDwxsZ+ekAuxCav3bAgQCxXIYVRHNxHmb+Zp4kfb+KZnyVB6gdhdp/NgziL&#10;V5vXIT1SRr49JHQsvGwWzWyWLpy+ii2wn7ex4byjGpi5pV3hpWchnJtaXLPKplZj2rr1BRTG/REK&#10;SPeQaFu5plhdy+nT9mSJx5a1KeQtr16glCWHAoNChKkCi4bLTx46AkMXHoMR4qH2PYNmAAE9LOSw&#10;2A4LzEpQLDztIbdcakf6eyHprgG7joCUuAN22lBbwqMPfZsBKyxuBS1z+OszAqs3RfbfQwq09F6C&#10;727QdZ9lo8Py4174MCcE1nRLW6pf7MyDlBqn2OGJlgZNsxmZJhuYBm7No2iamfQOQkYFmpjURD6T&#10;FgwfyDNR9BMQdWBrBQQtvY8UpAR0u0FsPHrDSpfmAT2zfeXfFmh/aC6z7pGApFxNsr8B003JFS/3&#10;HWHajX1pfedMNVQoD8mcdFtSATG9r1xmh6q7pJcovQuCLLr3l7NgCfSSrP27LE78JFgncRCn4TJc&#10;Dr24VwRgwO1K0P+hGS2PDEPIcsRlY+DcQOJ4pzQDwnaX0pLosjHHNdBSfw565wsL84isAf1Lh8Hb&#10;CQre2fn7L/Nz5Prv42CcGhcc6Crdpfj7OPiHcTCUa08XsLW0a3/qwurVb+nLvZUa/3lY/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CX6FBz&#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5BL4A&#10;AADaAAAADwAAAGRycy9kb3ducmV2LnhtbERPTYvCMBC9C/6HMII3m6ogSzWKCIp4EHQF8TY2Y1vb&#10;TEoTbf335rCwx8f7Xqw6U4k3Na6wrGAcxSCIU6sLzhRcfrejHxDOI2usLJOCDzlYLfu9BSbatnyi&#10;99lnIoSwS1BB7n2dSOnSnAy6yNbEgXvYxqAPsMmkbrAN4aaSkzieSYMFh4Yca9rklJbnl1HQOfNs&#10;y+N1uj3cd3yYUPm4mVKp4aBbz0F46vy/+M+91wrC1nAl3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eeQS+AAAA2gAAAA8AAAAAAAAAAAAAAAAAmAIAAGRycy9kb3ducmV2&#10;LnhtbFBLBQYAAAAABAAEAPUAAACD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iN8/DAAAA2gAAAA8AAABkcnMvZG93bnJldi54bWxEj0FrwkAUhO+C/2F5Qi+hbtpDsKmriFDI&#10;pQej2Osj+0zSZt8u2W0S/70rCB6HmfmGWW8n04mBet9aVvC2TEEQV1a3XCs4Hb9eVyB8QNbYWSYF&#10;V/Kw3cxna8y1HflAQxlqESHsc1TQhOByKX3VkEG/tI44ehfbGwxR9rXUPY4Rbjr5nqaZNNhyXGjQ&#10;0b6h6q/8Nwr25NLwM32XSVJUl/o3Oyc7d1bqZTHtPkEEmsIz/GgXWsEH3K/EGyA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I3z8MAAADaAAAADwAAAAAAAAAAAAAAAACf&#10;AgAAZHJzL2Rvd25yZXYueG1sUEsFBgAAAAAEAAQA9wAAAI8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Default="000E7319" w:rsidP="00DD6335">
    <w:pPr>
      <w:pStyle w:val="Header"/>
      <w:spacing w:before="240" w:after="480"/>
      <w:jc w:val="right"/>
      <w:rPr>
        <w:b/>
        <w:caps/>
        <w:sz w:val="18"/>
        <w:szCs w:val="18"/>
      </w:rPr>
    </w:pPr>
    <w:r>
      <w:rPr>
        <w:b/>
        <w:caps/>
        <w:sz w:val="18"/>
        <w:szCs w:val="18"/>
      </w:rPr>
      <w:t>naesb sTANDARDS dEVELOPMENT cONSIDERATIONS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0E73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4"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15"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nKSQ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thgDhpIUfuWTScWHD2cpODzJOSH+SL8hHC8lkUHzVc&#10;D67v7X7jhdF6/7MowR7ZGuHAOVSqRVXD5E/wnDsBANDBZePtmA16MKiAw2ic4eEEklbAXZSkowx3&#10;+SpqSKrVi6JxFCB7neLE57Kol53+BBS88ggnTnNAcutC53bnpo0Rak+f4NXfBu+HmkjqsqYtdD28&#10;SQ/vKxQl4ZuGomHqIXZyPb7ag4u4mNcgRh+UEvuakhLciqw8YH6mYDcaUvMFaEdxFHeoeQ9I3mMe&#10;jzvIkmzs3uoRI7lU2jxR0SK7mAYKonApJLtnbaxbJxFbJlysWNPAOckbfnEAgv4EHgVVe2efd93y&#10;R4azZbpMkzCJx8swwYtF+LCaJ+F4FU1Gi+FiPl9Ef9p3oySvWVlSbp/pOzdKPi91HYf4njv2rhYN&#10;K60565JWm/W8UWhHgDlW7tMBciY2uHTDgQCxXIUUxQl+jLNwNU4nYbJKRmE2wWmIo+wxG+MkSxar&#10;y5CeGaffHhLaT4NsFI9cls6cvooNu89tbCRvmQFublg7DdKjEMltLS556VJrCGv8+gwK6/4JCkh3&#10;n2hXubZYfc+Zw/rgqCe2r9tCXovyDUpZCSgwKESYK7CohfoUoD1w9DTgMEQC1Lzn0AwgYPqF6hfr&#10;fkF4AYrTwATIL+fG0/5WKrapwa5nIC0fgJ5WzJXwyYeuzYAWZveSFTn8dRmB1U2R/feYAi2zVeC7&#10;H3XtZ9loifq4lSFMCkkMW7OGmTc39SCl1im+e2GFRdNuzqhm1FMNXNtX0TCzCPdSVge6mFZUvdIG&#10;LO/oK9XsE1A1dsUCgo7gTxykJbS7hex0dENL5+YBPru9cHANxN93l113UEBWrobZ36DpB+VCFNuW&#10;cuMnv3K+C65rJnWAVE7bNS2Bmd6XPrV92Z3zS5w+YJzFj+F8hOfAL5Nl+JAlk3CCl5MEJ2k0j+Z9&#10;M241BRhIs5Dsf+hGRyT9GHIkcd4ZJLeQeOIp7IRw7aWNoqao7XEFvNSdg97xwsF8QtaC/qXT4HaG&#10;gnduAv/LBD2R/fd5cBobZyToK92n+Ps8+Id50JdrRxewdbzrfu3C6uLn9PneSZ3+f5j9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KH9ycpJ&#10;BAAAh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33"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QTmcIA&#10;AADbAAAADwAAAGRycy9kb3ducmV2LnhtbERPS2vCQBC+C/6HZQq9mU1tEYlZpQiWkkOhKpTexuzk&#10;0WRnQ3abpP++Kwje5uN7TrqbTCsG6l1tWcFTFIMgzq2uuVRwPh0WaxDOI2tsLZOCP3Kw285nKSba&#10;jvxJw9GXIoSwS1BB5X2XSOnyigy6yHbEgStsb9AH2JdS9ziGcNPKZRyvpMGaQ0OFHe0rypvjr1Ew&#10;OfMzNh9fz4fs8sbZkpri2zRKPT5MrxsQniZ/F9/c7zrMf4H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BOZwgAAANsAAAAPAAAAAAAAAAAAAAAAAJgCAABkcnMvZG93&#10;bnJldi54bWxQSwUGAAAAAAQABAD1AAAAhwM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bPQy/AAAA2wAAAA8AAABkcnMvZG93bnJldi54bWxET02LwjAQvQv+hzCCl6KpgiLVKCIIXvZg&#10;Fb0Ozdh2t5mEJqv13xtB8DaP9zmrTWcacafW15YVTMYpCOLC6ppLBefTfrQA4QOyxsYyKXiSh826&#10;31thpu2Dj3TPQyliCPsMFVQhuExKX1Rk0I+tI47czbYGQ4RtKXWLjxhuGjlN07k0WHNsqNDRrqLi&#10;L/83Cnbk0nDtfvIkORS38nd+SbbuotRw0G2XIAJ14Sv+uA86zp/B+5d4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Gz0MvwAAANsAAAAPAAAAAAAAAAAAAAAAAJ8CAABk&#10;cnMvZG93bnJldi54bWxQSwUGAAAAAAQABAD3AAAAiwM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Default="000E7319" w:rsidP="00DD6335">
    <w:pPr>
      <w:pStyle w:val="Header"/>
      <w:spacing w:before="240" w:after="480"/>
      <w:jc w:val="right"/>
      <w:rPr>
        <w:b/>
        <w:caps/>
        <w:sz w:val="18"/>
        <w:szCs w:val="18"/>
      </w:rPr>
    </w:pPr>
    <w:r>
      <w:rPr>
        <w:b/>
        <w:caps/>
        <w:sz w:val="18"/>
        <w:szCs w:val="18"/>
      </w:rPr>
      <w:t>POLICY cONSIDERATIONS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17"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18"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qi3SwQAAIcMAAAOAAAAZHJzL2Uyb0RvYy54bWzsV1lv4zYQfi/Q/0Do&#10;XTEly9aBOIvER7pA2gbZ9gfQEmURK5EESR/Zov+9Q1LylR579HENxOAxM5z5ZuYb5/bdoWvRjirN&#10;BJ8F0Q0OEOWlqBjfzILff1uFWYC0IbwireB0FrxSHby7+/GH270saCwa0VZUITDCdbGXs6AxRhaj&#10;kS4b2hF9IyTlcFkL1REDW7UZVYrswXrXjmKMp6O9UJVUoqRaw+nCXwZ3zn5d09L8WteaGtTOAvDN&#10;uG/lvtf2e3R3S4qNIrJhZe8G+QovOsI4PHo0tSCGoK1ib0x1rFRCi9rclKIbibpmJXUxQDQRvorm&#10;UYmtdLFsiv1GHmECaK9w+mqz5S+7Z4VYBbmbBoiTDnLknkXj1IKzl5sCZB6V/CCflY8Qlk+i/Kjh&#10;enR9b/cbL4zW+59FBfbI1ggHzqFWHapbJn+C59wJAIAOLhuvx2zQg0ElHEbTHI9TSFoJd1GSTXLc&#10;56tsIKlWL4qmUYDsdYYTn8uyWfb6KSh45QlOnOaIFNaF3u3eTRsj1J4+wau/Dd4PDZHUZU1b6AZ4&#10;0wHeFyhKwjctRePMQ+zkBny1BxdxMW9AjN4rJfYNJRW4FVl5wPxMwW40pOYL0I7iKO5R8x6QYsA8&#10;nvaQJfnUvTUgRgqptHmkokN2MQsUROFSSHZP2li3TiK2TLhYsbaFc1K0/OIABP0JPAqq9s4+77rl&#10;jxzny2yZJWEST5dhgheL8H41T8LpKkoni/FiPl9Ef9p3o6RoWFVRbp8ZOjdKPi91PYf4njv2rhYt&#10;q6w565JWm/W8VWhHgDlW7tMDciY2unTDgQCxXIUUxQl+iPNwNc3SMFklkzBPcRbiKH/IpzjJk8Xq&#10;MqQnxum3h4T2syCfxBOXpTOnr2LD7vM2NlJ0zAA3t6ybBdlRiBS2Fpe8cqk1hLV+fQaFdf8EBaR7&#10;SLSrXFusvufMYX1w1DO2r9tCXovqFUpZCSgwKESYK7BohPoUoD1w9CzgMEQC1L7n0AwgYIaFGhbr&#10;YUF4CYqzwATIL+fG0/5WKrZpwK5nIC3vgZ5WzJXwyYe+zYAW7m4lKwv46zMCqzdF9t9jCrTMVoHv&#10;ftR1n2WjI+rjVoYwKSQxbM1aZl7d1IOUWqf47pmVFk27OaMamLmeyeHavorGuUV4kLI60MW0puqF&#10;tmB5R1+oZp+AqrErFhB0BH/iIC2h3S1kp6M3tHRuHuCz2wsH10D8Q3fZdQ8FZOVqmP0Nmn5QLkS5&#10;7Sg3fvIr57vgumFSB0gVtFvTCpjpfeVTO5TdOb/E2T3GefwQzid4DvySLsP7PEnDFC/TBCdZNI/m&#10;QzNuNQUYSLuQ7H/oRkckwxhyJHHeGaSwkHjiKe2EcO2ljaKmbOxxDbzUn4Pe8cLBfELWgv6l0+Dt&#10;DAXv3AT+lwl6Ivvv8+A0Ns5I0Fe6T/H3efAP82Ao154uYOt41/3ahdXFz+nzvZM6/f9w9x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4l6o&#10;t0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36"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7sIA&#10;AADbAAAADwAAAGRycy9kb3ducmV2LnhtbERPS2vCQBC+C/6HZQq9mU0tVIlZpQiWkkOhKpTexuzk&#10;0WRnQ3abpP++Kwje5uN7TrqbTCsG6l1tWcFTFIMgzq2uuVRwPh0WaxDOI2tsLZOCP3Kw285nKSba&#10;jvxJw9GXIoSwS1BB5X2XSOnyigy6yHbEgStsb9AH2JdS9ziGcNPKZRy/SIM1h4YKO9pXlDfHX6Ng&#10;cuZnbD6+ng/Z5Y2zJTXFt2mUenyYXjcgPE3+Lr6533WYv4L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o3uwgAAANsAAAAPAAAAAAAAAAAAAAAAAJgCAABkcnMvZG93&#10;bnJldi54bWxQSwUGAAAAAAQABAD1AAAAhwM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akpLDAAAA2wAAAA8AAABkcnMvZG93bnJldi54bWxEj0GLwjAQhe+C/yGMsJei6XoQ6RpFBMGL&#10;B6u416EZ22ozCU1W67/fOSzsbYb35r1vVpvBdepJfWw9G/ic5aCIK29brg1czvvpElRMyBY7z2Tg&#10;TRE26/FohYX1Lz7Rs0y1khCOBRpoUgqF1rFqyGGc+UAs2s33DpOsfa1tjy8Jd52e5/lCO2xZGhoM&#10;tGuoepQ/zsCOQp6+h2OZZYfqVt8X12wbrsZ8TIbtF6hEQ/o3/10frOALrPwiA+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qSksMAAADbAAAADwAAAAAAAAAAAAAAAACf&#10;AgAAZHJzL2Rvd25yZXYueG1sUEsFBgAAAAAEAAQA9wAAAI8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Default="000E7319" w:rsidP="00DD6335">
    <w:pPr>
      <w:pStyle w:val="Header"/>
      <w:spacing w:before="240" w:after="480"/>
      <w:jc w:val="right"/>
      <w:rPr>
        <w:b/>
        <w:caps/>
        <w:sz w:val="18"/>
        <w:szCs w:val="18"/>
      </w:rPr>
    </w:pPr>
    <w:r>
      <w:rPr>
        <w:b/>
        <w:caps/>
        <w:sz w:val="18"/>
        <w:szCs w:val="18"/>
      </w:rPr>
      <w:t>COMMERCIAL PRACTICES cONSIDERATIONS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516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in;margin-top:18pt;width:133.1pt;height:117pt;flip:x;z-index:-25166131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DU7SQ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sSceMGYLeSOqFyhlJaDAoBBhqsCiEepTgA7A0EXAYYQEqH3PoRlAwAwLNSw2&#10;w4LwEhSLwATILxfGk/5OKrZtwK4nIC3vgJ3WzJXw6EPfZsAKtzeSlTn89RmB1Zsi++8hBVpmp8B3&#10;P+i6z7LREfVxJ0OYE5IYtmEtMy9u5kFKrVN8/8RKi6bdjEwzG5gGbu2j6Dqz6R2ErAo0Ma2peqYt&#10;GN7TZ6rZJyBq7GoFBB29jxSkJXS7RWw8esNK5+YBPbt95d8GaH9oLrvukYCkXEyyvwHTT8mlKHcd&#10;5caPfeV8F1w3TOoAqZx2G1oBMb2vfGaHqjunlzi9wziL78PFFC+AXuar8C5L5uEcr+YJTtJoES2G&#10;XtxpCjCQdinZ/9CMjkeGIeQ44rwxSG4h8bxT2gHhuksbRU3Z2OMaaKk/B73ThYN5RNaC/qXD4O0E&#10;Be/c/P2X+Tly/fdxME6NMw70le5T/H0c/MM4GMq1pwvYOtp1P3Vh9eq39PneSY3/PNz+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xgNTtJ&#10;BAAAhA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38" o:spid="_x0000_s1039"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Default="000E7319" w:rsidP="00CD496C">
    <w:pPr>
      <w:pStyle w:val="Header"/>
      <w:spacing w:before="240"/>
      <w:jc w:val="right"/>
      <w:rPr>
        <w:b/>
        <w:caps/>
        <w:sz w:val="18"/>
        <w:szCs w:val="18"/>
      </w:rPr>
    </w:pPr>
    <w:r>
      <w:rPr>
        <w:b/>
        <w:caps/>
        <w:sz w:val="18"/>
        <w:szCs w:val="18"/>
      </w:rPr>
      <w:t xml:space="preserve">AppeNdix A:  </w:t>
    </w:r>
    <w:r w:rsidRPr="00CD496C">
      <w:rPr>
        <w:b/>
        <w:caps/>
        <w:sz w:val="18"/>
        <w:szCs w:val="18"/>
      </w:rPr>
      <w:t>Survey Results</w:t>
    </w:r>
  </w:p>
  <w:p w:rsidR="000E7319" w:rsidRPr="00CD496C" w:rsidRDefault="000E7319" w:rsidP="00CD496C">
    <w:pPr>
      <w:pStyle w:val="Header"/>
      <w:spacing w:after="480"/>
      <w:jc w:val="right"/>
      <w:rPr>
        <w:b/>
        <w:caps/>
        <w:sz w:val="18"/>
        <w:szCs w:val="18"/>
      </w:rPr>
    </w:pPr>
    <w:r w:rsidRPr="00CD496C">
      <w:rPr>
        <w:b/>
        <w:caps/>
        <w:sz w:val="18"/>
        <w:szCs w:val="18"/>
      </w:rPr>
      <w:t xml:space="preserve">Categorization of </w:t>
    </w:r>
    <w:r>
      <w:rPr>
        <w:b/>
        <w:caps/>
        <w:sz w:val="18"/>
        <w:szCs w:val="18"/>
      </w:rPr>
      <w:t xml:space="preserve">GEH </w:t>
    </w:r>
    <w:r w:rsidRPr="00CD496C">
      <w:rPr>
        <w:b/>
        <w:caps/>
        <w:sz w:val="18"/>
        <w:szCs w:val="18"/>
      </w:rPr>
      <w:t>Observations</w:t>
    </w:r>
    <w:r>
      <w:rPr>
        <w:b/>
        <w:caps/>
        <w:sz w:val="18"/>
        <w:szCs w:val="18"/>
      </w:rPr>
      <w:t xml:space="preserve"> into issues Related to Standards dEvelopment, Policy or Commercial Practices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0"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21"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KuTAQAAIcMAAAOAAAAZHJzL2Uyb0RvYy54bWzsV1lv4zYQfi/Q/0Do&#10;XTEly7YkxF4kPtIF0jbItj+AliiLWIkkSPrIFv3vHZKSzx579HENxOAxM5z5ZuYb5/7doW3QjirN&#10;BJ8G0R0OEOWFKBnfTIPff1uFaYC0IbwkjeB0GrxRHbyb/fjD/V7mNBa1aEqqEBjhOt/LaVAbI/PB&#10;QBc1bYm+E5JyuKyEaomBrdoMSkX2YL1tBjHG48FeqFIqUVCt4XThL4OZs19VtDC/VpWmBjXTAHwz&#10;7lu577X9HszuSb5RRNas6NwgX+FFSxiHR4+mFsQQtFXsxlTLCiW0qMxdIdqBqCpWUBcDRBPhq2ie&#10;lNhKF8sm32/kESaA9gqnrzZb/LJ7UYiVkLssQJy0kCP3LBpOLDh7uclB5knJD/JF+Qhh+SyKjxqu&#10;B9f3dr/xwmi9/1mUYI9sjXDgHCrVoqph8id4zp0AAOjgsvF2zAY9GFTAYTTO8HACSSvgLkrSUYa7&#10;fBU1JNXqRdE4CpC9TnHic1nUy05/AgpeeYQTpzkguXWhc7tz08YItadP8Opvg/dDTSR1WdMWug7e&#10;GHzx8L5CURK+aSgaph5iJ9fjqz24iIt5DWL0QSmxrykpwa3IygPmZwp2oyE1X4B2FEdxh5r3gOQ9&#10;5vG4gyzJxu6tHjGSS6XNExUtsotpoCAKl0Kye9bGunUSsWXCxYo1DZyTvOEXByDoT+BRULV39nnX&#10;LX9kOFumyzQJk3i8DBO8WIQPq3kSjlfRZLQYLubzRfSnfTdK8pqVJeX2mb5zo+TzUtdxiO+5Y+9q&#10;0bDSmrMuabVZzxuFdgSYY+U+HSBnYoNLNxwIEMtVSFGc4Mc4C1fjdBImq2QUZhOchjjKHrMxTrJk&#10;sboM6Zlx+u0hof00yEbxyGXpzOmr2LD73MZG8pYZ4OaGtdMgPQqR3NbikpcutYawxq/PoLDun6CA&#10;dPeJdpVri9X3nDmsD456RvZ1W8hrUb5BKSsBBQaFCHMFFrVQnwK0B46eBhyGSICa9xyaAQRMv1D9&#10;Yt0vCC9AcRqYAPnl3Hja30rFNjXY9Qyk5QPQ04q5Ej750LUZ0MLsXrIih78uI7C6KbL/HlOgZbYK&#10;fPejrv0sGy1RH7cyhEkhiWFr1jDz5qYepNQ6xXcvrLBo2s0Z1QAneqqBa/sqGmYW4V7K6kAX04qq&#10;V9qA5R19pZp9AqrGrlhA0BH8iYO0hHa3kJ2Obmjp3DzAZ7cXDq6B+PvususOCsjK1TD7GzT9oFyI&#10;YttSbvzkV853wXXNpA6Qymm7piUw0/vSp7Yvu3N+idMHjLP4MZyP8Bz4ZbIMH7JkEk7wcpLgJI3m&#10;0bxvxq2mAANpFpL9D93oiKQfQ44kzjuD5BYSTzyFnRCuvbRR1BS1Pa6Al7pz0DteOJhPyFrQv3Qa&#10;3M5Q8M5N4H+ZoCey/z4PTmPjjAR9pfsUf58H/zAP+nLt6AK2jnfdr11YXfycPt87qdP/D7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CSz&#10;4q5MBAAAhw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38" o:spid="_x0000_s1042"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fJ8AA&#10;AADbAAAADwAAAGRycy9kb3ducmV2LnhtbERPy4rCMBTdC/5DuII7Te3AMFRTEUERF8I4gri7NrcP&#10;29yUJmPr35vFwCwP571aD6YRT+pcZVnBYh6BIM6srrhQcPnZzb5AOI+ssbFMCl7kYJ2ORytMtO35&#10;m55nX4gQwi5BBaX3bSKly0oy6Oa2JQ5cbjuDPsCukLrDPoSbRsZR9CkNVhwaSmxpW1JWn3+NgsGZ&#10;R1+frh+7433Px5jq/GZqpaaTYbME4Wnw/+I/90EriMP68CX8AJ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fJ8AAAADbAAAADwAAAAAAAAAAAAAAAACYAgAAZHJzL2Rvd25y&#10;ZXYueG1sUEsFBgAAAAAEAAQA9QAAAIUDA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M8bLAAAAA2wAAAA8AAABkcnMvZG93bnJldi54bWxEj0GrwjAQhO+C/yGs4KVoqgeRahQRBC8e&#10;7BO9Ls3aVptNaKLWf2+EBx6HmfmGWa4704gntb62rGAyTkEQF1bXXCo4/e1GcxA+IGtsLJOCN3lY&#10;r/q9JWbavvhIzzyUIkLYZ6igCsFlUvqiIoN+bB1x9K62NRiibEupW3xFuGnkNE1n0mDNcaFCR9uK&#10;inv+MAq25NJw6Q55kuyLa3mbnZONOys1HHSbBYhAXfiF/9t7rWA6ge+X+AP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0zxssAAAADbAAAADwAAAAAAAAAAAAAAAACfAgAA&#10;ZHJzL2Rvd25yZXYueG1sUEsFBgAAAAAEAAQA9wAAAIw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Pr="00CD496C" w:rsidRDefault="000E7319" w:rsidP="00AA7E0F">
    <w:pPr>
      <w:pStyle w:val="Header"/>
      <w:spacing w:before="240" w:after="240"/>
      <w:jc w:val="right"/>
      <w:rPr>
        <w:b/>
        <w:caps/>
        <w:sz w:val="18"/>
        <w:szCs w:val="18"/>
      </w:rPr>
    </w:pPr>
    <w:r>
      <w:rPr>
        <w:b/>
        <w:caps/>
        <w:sz w:val="18"/>
        <w:szCs w:val="18"/>
      </w:rPr>
      <w:t>APPENDIX B:  List of NAESB GEH committee Members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19" w:rsidRDefault="003152A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3"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19" w:rsidRDefault="000E7319"/>
                        </w:txbxContent>
                      </wps:txbx>
                      <wps:bodyPr rot="0" vert="horz" wrap="none" lIns="0" tIns="0" rIns="0" bIns="0" anchor="t" anchorCtr="0" upright="1">
                        <a:spAutoFit/>
                      </wps:bodyPr>
                    </wps:wsp>
                    <pic:pic xmlns:pic="http://schemas.openxmlformats.org/drawingml/2006/picture">
                      <pic:nvPicPr>
                        <pic:cNvPr id="24"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ZoNSwQAAIcMAAAOAAAAZHJzL2Uyb0RvYy54bWzsV1lv4zYQfi/Q/0Do&#10;XTEly7YkRFkkPtIF0jbItj+AliiLWIkkSPrIFv3vHZKSr/TYo49rIAaPmeHMNzPfOLfvDl2LdlRp&#10;JngRRDc4QJSXomJ8UwS//7YK0wBpQ3hFWsFpEbxSHby7+/GH273MaSwa0VZUITDCdb6XRdAYI/PR&#10;SJcN7Yi+EZJyuKyF6oiBrdqMKkX2YL1rRzHG09FeqEoqUVKt4XThL4M7Z7+uaWl+rWtNDWqLAHwz&#10;7lu577X9Ht3dknyjiGxY2btBvsKLjjAOjx5NLYghaKvYG1MdK5XQojY3pehGoq5ZSV0MEE2Er6J5&#10;VGIrXSybfL+RR5gA2iucvtps+cvuWSFWFUEcB4iTDnLknkXjmQVnLzc5yDwq+UE+Kx8hLJ9E+VHD&#10;9ej63u43Xhit9z+LCuyRrREOnEOtOlS3TP4EpeJOAAB0cNl4PWaDHgwq4TCaZng8g6SVcBcl6STD&#10;fb7KBpJq9aJoGgXIXqc48bksm2WvPwMFrzzBidMckdy60Lvdu2ljhNrTJ3j1t8H7oSGSuqxpC90A&#10;73iA9wWKkvBNS9E49RA7uQFf7cFFXMwbEKP3Sol9Q0kFbkVWHjA/U7AbDan5ArSjOIJcO9S8ByQf&#10;MI+nPWRJNnVvDYiRXCptHqnokF0UgYIoXArJ7kkb69ZJxJYJFyvWtnBO8pZfHICgP4FHQdXe2edd&#10;t/yR4WyZLtMkTOLpMkzwYhHer+ZJOF1Fs8livJjPF9Gf9t0oyRtWVZTbZ4bOjZLPS13PIb7njr2r&#10;Rcsqa866pNVmPW8V2hFgjpX79ICciY0u3XAgQCxXIUVxgh/iLFxN01mYrJJJmM1wGuIoe8imOMmS&#10;xeoypCfG6beHhPZFkE3iicvSmdNXsWH3eRsbyTtmgJtb1hVBehQiua3FJa9cag1hrV+fQWHdP0EB&#10;6R4S7SrXFqvvOXNYHxz1uFKzhbwW1SuUshJQYFCIMFdg0Qj1KUB74Ogi4DBEAtS+59AMIGCGhRoW&#10;62FBeAmKRWAC5Jdz42l/KxXbNGDXM5CW90BPK+ZK+ORD32ZAC3e3kpU5/PUZgdWbIvvvMQVaZqvA&#10;dz/qus+y0RH1cStDmBSSGLZmLTOvbupBSq1TfPfMSoum3ZxRTTJQDVzbV9E4s/kdpKwOdDGtqXqh&#10;LVje0Req2SegauyKBQQdwZ84SEtodwvZ6egNLZ2bB/js9sLBNRD/0F123UMBWbkaZn+Dph+UC1Fu&#10;O8qNn/zK+S64bpjUAVI57da0AmZ6X/nUDmV3zi9xeo9xFj+E8wmeA7/MluF9lszCGV7OEpyk0Tya&#10;D8241RRgIO1Csv+hGx2RDGPIkcR5Z5DcQuKJp7QTwrWXNoqasrHHNfBSfw56xwsH8wlZC/qXToO3&#10;MxS8cxP4Xyboiey/z4PT2DgjQV/pPsXf58E/zIOhXHu6gK3jXfdrF1YXP6fP907q9P/D3V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nh2a&#10;DUsEAACH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38" o:spid="_x0000_s1045"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BUMQA&#10;AADbAAAADwAAAGRycy9kb3ducmV2LnhtbESPzWrDMBCE74W8g9hAb7UcG0pxrYQSSCk5BJIGQm5b&#10;a/1TWytjqbbz9lGh0OMwM98w+WY2nRhpcI1lBasoBkFcWN1wpeD8uXt6AeE8ssbOMim4kYPNevGQ&#10;Y6btxEcaT74SAcIuQwW1930mpStqMugi2xMHr7SDQR/kUEk94BTgppNJHD9Lgw2HhRp72tZUtKcf&#10;o2B25ntqD5d0t/96531CbXk1rVKPy/ntFYSn2f+H/9ofWkGSwu+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xQVDEAAAA2wAAAA8AAAAAAAAAAAAAAAAAmAIAAGRycy9k&#10;b3ducmV2LnhtbFBLBQYAAAAABAAEAPUAAACJAwAAAAA=&#10;" filled="f" stroked="f">
                <v:textbox style="mso-fit-shape-to-text:t" inset="0,0,0,0">
                  <w:txbxContent>
                    <w:p w:rsidR="000E7319" w:rsidRDefault="000E731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7UirDAAAA2wAAAA8AAABkcnMvZG93bnJldi54bWxEj0FrwkAUhO8F/8PyBC9BNw1FJLqKBAQv&#10;HpoWvT6yzySafbtkt0n677uFQo/DzHzD7A6T6cRAvW8tK3hdpSCIK6tbrhV8fpyWGxA+IGvsLJOC&#10;b/Jw2M9edphrO/I7DWWoRYSwz1FBE4LLpfRVQwb9yjri6N1tbzBE2ddS9zhGuOlklqZrabDluNCg&#10;o6Kh6ll+GQUFuTTcpkuZJOfqXj/W1+Torkot5tNxCyLQFP7Df+2zVpC9we+X+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tSKsMAAADbAAAADwAAAAAAAAAAAAAAAACf&#10;AgAAZHJzL2Rvd25yZXYueG1sUEsFBgAAAAAEAAQA9wAAAI8DAAAAAA==&#10;">
                <v:imagedata r:id="rId2" o:title=""/>
              </v:shape>
              <w10:wrap anchorx="page" anchory="page"/>
            </v:group>
          </w:pict>
        </mc:Fallback>
      </mc:AlternateContent>
    </w:r>
  </w:p>
  <w:p w:rsidR="000E7319" w:rsidRDefault="000E731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E7319" w:rsidRDefault="000E7319">
    <w:pPr>
      <w:pStyle w:val="Header"/>
      <w:tabs>
        <w:tab w:val="left" w:pos="680"/>
        <w:tab w:val="right" w:pos="9810"/>
      </w:tabs>
      <w:spacing w:before="60"/>
      <w:ind w:left="1800"/>
      <w:jc w:val="right"/>
    </w:pPr>
    <w:r>
      <w:t>801 Travis, Suite 1675, Houston, Texas 77002</w:t>
    </w:r>
  </w:p>
  <w:p w:rsidR="000E7319" w:rsidRDefault="000E7319">
    <w:pPr>
      <w:pStyle w:val="Header"/>
      <w:ind w:left="1800"/>
      <w:jc w:val="right"/>
    </w:pPr>
    <w:r>
      <w:t>Phone:  (713) 356-0060, Fax:  (713) 356-0067, E-mail: naesb@naesb.org</w:t>
    </w:r>
  </w:p>
  <w:p w:rsidR="000E7319" w:rsidRDefault="000E7319">
    <w:pPr>
      <w:pStyle w:val="Header"/>
      <w:pBdr>
        <w:bottom w:val="single" w:sz="18" w:space="1" w:color="auto"/>
      </w:pBdr>
      <w:ind w:left="1800" w:hanging="1800"/>
      <w:jc w:val="right"/>
    </w:pPr>
    <w:r>
      <w:tab/>
      <w:t xml:space="preserve">Home Page: </w:t>
    </w:r>
    <w:hyperlink r:id="rId3" w:history="1">
      <w:r>
        <w:rPr>
          <w:rStyle w:val="Hyperlink"/>
        </w:rPr>
        <w:t>www.naesb.org</w:t>
      </w:r>
    </w:hyperlink>
  </w:p>
  <w:p w:rsidR="000E7319" w:rsidRPr="00CD496C" w:rsidRDefault="000E7319" w:rsidP="00AA7E0F">
    <w:pPr>
      <w:pStyle w:val="Header"/>
      <w:spacing w:before="240" w:after="240"/>
      <w:jc w:val="right"/>
      <w:rPr>
        <w:b/>
        <w:caps/>
        <w:sz w:val="18"/>
        <w:szCs w:val="18"/>
      </w:rPr>
    </w:pPr>
    <w:r>
      <w:rPr>
        <w:b/>
        <w:caps/>
        <w:sz w:val="18"/>
        <w:szCs w:val="18"/>
      </w:rPr>
      <w:t>APPENDIX C:  Committee Meeting Dates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18B"/>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81406BC"/>
    <w:multiLevelType w:val="hybridMultilevel"/>
    <w:tmpl w:val="27D220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C344D4C"/>
    <w:multiLevelType w:val="hybridMultilevel"/>
    <w:tmpl w:val="45006AE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43661"/>
    <w:multiLevelType w:val="hybridMultilevel"/>
    <w:tmpl w:val="B0D426F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D41B6"/>
    <w:multiLevelType w:val="hybridMultilevel"/>
    <w:tmpl w:val="17B2669E"/>
    <w:lvl w:ilvl="0" w:tplc="19868E6A">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3"/>
  </w:num>
  <w:num w:numId="11">
    <w:abstractNumId w:val="6"/>
  </w:num>
  <w:num w:numId="12">
    <w:abstractNumId w:val="7"/>
  </w:num>
  <w:num w:numId="13">
    <w:abstractNumId w:val="0"/>
  </w:num>
  <w:num w:numId="14">
    <w:abstractNumId w:val="4"/>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0049A8"/>
    <w:rsid w:val="00060C95"/>
    <w:rsid w:val="00070100"/>
    <w:rsid w:val="000737BF"/>
    <w:rsid w:val="00094B28"/>
    <w:rsid w:val="000E7319"/>
    <w:rsid w:val="00163A82"/>
    <w:rsid w:val="0019079F"/>
    <w:rsid w:val="001B6299"/>
    <w:rsid w:val="002370E3"/>
    <w:rsid w:val="002706F4"/>
    <w:rsid w:val="0027318B"/>
    <w:rsid w:val="00287105"/>
    <w:rsid w:val="002E7E33"/>
    <w:rsid w:val="003139E5"/>
    <w:rsid w:val="003152AE"/>
    <w:rsid w:val="00352BB5"/>
    <w:rsid w:val="00357AD5"/>
    <w:rsid w:val="003A1419"/>
    <w:rsid w:val="003B4596"/>
    <w:rsid w:val="003B54BA"/>
    <w:rsid w:val="003B59B4"/>
    <w:rsid w:val="0040035E"/>
    <w:rsid w:val="00431353"/>
    <w:rsid w:val="004566FB"/>
    <w:rsid w:val="00471AF8"/>
    <w:rsid w:val="005450D7"/>
    <w:rsid w:val="00591ACD"/>
    <w:rsid w:val="005E75BC"/>
    <w:rsid w:val="0061729E"/>
    <w:rsid w:val="00624CD2"/>
    <w:rsid w:val="00642143"/>
    <w:rsid w:val="00657BE1"/>
    <w:rsid w:val="006657FA"/>
    <w:rsid w:val="006730FF"/>
    <w:rsid w:val="0070425A"/>
    <w:rsid w:val="00716ECF"/>
    <w:rsid w:val="007775BA"/>
    <w:rsid w:val="007B1CF5"/>
    <w:rsid w:val="00804A7C"/>
    <w:rsid w:val="0086463B"/>
    <w:rsid w:val="00870577"/>
    <w:rsid w:val="008761BC"/>
    <w:rsid w:val="008E5DEC"/>
    <w:rsid w:val="009730F2"/>
    <w:rsid w:val="0097470C"/>
    <w:rsid w:val="009807F0"/>
    <w:rsid w:val="00995E29"/>
    <w:rsid w:val="009C2251"/>
    <w:rsid w:val="00A01C72"/>
    <w:rsid w:val="00A12FFD"/>
    <w:rsid w:val="00A22247"/>
    <w:rsid w:val="00A32D2B"/>
    <w:rsid w:val="00A664F4"/>
    <w:rsid w:val="00A86DFF"/>
    <w:rsid w:val="00AA7E0F"/>
    <w:rsid w:val="00AE1175"/>
    <w:rsid w:val="00AE19C1"/>
    <w:rsid w:val="00AF4503"/>
    <w:rsid w:val="00AF6393"/>
    <w:rsid w:val="00B2528C"/>
    <w:rsid w:val="00B40A68"/>
    <w:rsid w:val="00B42BD4"/>
    <w:rsid w:val="00B44798"/>
    <w:rsid w:val="00B44FB5"/>
    <w:rsid w:val="00B83CC8"/>
    <w:rsid w:val="00B9691D"/>
    <w:rsid w:val="00BA0FE1"/>
    <w:rsid w:val="00C22D37"/>
    <w:rsid w:val="00C451D0"/>
    <w:rsid w:val="00CD2F75"/>
    <w:rsid w:val="00CD496C"/>
    <w:rsid w:val="00D00F2B"/>
    <w:rsid w:val="00D01176"/>
    <w:rsid w:val="00D04B12"/>
    <w:rsid w:val="00D15FE3"/>
    <w:rsid w:val="00D24ADD"/>
    <w:rsid w:val="00D44AD7"/>
    <w:rsid w:val="00D53541"/>
    <w:rsid w:val="00DD58FE"/>
    <w:rsid w:val="00DD6335"/>
    <w:rsid w:val="00E0462B"/>
    <w:rsid w:val="00E07BA7"/>
    <w:rsid w:val="00E2744E"/>
    <w:rsid w:val="00E526A5"/>
    <w:rsid w:val="00E65F89"/>
    <w:rsid w:val="00E75127"/>
    <w:rsid w:val="00E8491E"/>
    <w:rsid w:val="00F02F39"/>
    <w:rsid w:val="00F17629"/>
    <w:rsid w:val="00F3517F"/>
    <w:rsid w:val="00F46F93"/>
    <w:rsid w:val="00F54947"/>
    <w:rsid w:val="00F80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CF"/>
  </w:style>
  <w:style w:type="paragraph" w:styleId="Heading1">
    <w:name w:val="heading 1"/>
    <w:basedOn w:val="Normal"/>
    <w:next w:val="Normal"/>
    <w:link w:val="Heading1Char"/>
    <w:uiPriority w:val="99"/>
    <w:qFormat/>
    <w:rsid w:val="00716ECF"/>
    <w:pPr>
      <w:keepNext/>
      <w:outlineLvl w:val="0"/>
    </w:pPr>
    <w:rPr>
      <w:rFonts w:ascii="Signature" w:hAnsi="Signature"/>
      <w:sz w:val="36"/>
    </w:rPr>
  </w:style>
  <w:style w:type="paragraph" w:styleId="Heading2">
    <w:name w:val="heading 2"/>
    <w:basedOn w:val="Normal"/>
    <w:next w:val="Normal"/>
    <w:link w:val="Heading2Char"/>
    <w:uiPriority w:val="99"/>
    <w:qFormat/>
    <w:rsid w:val="00716ECF"/>
    <w:pPr>
      <w:keepNext/>
      <w:outlineLvl w:val="1"/>
    </w:pPr>
    <w:rPr>
      <w:sz w:val="24"/>
    </w:rPr>
  </w:style>
  <w:style w:type="paragraph" w:styleId="Heading3">
    <w:name w:val="heading 3"/>
    <w:basedOn w:val="Normal"/>
    <w:next w:val="Normal"/>
    <w:link w:val="Heading3Char"/>
    <w:uiPriority w:val="99"/>
    <w:qFormat/>
    <w:rsid w:val="00716ECF"/>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716ECF"/>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716ECF"/>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716ECF"/>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67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3367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33673"/>
    <w:rPr>
      <w:rFonts w:ascii="Cambria" w:eastAsia="Times New Roman" w:hAnsi="Cambria" w:cs="Times New Roman"/>
      <w:b/>
      <w:bCs/>
      <w:sz w:val="26"/>
      <w:szCs w:val="26"/>
    </w:rPr>
  </w:style>
  <w:style w:type="character" w:customStyle="1" w:styleId="Heading4Char">
    <w:name w:val="Heading 4 Char"/>
    <w:link w:val="Heading4"/>
    <w:uiPriority w:val="9"/>
    <w:semiHidden/>
    <w:rsid w:val="00E33673"/>
    <w:rPr>
      <w:rFonts w:ascii="Calibri" w:eastAsia="Times New Roman" w:hAnsi="Calibri" w:cs="Times New Roman"/>
      <w:b/>
      <w:bCs/>
      <w:sz w:val="28"/>
      <w:szCs w:val="28"/>
    </w:rPr>
  </w:style>
  <w:style w:type="character" w:customStyle="1" w:styleId="Heading5Char">
    <w:name w:val="Heading 5 Char"/>
    <w:link w:val="Heading5"/>
    <w:uiPriority w:val="9"/>
    <w:semiHidden/>
    <w:rsid w:val="00E3367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33673"/>
    <w:rPr>
      <w:rFonts w:ascii="Calibri" w:eastAsia="Times New Roman" w:hAnsi="Calibri" w:cs="Times New Roman"/>
      <w:b/>
      <w:bCs/>
    </w:rPr>
  </w:style>
  <w:style w:type="paragraph" w:styleId="Header">
    <w:name w:val="header"/>
    <w:basedOn w:val="Normal"/>
    <w:link w:val="HeaderChar"/>
    <w:uiPriority w:val="99"/>
    <w:rsid w:val="00716ECF"/>
    <w:pPr>
      <w:tabs>
        <w:tab w:val="center" w:pos="4320"/>
        <w:tab w:val="right" w:pos="8640"/>
      </w:tabs>
    </w:pPr>
  </w:style>
  <w:style w:type="character" w:customStyle="1" w:styleId="HeaderChar">
    <w:name w:val="Header Char"/>
    <w:link w:val="Header"/>
    <w:uiPriority w:val="99"/>
    <w:semiHidden/>
    <w:rsid w:val="00E33673"/>
    <w:rPr>
      <w:sz w:val="20"/>
      <w:szCs w:val="20"/>
    </w:rPr>
  </w:style>
  <w:style w:type="paragraph" w:styleId="Footer">
    <w:name w:val="footer"/>
    <w:basedOn w:val="Normal"/>
    <w:link w:val="FooterChar"/>
    <w:uiPriority w:val="99"/>
    <w:rsid w:val="00716ECF"/>
    <w:pPr>
      <w:tabs>
        <w:tab w:val="center" w:pos="4320"/>
        <w:tab w:val="right" w:pos="8640"/>
      </w:tabs>
    </w:pPr>
  </w:style>
  <w:style w:type="character" w:customStyle="1" w:styleId="FooterChar">
    <w:name w:val="Footer Char"/>
    <w:link w:val="Footer"/>
    <w:uiPriority w:val="99"/>
    <w:semiHidden/>
    <w:rsid w:val="00E33673"/>
    <w:rPr>
      <w:sz w:val="20"/>
      <w:szCs w:val="20"/>
    </w:rPr>
  </w:style>
  <w:style w:type="paragraph" w:customStyle="1" w:styleId="Print-FromToSubjectDate">
    <w:name w:val="Print- From: To: Subject: Date:"/>
    <w:basedOn w:val="Normal"/>
    <w:uiPriority w:val="99"/>
    <w:rsid w:val="00716ECF"/>
    <w:pPr>
      <w:pBdr>
        <w:left w:val="single" w:sz="18" w:space="1" w:color="auto"/>
      </w:pBdr>
    </w:pPr>
    <w:rPr>
      <w:rFonts w:ascii="Arial" w:hAnsi="Arial"/>
    </w:rPr>
  </w:style>
  <w:style w:type="paragraph" w:customStyle="1" w:styleId="DefaultText">
    <w:name w:val="Default Text"/>
    <w:uiPriority w:val="99"/>
    <w:rsid w:val="00716ECF"/>
    <w:rPr>
      <w:color w:val="000000"/>
      <w:sz w:val="24"/>
    </w:rPr>
  </w:style>
  <w:style w:type="paragraph" w:styleId="BodyText">
    <w:name w:val="Body Text"/>
    <w:basedOn w:val="Normal"/>
    <w:link w:val="BodyTextChar"/>
    <w:uiPriority w:val="99"/>
    <w:rsid w:val="00716ECF"/>
    <w:rPr>
      <w:sz w:val="24"/>
    </w:rPr>
  </w:style>
  <w:style w:type="character" w:customStyle="1" w:styleId="BodyTextChar">
    <w:name w:val="Body Text Char"/>
    <w:link w:val="BodyText"/>
    <w:uiPriority w:val="99"/>
    <w:locked/>
    <w:rsid w:val="003A1419"/>
    <w:rPr>
      <w:rFonts w:cs="Times New Roman"/>
      <w:sz w:val="24"/>
    </w:rPr>
  </w:style>
  <w:style w:type="paragraph" w:styleId="Date">
    <w:name w:val="Date"/>
    <w:basedOn w:val="Normal"/>
    <w:next w:val="Normal"/>
    <w:link w:val="DateChar"/>
    <w:uiPriority w:val="99"/>
    <w:rsid w:val="00716ECF"/>
  </w:style>
  <w:style w:type="character" w:customStyle="1" w:styleId="DateChar">
    <w:name w:val="Date Char"/>
    <w:link w:val="Date"/>
    <w:uiPriority w:val="99"/>
    <w:semiHidden/>
    <w:rsid w:val="00E33673"/>
    <w:rPr>
      <w:sz w:val="20"/>
      <w:szCs w:val="20"/>
    </w:rPr>
  </w:style>
  <w:style w:type="paragraph" w:customStyle="1" w:styleId="InsideAddressName">
    <w:name w:val="Inside Address Name"/>
    <w:basedOn w:val="Normal"/>
    <w:uiPriority w:val="99"/>
    <w:rsid w:val="00716ECF"/>
  </w:style>
  <w:style w:type="paragraph" w:customStyle="1" w:styleId="InsideAddress">
    <w:name w:val="Inside Address"/>
    <w:basedOn w:val="Normal"/>
    <w:uiPriority w:val="99"/>
    <w:rsid w:val="00716ECF"/>
  </w:style>
  <w:style w:type="paragraph" w:styleId="Salutation">
    <w:name w:val="Salutation"/>
    <w:basedOn w:val="Normal"/>
    <w:next w:val="Normal"/>
    <w:link w:val="SalutationChar"/>
    <w:uiPriority w:val="99"/>
    <w:rsid w:val="00716ECF"/>
  </w:style>
  <w:style w:type="character" w:customStyle="1" w:styleId="SalutationChar">
    <w:name w:val="Salutation Char"/>
    <w:link w:val="Salutation"/>
    <w:uiPriority w:val="99"/>
    <w:semiHidden/>
    <w:rsid w:val="00E33673"/>
    <w:rPr>
      <w:sz w:val="20"/>
      <w:szCs w:val="20"/>
    </w:rPr>
  </w:style>
  <w:style w:type="paragraph" w:styleId="Closing">
    <w:name w:val="Closing"/>
    <w:basedOn w:val="Normal"/>
    <w:link w:val="ClosingChar"/>
    <w:uiPriority w:val="99"/>
    <w:rsid w:val="00716ECF"/>
  </w:style>
  <w:style w:type="character" w:customStyle="1" w:styleId="ClosingChar">
    <w:name w:val="Closing Char"/>
    <w:link w:val="Closing"/>
    <w:uiPriority w:val="99"/>
    <w:semiHidden/>
    <w:rsid w:val="00E33673"/>
    <w:rPr>
      <w:sz w:val="20"/>
      <w:szCs w:val="20"/>
    </w:rPr>
  </w:style>
  <w:style w:type="paragraph" w:styleId="Signature">
    <w:name w:val="Signature"/>
    <w:basedOn w:val="Normal"/>
    <w:link w:val="SignatureChar"/>
    <w:uiPriority w:val="99"/>
    <w:rsid w:val="00716ECF"/>
  </w:style>
  <w:style w:type="character" w:customStyle="1" w:styleId="SignatureChar">
    <w:name w:val="Signature Char"/>
    <w:link w:val="Signature"/>
    <w:uiPriority w:val="99"/>
    <w:semiHidden/>
    <w:rsid w:val="00E33673"/>
    <w:rPr>
      <w:sz w:val="20"/>
      <w:szCs w:val="20"/>
    </w:rPr>
  </w:style>
  <w:style w:type="character" w:styleId="Hyperlink">
    <w:name w:val="Hyperlink"/>
    <w:uiPriority w:val="99"/>
    <w:rsid w:val="00716ECF"/>
    <w:rPr>
      <w:rFonts w:cs="Times New Roman"/>
      <w:color w:val="0000FF"/>
      <w:u w:val="single"/>
    </w:rPr>
  </w:style>
  <w:style w:type="paragraph" w:customStyle="1" w:styleId="TableText">
    <w:name w:val="Table Text"/>
    <w:uiPriority w:val="99"/>
    <w:rsid w:val="00716ECF"/>
    <w:rPr>
      <w:rFonts w:ascii="Arial Narrow" w:hAnsi="Arial Narrow"/>
      <w:color w:val="000000"/>
      <w:sz w:val="24"/>
    </w:rPr>
  </w:style>
  <w:style w:type="paragraph" w:styleId="BodyTextIndent">
    <w:name w:val="Body Text Indent"/>
    <w:basedOn w:val="Normal"/>
    <w:link w:val="BodyTextIndentChar"/>
    <w:uiPriority w:val="99"/>
    <w:rsid w:val="00716ECF"/>
    <w:pPr>
      <w:spacing w:before="120"/>
      <w:ind w:firstLine="720"/>
      <w:jc w:val="both"/>
    </w:pPr>
    <w:rPr>
      <w:rFonts w:ascii="Bookman Old Style" w:hAnsi="Bookman Old Style" w:cs="Brush Script"/>
    </w:rPr>
  </w:style>
  <w:style w:type="character" w:customStyle="1" w:styleId="BodyTextIndentChar">
    <w:name w:val="Body Text Indent Char"/>
    <w:link w:val="BodyTextIndent"/>
    <w:uiPriority w:val="99"/>
    <w:semiHidden/>
    <w:rsid w:val="00E33673"/>
    <w:rPr>
      <w:sz w:val="20"/>
      <w:szCs w:val="20"/>
    </w:rPr>
  </w:style>
  <w:style w:type="character" w:styleId="FollowedHyperlink">
    <w:name w:val="FollowedHyperlink"/>
    <w:uiPriority w:val="99"/>
    <w:rsid w:val="00716ECF"/>
    <w:rPr>
      <w:rFonts w:cs="Times New Roman"/>
      <w:color w:val="0000FF"/>
      <w:u w:val="single"/>
    </w:rPr>
  </w:style>
  <w:style w:type="paragraph" w:styleId="FootnoteText">
    <w:name w:val="footnote text"/>
    <w:basedOn w:val="Normal"/>
    <w:link w:val="FootnoteTextChar"/>
    <w:uiPriority w:val="99"/>
    <w:semiHidden/>
    <w:rsid w:val="00716ECF"/>
  </w:style>
  <w:style w:type="character" w:customStyle="1" w:styleId="FootnoteTextChar">
    <w:name w:val="Footnote Text Char"/>
    <w:link w:val="FootnoteText"/>
    <w:uiPriority w:val="99"/>
    <w:semiHidden/>
    <w:rsid w:val="00E33673"/>
    <w:rPr>
      <w:sz w:val="20"/>
      <w:szCs w:val="20"/>
    </w:rPr>
  </w:style>
  <w:style w:type="character" w:styleId="FootnoteReference">
    <w:name w:val="footnote reference"/>
    <w:uiPriority w:val="99"/>
    <w:semiHidden/>
    <w:rsid w:val="00716ECF"/>
    <w:rPr>
      <w:rFonts w:cs="Times New Roman"/>
      <w:vertAlign w:val="superscript"/>
    </w:rPr>
  </w:style>
  <w:style w:type="character" w:styleId="PageNumber">
    <w:name w:val="page number"/>
    <w:uiPriority w:val="99"/>
    <w:rsid w:val="00716ECF"/>
    <w:rPr>
      <w:rFonts w:cs="Times New Roman"/>
    </w:rPr>
  </w:style>
  <w:style w:type="paragraph" w:styleId="BalloonText">
    <w:name w:val="Balloon Text"/>
    <w:basedOn w:val="Normal"/>
    <w:link w:val="BalloonTextChar"/>
    <w:uiPriority w:val="99"/>
    <w:semiHidden/>
    <w:rsid w:val="00716ECF"/>
    <w:rPr>
      <w:rFonts w:ascii="Tahoma" w:hAnsi="Tahoma" w:cs="Tahoma"/>
      <w:sz w:val="16"/>
      <w:szCs w:val="16"/>
    </w:rPr>
  </w:style>
  <w:style w:type="character" w:customStyle="1" w:styleId="BalloonTextChar">
    <w:name w:val="Balloon Text Char"/>
    <w:link w:val="BalloonText"/>
    <w:uiPriority w:val="99"/>
    <w:semiHidden/>
    <w:rsid w:val="00E33673"/>
    <w:rPr>
      <w:sz w:val="0"/>
      <w:szCs w:val="0"/>
    </w:rPr>
  </w:style>
  <w:style w:type="character" w:customStyle="1" w:styleId="LauraKennedy">
    <w:name w:val="Laura Kennedy"/>
    <w:uiPriority w:val="99"/>
    <w:semiHidden/>
    <w:rsid w:val="00716ECF"/>
    <w:rPr>
      <w:rFonts w:ascii="Bookman Old Style" w:hAnsi="Bookman Old Style"/>
      <w:color w:val="auto"/>
      <w:sz w:val="20"/>
      <w:u w:val="none"/>
    </w:rPr>
  </w:style>
  <w:style w:type="paragraph" w:styleId="DocumentMap">
    <w:name w:val="Document Map"/>
    <w:basedOn w:val="Normal"/>
    <w:link w:val="DocumentMapChar"/>
    <w:uiPriority w:val="99"/>
    <w:semiHidden/>
    <w:rsid w:val="00716ECF"/>
    <w:pPr>
      <w:shd w:val="clear" w:color="auto" w:fill="000080"/>
    </w:pPr>
    <w:rPr>
      <w:rFonts w:ascii="Tahoma" w:hAnsi="Tahoma" w:cs="Tahoma"/>
    </w:rPr>
  </w:style>
  <w:style w:type="character" w:customStyle="1" w:styleId="DocumentMapChar">
    <w:name w:val="Document Map Char"/>
    <w:link w:val="DocumentMap"/>
    <w:uiPriority w:val="99"/>
    <w:semiHidden/>
    <w:rsid w:val="00E33673"/>
    <w:rPr>
      <w:sz w:val="0"/>
      <w:szCs w:val="0"/>
    </w:rPr>
  </w:style>
  <w:style w:type="paragraph" w:styleId="ListParagraph">
    <w:name w:val="List Paragraph"/>
    <w:basedOn w:val="Normal"/>
    <w:uiPriority w:val="99"/>
    <w:qFormat/>
    <w:rsid w:val="00716ECF"/>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3A1419"/>
    <w:rPr>
      <w:rFonts w:ascii="Bookman Old Style" w:hAnsi="Bookman Old Style" w:cs="Times New Roman"/>
      <w:b/>
      <w:snapToGrid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CF"/>
  </w:style>
  <w:style w:type="paragraph" w:styleId="Heading1">
    <w:name w:val="heading 1"/>
    <w:basedOn w:val="Normal"/>
    <w:next w:val="Normal"/>
    <w:link w:val="Heading1Char"/>
    <w:uiPriority w:val="99"/>
    <w:qFormat/>
    <w:rsid w:val="00716ECF"/>
    <w:pPr>
      <w:keepNext/>
      <w:outlineLvl w:val="0"/>
    </w:pPr>
    <w:rPr>
      <w:rFonts w:ascii="Signature" w:hAnsi="Signature"/>
      <w:sz w:val="36"/>
    </w:rPr>
  </w:style>
  <w:style w:type="paragraph" w:styleId="Heading2">
    <w:name w:val="heading 2"/>
    <w:basedOn w:val="Normal"/>
    <w:next w:val="Normal"/>
    <w:link w:val="Heading2Char"/>
    <w:uiPriority w:val="99"/>
    <w:qFormat/>
    <w:rsid w:val="00716ECF"/>
    <w:pPr>
      <w:keepNext/>
      <w:outlineLvl w:val="1"/>
    </w:pPr>
    <w:rPr>
      <w:sz w:val="24"/>
    </w:rPr>
  </w:style>
  <w:style w:type="paragraph" w:styleId="Heading3">
    <w:name w:val="heading 3"/>
    <w:basedOn w:val="Normal"/>
    <w:next w:val="Normal"/>
    <w:link w:val="Heading3Char"/>
    <w:uiPriority w:val="99"/>
    <w:qFormat/>
    <w:rsid w:val="00716ECF"/>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716ECF"/>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716ECF"/>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716ECF"/>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67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3367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33673"/>
    <w:rPr>
      <w:rFonts w:ascii="Cambria" w:eastAsia="Times New Roman" w:hAnsi="Cambria" w:cs="Times New Roman"/>
      <w:b/>
      <w:bCs/>
      <w:sz w:val="26"/>
      <w:szCs w:val="26"/>
    </w:rPr>
  </w:style>
  <w:style w:type="character" w:customStyle="1" w:styleId="Heading4Char">
    <w:name w:val="Heading 4 Char"/>
    <w:link w:val="Heading4"/>
    <w:uiPriority w:val="9"/>
    <w:semiHidden/>
    <w:rsid w:val="00E33673"/>
    <w:rPr>
      <w:rFonts w:ascii="Calibri" w:eastAsia="Times New Roman" w:hAnsi="Calibri" w:cs="Times New Roman"/>
      <w:b/>
      <w:bCs/>
      <w:sz w:val="28"/>
      <w:szCs w:val="28"/>
    </w:rPr>
  </w:style>
  <w:style w:type="character" w:customStyle="1" w:styleId="Heading5Char">
    <w:name w:val="Heading 5 Char"/>
    <w:link w:val="Heading5"/>
    <w:uiPriority w:val="9"/>
    <w:semiHidden/>
    <w:rsid w:val="00E3367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33673"/>
    <w:rPr>
      <w:rFonts w:ascii="Calibri" w:eastAsia="Times New Roman" w:hAnsi="Calibri" w:cs="Times New Roman"/>
      <w:b/>
      <w:bCs/>
    </w:rPr>
  </w:style>
  <w:style w:type="paragraph" w:styleId="Header">
    <w:name w:val="header"/>
    <w:basedOn w:val="Normal"/>
    <w:link w:val="HeaderChar"/>
    <w:uiPriority w:val="99"/>
    <w:rsid w:val="00716ECF"/>
    <w:pPr>
      <w:tabs>
        <w:tab w:val="center" w:pos="4320"/>
        <w:tab w:val="right" w:pos="8640"/>
      </w:tabs>
    </w:pPr>
  </w:style>
  <w:style w:type="character" w:customStyle="1" w:styleId="HeaderChar">
    <w:name w:val="Header Char"/>
    <w:link w:val="Header"/>
    <w:uiPriority w:val="99"/>
    <w:semiHidden/>
    <w:rsid w:val="00E33673"/>
    <w:rPr>
      <w:sz w:val="20"/>
      <w:szCs w:val="20"/>
    </w:rPr>
  </w:style>
  <w:style w:type="paragraph" w:styleId="Footer">
    <w:name w:val="footer"/>
    <w:basedOn w:val="Normal"/>
    <w:link w:val="FooterChar"/>
    <w:uiPriority w:val="99"/>
    <w:rsid w:val="00716ECF"/>
    <w:pPr>
      <w:tabs>
        <w:tab w:val="center" w:pos="4320"/>
        <w:tab w:val="right" w:pos="8640"/>
      </w:tabs>
    </w:pPr>
  </w:style>
  <w:style w:type="character" w:customStyle="1" w:styleId="FooterChar">
    <w:name w:val="Footer Char"/>
    <w:link w:val="Footer"/>
    <w:uiPriority w:val="99"/>
    <w:semiHidden/>
    <w:rsid w:val="00E33673"/>
    <w:rPr>
      <w:sz w:val="20"/>
      <w:szCs w:val="20"/>
    </w:rPr>
  </w:style>
  <w:style w:type="paragraph" w:customStyle="1" w:styleId="Print-FromToSubjectDate">
    <w:name w:val="Print- From: To: Subject: Date:"/>
    <w:basedOn w:val="Normal"/>
    <w:uiPriority w:val="99"/>
    <w:rsid w:val="00716ECF"/>
    <w:pPr>
      <w:pBdr>
        <w:left w:val="single" w:sz="18" w:space="1" w:color="auto"/>
      </w:pBdr>
    </w:pPr>
    <w:rPr>
      <w:rFonts w:ascii="Arial" w:hAnsi="Arial"/>
    </w:rPr>
  </w:style>
  <w:style w:type="paragraph" w:customStyle="1" w:styleId="DefaultText">
    <w:name w:val="Default Text"/>
    <w:uiPriority w:val="99"/>
    <w:rsid w:val="00716ECF"/>
    <w:rPr>
      <w:color w:val="000000"/>
      <w:sz w:val="24"/>
    </w:rPr>
  </w:style>
  <w:style w:type="paragraph" w:styleId="BodyText">
    <w:name w:val="Body Text"/>
    <w:basedOn w:val="Normal"/>
    <w:link w:val="BodyTextChar"/>
    <w:uiPriority w:val="99"/>
    <w:rsid w:val="00716ECF"/>
    <w:rPr>
      <w:sz w:val="24"/>
    </w:rPr>
  </w:style>
  <w:style w:type="character" w:customStyle="1" w:styleId="BodyTextChar">
    <w:name w:val="Body Text Char"/>
    <w:link w:val="BodyText"/>
    <w:uiPriority w:val="99"/>
    <w:locked/>
    <w:rsid w:val="003A1419"/>
    <w:rPr>
      <w:rFonts w:cs="Times New Roman"/>
      <w:sz w:val="24"/>
    </w:rPr>
  </w:style>
  <w:style w:type="paragraph" w:styleId="Date">
    <w:name w:val="Date"/>
    <w:basedOn w:val="Normal"/>
    <w:next w:val="Normal"/>
    <w:link w:val="DateChar"/>
    <w:uiPriority w:val="99"/>
    <w:rsid w:val="00716ECF"/>
  </w:style>
  <w:style w:type="character" w:customStyle="1" w:styleId="DateChar">
    <w:name w:val="Date Char"/>
    <w:link w:val="Date"/>
    <w:uiPriority w:val="99"/>
    <w:semiHidden/>
    <w:rsid w:val="00E33673"/>
    <w:rPr>
      <w:sz w:val="20"/>
      <w:szCs w:val="20"/>
    </w:rPr>
  </w:style>
  <w:style w:type="paragraph" w:customStyle="1" w:styleId="InsideAddressName">
    <w:name w:val="Inside Address Name"/>
    <w:basedOn w:val="Normal"/>
    <w:uiPriority w:val="99"/>
    <w:rsid w:val="00716ECF"/>
  </w:style>
  <w:style w:type="paragraph" w:customStyle="1" w:styleId="InsideAddress">
    <w:name w:val="Inside Address"/>
    <w:basedOn w:val="Normal"/>
    <w:uiPriority w:val="99"/>
    <w:rsid w:val="00716ECF"/>
  </w:style>
  <w:style w:type="paragraph" w:styleId="Salutation">
    <w:name w:val="Salutation"/>
    <w:basedOn w:val="Normal"/>
    <w:next w:val="Normal"/>
    <w:link w:val="SalutationChar"/>
    <w:uiPriority w:val="99"/>
    <w:rsid w:val="00716ECF"/>
  </w:style>
  <w:style w:type="character" w:customStyle="1" w:styleId="SalutationChar">
    <w:name w:val="Salutation Char"/>
    <w:link w:val="Salutation"/>
    <w:uiPriority w:val="99"/>
    <w:semiHidden/>
    <w:rsid w:val="00E33673"/>
    <w:rPr>
      <w:sz w:val="20"/>
      <w:szCs w:val="20"/>
    </w:rPr>
  </w:style>
  <w:style w:type="paragraph" w:styleId="Closing">
    <w:name w:val="Closing"/>
    <w:basedOn w:val="Normal"/>
    <w:link w:val="ClosingChar"/>
    <w:uiPriority w:val="99"/>
    <w:rsid w:val="00716ECF"/>
  </w:style>
  <w:style w:type="character" w:customStyle="1" w:styleId="ClosingChar">
    <w:name w:val="Closing Char"/>
    <w:link w:val="Closing"/>
    <w:uiPriority w:val="99"/>
    <w:semiHidden/>
    <w:rsid w:val="00E33673"/>
    <w:rPr>
      <w:sz w:val="20"/>
      <w:szCs w:val="20"/>
    </w:rPr>
  </w:style>
  <w:style w:type="paragraph" w:styleId="Signature">
    <w:name w:val="Signature"/>
    <w:basedOn w:val="Normal"/>
    <w:link w:val="SignatureChar"/>
    <w:uiPriority w:val="99"/>
    <w:rsid w:val="00716ECF"/>
  </w:style>
  <w:style w:type="character" w:customStyle="1" w:styleId="SignatureChar">
    <w:name w:val="Signature Char"/>
    <w:link w:val="Signature"/>
    <w:uiPriority w:val="99"/>
    <w:semiHidden/>
    <w:rsid w:val="00E33673"/>
    <w:rPr>
      <w:sz w:val="20"/>
      <w:szCs w:val="20"/>
    </w:rPr>
  </w:style>
  <w:style w:type="character" w:styleId="Hyperlink">
    <w:name w:val="Hyperlink"/>
    <w:uiPriority w:val="99"/>
    <w:rsid w:val="00716ECF"/>
    <w:rPr>
      <w:rFonts w:cs="Times New Roman"/>
      <w:color w:val="0000FF"/>
      <w:u w:val="single"/>
    </w:rPr>
  </w:style>
  <w:style w:type="paragraph" w:customStyle="1" w:styleId="TableText">
    <w:name w:val="Table Text"/>
    <w:uiPriority w:val="99"/>
    <w:rsid w:val="00716ECF"/>
    <w:rPr>
      <w:rFonts w:ascii="Arial Narrow" w:hAnsi="Arial Narrow"/>
      <w:color w:val="000000"/>
      <w:sz w:val="24"/>
    </w:rPr>
  </w:style>
  <w:style w:type="paragraph" w:styleId="BodyTextIndent">
    <w:name w:val="Body Text Indent"/>
    <w:basedOn w:val="Normal"/>
    <w:link w:val="BodyTextIndentChar"/>
    <w:uiPriority w:val="99"/>
    <w:rsid w:val="00716ECF"/>
    <w:pPr>
      <w:spacing w:before="120"/>
      <w:ind w:firstLine="720"/>
      <w:jc w:val="both"/>
    </w:pPr>
    <w:rPr>
      <w:rFonts w:ascii="Bookman Old Style" w:hAnsi="Bookman Old Style" w:cs="Brush Script"/>
    </w:rPr>
  </w:style>
  <w:style w:type="character" w:customStyle="1" w:styleId="BodyTextIndentChar">
    <w:name w:val="Body Text Indent Char"/>
    <w:link w:val="BodyTextIndent"/>
    <w:uiPriority w:val="99"/>
    <w:semiHidden/>
    <w:rsid w:val="00E33673"/>
    <w:rPr>
      <w:sz w:val="20"/>
      <w:szCs w:val="20"/>
    </w:rPr>
  </w:style>
  <w:style w:type="character" w:styleId="FollowedHyperlink">
    <w:name w:val="FollowedHyperlink"/>
    <w:uiPriority w:val="99"/>
    <w:rsid w:val="00716ECF"/>
    <w:rPr>
      <w:rFonts w:cs="Times New Roman"/>
      <w:color w:val="0000FF"/>
      <w:u w:val="single"/>
    </w:rPr>
  </w:style>
  <w:style w:type="paragraph" w:styleId="FootnoteText">
    <w:name w:val="footnote text"/>
    <w:basedOn w:val="Normal"/>
    <w:link w:val="FootnoteTextChar"/>
    <w:uiPriority w:val="99"/>
    <w:semiHidden/>
    <w:rsid w:val="00716ECF"/>
  </w:style>
  <w:style w:type="character" w:customStyle="1" w:styleId="FootnoteTextChar">
    <w:name w:val="Footnote Text Char"/>
    <w:link w:val="FootnoteText"/>
    <w:uiPriority w:val="99"/>
    <w:semiHidden/>
    <w:rsid w:val="00E33673"/>
    <w:rPr>
      <w:sz w:val="20"/>
      <w:szCs w:val="20"/>
    </w:rPr>
  </w:style>
  <w:style w:type="character" w:styleId="FootnoteReference">
    <w:name w:val="footnote reference"/>
    <w:uiPriority w:val="99"/>
    <w:semiHidden/>
    <w:rsid w:val="00716ECF"/>
    <w:rPr>
      <w:rFonts w:cs="Times New Roman"/>
      <w:vertAlign w:val="superscript"/>
    </w:rPr>
  </w:style>
  <w:style w:type="character" w:styleId="PageNumber">
    <w:name w:val="page number"/>
    <w:uiPriority w:val="99"/>
    <w:rsid w:val="00716ECF"/>
    <w:rPr>
      <w:rFonts w:cs="Times New Roman"/>
    </w:rPr>
  </w:style>
  <w:style w:type="paragraph" w:styleId="BalloonText">
    <w:name w:val="Balloon Text"/>
    <w:basedOn w:val="Normal"/>
    <w:link w:val="BalloonTextChar"/>
    <w:uiPriority w:val="99"/>
    <w:semiHidden/>
    <w:rsid w:val="00716ECF"/>
    <w:rPr>
      <w:rFonts w:ascii="Tahoma" w:hAnsi="Tahoma" w:cs="Tahoma"/>
      <w:sz w:val="16"/>
      <w:szCs w:val="16"/>
    </w:rPr>
  </w:style>
  <w:style w:type="character" w:customStyle="1" w:styleId="BalloonTextChar">
    <w:name w:val="Balloon Text Char"/>
    <w:link w:val="BalloonText"/>
    <w:uiPriority w:val="99"/>
    <w:semiHidden/>
    <w:rsid w:val="00E33673"/>
    <w:rPr>
      <w:sz w:val="0"/>
      <w:szCs w:val="0"/>
    </w:rPr>
  </w:style>
  <w:style w:type="character" w:customStyle="1" w:styleId="LauraKennedy">
    <w:name w:val="Laura Kennedy"/>
    <w:uiPriority w:val="99"/>
    <w:semiHidden/>
    <w:rsid w:val="00716ECF"/>
    <w:rPr>
      <w:rFonts w:ascii="Bookman Old Style" w:hAnsi="Bookman Old Style"/>
      <w:color w:val="auto"/>
      <w:sz w:val="20"/>
      <w:u w:val="none"/>
    </w:rPr>
  </w:style>
  <w:style w:type="paragraph" w:styleId="DocumentMap">
    <w:name w:val="Document Map"/>
    <w:basedOn w:val="Normal"/>
    <w:link w:val="DocumentMapChar"/>
    <w:uiPriority w:val="99"/>
    <w:semiHidden/>
    <w:rsid w:val="00716ECF"/>
    <w:pPr>
      <w:shd w:val="clear" w:color="auto" w:fill="000080"/>
    </w:pPr>
    <w:rPr>
      <w:rFonts w:ascii="Tahoma" w:hAnsi="Tahoma" w:cs="Tahoma"/>
    </w:rPr>
  </w:style>
  <w:style w:type="character" w:customStyle="1" w:styleId="DocumentMapChar">
    <w:name w:val="Document Map Char"/>
    <w:link w:val="DocumentMap"/>
    <w:uiPriority w:val="99"/>
    <w:semiHidden/>
    <w:rsid w:val="00E33673"/>
    <w:rPr>
      <w:sz w:val="0"/>
      <w:szCs w:val="0"/>
    </w:rPr>
  </w:style>
  <w:style w:type="paragraph" w:styleId="ListParagraph">
    <w:name w:val="List Paragraph"/>
    <w:basedOn w:val="Normal"/>
    <w:uiPriority w:val="99"/>
    <w:qFormat/>
    <w:rsid w:val="00716ECF"/>
    <w:pPr>
      <w:ind w:left="720"/>
      <w:contextualSpacing/>
    </w:pPr>
  </w:style>
  <w:style w:type="paragraph" w:styleId="PlainText">
    <w:name w:val="Plain Text"/>
    <w:basedOn w:val="Normal"/>
    <w:link w:val="PlainTextChar"/>
    <w:uiPriority w:val="99"/>
    <w:rsid w:val="00A86DFF"/>
    <w:rPr>
      <w:szCs w:val="21"/>
    </w:rPr>
  </w:style>
  <w:style w:type="character" w:customStyle="1" w:styleId="PlainTextChar">
    <w:name w:val="Plain Text Char"/>
    <w:link w:val="PlainText"/>
    <w:uiPriority w:val="99"/>
    <w:locked/>
    <w:rsid w:val="00A86DFF"/>
    <w:rPr>
      <w:rFonts w:eastAsia="Times New Roman" w:cs="Times New Roman"/>
      <w:sz w:val="21"/>
      <w:szCs w:val="21"/>
    </w:rPr>
  </w:style>
  <w:style w:type="table" w:styleId="TableGrid">
    <w:name w:val="Table Grid"/>
    <w:basedOn w:val="TableNormal"/>
    <w:uiPriority w:val="99"/>
    <w:rsid w:val="003A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A1419"/>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3A1419"/>
    <w:rPr>
      <w:rFonts w:ascii="Bookman Old Style" w:hAnsi="Bookman Old Style" w:cs="Times New Roman"/>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6510">
      <w:marLeft w:val="0"/>
      <w:marRight w:val="0"/>
      <w:marTop w:val="0"/>
      <w:marBottom w:val="0"/>
      <w:divBdr>
        <w:top w:val="none" w:sz="0" w:space="0" w:color="auto"/>
        <w:left w:val="none" w:sz="0" w:space="0" w:color="auto"/>
        <w:bottom w:val="none" w:sz="0" w:space="0" w:color="auto"/>
        <w:right w:val="none" w:sz="0" w:space="0" w:color="auto"/>
      </w:divBdr>
    </w:div>
    <w:div w:id="182136511">
      <w:marLeft w:val="0"/>
      <w:marRight w:val="0"/>
      <w:marTop w:val="0"/>
      <w:marBottom w:val="0"/>
      <w:divBdr>
        <w:top w:val="none" w:sz="0" w:space="0" w:color="auto"/>
        <w:left w:val="none" w:sz="0" w:space="0" w:color="auto"/>
        <w:bottom w:val="none" w:sz="0" w:space="0" w:color="auto"/>
        <w:right w:val="none" w:sz="0" w:space="0" w:color="auto"/>
      </w:divBdr>
    </w:div>
    <w:div w:id="182136512">
      <w:marLeft w:val="0"/>
      <w:marRight w:val="0"/>
      <w:marTop w:val="0"/>
      <w:marBottom w:val="0"/>
      <w:divBdr>
        <w:top w:val="none" w:sz="0" w:space="0" w:color="auto"/>
        <w:left w:val="none" w:sz="0" w:space="0" w:color="auto"/>
        <w:bottom w:val="none" w:sz="0" w:space="0" w:color="auto"/>
        <w:right w:val="none" w:sz="0" w:space="0" w:color="auto"/>
      </w:divBdr>
    </w:div>
    <w:div w:id="182136513">
      <w:marLeft w:val="0"/>
      <w:marRight w:val="0"/>
      <w:marTop w:val="0"/>
      <w:marBottom w:val="0"/>
      <w:divBdr>
        <w:top w:val="none" w:sz="0" w:space="0" w:color="auto"/>
        <w:left w:val="none" w:sz="0" w:space="0" w:color="auto"/>
        <w:bottom w:val="none" w:sz="0" w:space="0" w:color="auto"/>
        <w:right w:val="none" w:sz="0" w:space="0" w:color="auto"/>
      </w:divBdr>
    </w:div>
    <w:div w:id="182136514">
      <w:marLeft w:val="0"/>
      <w:marRight w:val="0"/>
      <w:marTop w:val="0"/>
      <w:marBottom w:val="0"/>
      <w:divBdr>
        <w:top w:val="none" w:sz="0" w:space="0" w:color="auto"/>
        <w:left w:val="none" w:sz="0" w:space="0" w:color="auto"/>
        <w:bottom w:val="none" w:sz="0" w:space="0" w:color="auto"/>
        <w:right w:val="none" w:sz="0" w:space="0" w:color="auto"/>
      </w:divBdr>
    </w:div>
    <w:div w:id="182136515">
      <w:marLeft w:val="0"/>
      <w:marRight w:val="0"/>
      <w:marTop w:val="0"/>
      <w:marBottom w:val="0"/>
      <w:divBdr>
        <w:top w:val="none" w:sz="0" w:space="0" w:color="auto"/>
        <w:left w:val="none" w:sz="0" w:space="0" w:color="auto"/>
        <w:bottom w:val="none" w:sz="0" w:space="0" w:color="auto"/>
        <w:right w:val="none" w:sz="0" w:space="0" w:color="auto"/>
      </w:divBdr>
    </w:div>
    <w:div w:id="182136516">
      <w:marLeft w:val="0"/>
      <w:marRight w:val="0"/>
      <w:marTop w:val="0"/>
      <w:marBottom w:val="0"/>
      <w:divBdr>
        <w:top w:val="none" w:sz="0" w:space="0" w:color="auto"/>
        <w:left w:val="none" w:sz="0" w:space="0" w:color="auto"/>
        <w:bottom w:val="none" w:sz="0" w:space="0" w:color="auto"/>
        <w:right w:val="none" w:sz="0" w:space="0" w:color="auto"/>
      </w:divBdr>
    </w:div>
    <w:div w:id="182136517">
      <w:marLeft w:val="0"/>
      <w:marRight w:val="0"/>
      <w:marTop w:val="0"/>
      <w:marBottom w:val="0"/>
      <w:divBdr>
        <w:top w:val="none" w:sz="0" w:space="0" w:color="auto"/>
        <w:left w:val="none" w:sz="0" w:space="0" w:color="auto"/>
        <w:bottom w:val="none" w:sz="0" w:space="0" w:color="auto"/>
        <w:right w:val="none" w:sz="0" w:space="0" w:color="auto"/>
      </w:divBdr>
    </w:div>
    <w:div w:id="182136518">
      <w:marLeft w:val="0"/>
      <w:marRight w:val="0"/>
      <w:marTop w:val="0"/>
      <w:marBottom w:val="0"/>
      <w:divBdr>
        <w:top w:val="none" w:sz="0" w:space="0" w:color="auto"/>
        <w:left w:val="none" w:sz="0" w:space="0" w:color="auto"/>
        <w:bottom w:val="none" w:sz="0" w:space="0" w:color="auto"/>
        <w:right w:val="none" w:sz="0" w:space="0" w:color="auto"/>
      </w:divBdr>
    </w:div>
    <w:div w:id="182136519">
      <w:marLeft w:val="0"/>
      <w:marRight w:val="0"/>
      <w:marTop w:val="0"/>
      <w:marBottom w:val="0"/>
      <w:divBdr>
        <w:top w:val="none" w:sz="0" w:space="0" w:color="auto"/>
        <w:left w:val="none" w:sz="0" w:space="0" w:color="auto"/>
        <w:bottom w:val="none" w:sz="0" w:space="0" w:color="auto"/>
        <w:right w:val="none" w:sz="0" w:space="0" w:color="auto"/>
      </w:divBdr>
    </w:div>
    <w:div w:id="182136520">
      <w:marLeft w:val="0"/>
      <w:marRight w:val="0"/>
      <w:marTop w:val="0"/>
      <w:marBottom w:val="0"/>
      <w:divBdr>
        <w:top w:val="none" w:sz="0" w:space="0" w:color="auto"/>
        <w:left w:val="none" w:sz="0" w:space="0" w:color="auto"/>
        <w:bottom w:val="none" w:sz="0" w:space="0" w:color="auto"/>
        <w:right w:val="none" w:sz="0" w:space="0" w:color="auto"/>
      </w:divBdr>
    </w:div>
    <w:div w:id="182136521">
      <w:marLeft w:val="0"/>
      <w:marRight w:val="0"/>
      <w:marTop w:val="0"/>
      <w:marBottom w:val="0"/>
      <w:divBdr>
        <w:top w:val="none" w:sz="0" w:space="0" w:color="auto"/>
        <w:left w:val="none" w:sz="0" w:space="0" w:color="auto"/>
        <w:bottom w:val="none" w:sz="0" w:space="0" w:color="auto"/>
        <w:right w:val="none" w:sz="0" w:space="0" w:color="auto"/>
      </w:divBdr>
    </w:div>
    <w:div w:id="182136522">
      <w:marLeft w:val="0"/>
      <w:marRight w:val="0"/>
      <w:marTop w:val="0"/>
      <w:marBottom w:val="0"/>
      <w:divBdr>
        <w:top w:val="none" w:sz="0" w:space="0" w:color="auto"/>
        <w:left w:val="none" w:sz="0" w:space="0" w:color="auto"/>
        <w:bottom w:val="none" w:sz="0" w:space="0" w:color="auto"/>
        <w:right w:val="none" w:sz="0" w:space="0" w:color="auto"/>
      </w:divBdr>
    </w:div>
    <w:div w:id="182136523">
      <w:marLeft w:val="0"/>
      <w:marRight w:val="0"/>
      <w:marTop w:val="0"/>
      <w:marBottom w:val="0"/>
      <w:divBdr>
        <w:top w:val="none" w:sz="0" w:space="0" w:color="auto"/>
        <w:left w:val="none" w:sz="0" w:space="0" w:color="auto"/>
        <w:bottom w:val="none" w:sz="0" w:space="0" w:color="auto"/>
        <w:right w:val="none" w:sz="0" w:space="0" w:color="auto"/>
      </w:divBdr>
    </w:div>
    <w:div w:id="182136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ingaa.org/File.aspx?id=14911" TargetMode="External"/><Relationship Id="rId39" Type="http://schemas.openxmlformats.org/officeDocument/2006/relationships/hyperlink" Target="http://205.254.135.7/naturalgas/review/"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naesb.org/misc/naesb_bylaws_section2.2_best_practices.pptx" TargetMode="External"/><Relationship Id="rId42" Type="http://schemas.openxmlformats.org/officeDocument/2006/relationships/hyperlink" Target="http://www.ferc.gov/media/news-releases/2012/2012-1/01-30-12-notice.pdf" TargetMode="External"/><Relationship Id="rId47" Type="http://schemas.openxmlformats.org/officeDocument/2006/relationships/hyperlink" Target="http://www.naruc.org/Publications/CIP_GasCurtailmentInventoryReport_8.pdf" TargetMode="External"/><Relationship Id="rId50"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nerc.com/files/NUC-001-2.pdf" TargetMode="External"/><Relationship Id="rId17" Type="http://schemas.openxmlformats.org/officeDocument/2006/relationships/footer" Target="footer4.xml"/><Relationship Id="rId25" Type="http://schemas.openxmlformats.org/officeDocument/2006/relationships/hyperlink" Target="http://www.ferc.gov/legal/staff-reports/08-16-11-report.pdf" TargetMode="External"/><Relationship Id="rId33" Type="http://schemas.openxmlformats.org/officeDocument/2006/relationships/hyperlink" Target="http://www.naesb.org/misc/npc_demand_chapter_091511.pdf" TargetMode="External"/><Relationship Id="rId38" Type="http://schemas.openxmlformats.org/officeDocument/2006/relationships/hyperlink" Target="http://www.nerc.com/files/NUC-001-2.pdf" TargetMode="External"/><Relationship Id="rId46" Type="http://schemas.openxmlformats.org/officeDocument/2006/relationships/hyperlink" Target="http://www.epa.gov/mats/pdfs/20111221PowerPlantsLikelyCoveredbyMATS.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www.naesb.org/misc/electric_infrastructure_gas_infrastructure_oct2011.pdf" TargetMode="External"/><Relationship Id="rId41" Type="http://schemas.openxmlformats.org/officeDocument/2006/relationships/hyperlink" Target="http://www2.econ.iastate.edu/tesfatsi/ERCOT.DefinitionsAcronyms.Oct20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eb.mit.edu/mitei/research/studies/documents/natural-gas-2011/NaturalGas_Report.pdf" TargetMode="External"/><Relationship Id="rId32" Type="http://schemas.openxmlformats.org/officeDocument/2006/relationships/hyperlink" Target="http://www.naesb.org/misc/npc_north_american_resource_dev_exec_summ_volume_dec2011.pdf" TargetMode="External"/><Relationship Id="rId37" Type="http://schemas.openxmlformats.org/officeDocument/2006/relationships/hyperlink" Target="http://www.naesb.org/misc/icf_geic_primer062206.pdf" TargetMode="External"/><Relationship Id="rId40" Type="http://schemas.openxmlformats.org/officeDocument/2006/relationships/hyperlink" Target="http://205.254.135.7/naturalgas/review/print_version.cfm" TargetMode="External"/><Relationship Id="rId45"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eb.mit.edu/mitei/research/studies/documents/electric-grid-2011/Electric_Grid_Full_Report.pdf" TargetMode="External"/><Relationship Id="rId28" Type="http://schemas.openxmlformats.org/officeDocument/2006/relationships/hyperlink" Target="http://www.naesb.org/misc/geh_related_standards.docx" TargetMode="External"/><Relationship Id="rId36" Type="http://schemas.openxmlformats.org/officeDocument/2006/relationships/hyperlink" Target="http://media.godashboard.com/gti/Natural_Gas_in_a_Smart_Energy_Future_01-26-2011.pdf" TargetMode="External"/><Relationship Id="rId49" Type="http://schemas.openxmlformats.org/officeDocument/2006/relationships/hyperlink" Target="http://www.naesb.org/pdf4/geh080212w1.pdf"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naesb.org/misc/nerc_gas_electricity_interdependencies_2004.pdf" TargetMode="External"/><Relationship Id="rId44" Type="http://schemas.openxmlformats.org/officeDocument/2006/relationships/hyperlink" Target="http://www.ferc.gov/about/com-mem/moeller/moellergaselectricletter.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www.publicpower.org/files/PDFs/ImplicationsOfGreaterRelianceOnNGforElectricityGeneration.pdf" TargetMode="External"/><Relationship Id="rId30" Type="http://schemas.openxmlformats.org/officeDocument/2006/relationships/hyperlink" Target="http://www.naesb.org/misc/nerc_primer_gas_electric_interdependency_nov2011.pdf" TargetMode="External"/><Relationship Id="rId35" Type="http://schemas.openxmlformats.org/officeDocument/2006/relationships/hyperlink" Target="http://www.nerc.com/files/Gas_Electric_Interdependencies_Phase_I.pdf" TargetMode="External"/><Relationship Id="rId43" Type="http://schemas.openxmlformats.org/officeDocument/2006/relationships/hyperlink" Target="http://www.aga.org/Kc/aboutnaturalgas/consumerinfo/Pages/NGDeliverySystem.aspx" TargetMode="External"/><Relationship Id="rId48" Type="http://schemas.openxmlformats.org/officeDocument/2006/relationships/hyperlink" Target="http://www.naesb.org/pdf4/geh051612w3.docx"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board_gas_electric_harmonization.asp" TargetMode="External"/><Relationship Id="rId2" Type="http://schemas.openxmlformats.org/officeDocument/2006/relationships/hyperlink" Target="http://www.npc.org/NARD-ExecSummVol.pdf" TargetMode="External"/><Relationship Id="rId1" Type="http://schemas.openxmlformats.org/officeDocument/2006/relationships/hyperlink" Target="http://www.npc.org/members/bycom.html" TargetMode="External"/><Relationship Id="rId6" Type="http://schemas.openxmlformats.org/officeDocument/2006/relationships/hyperlink" Target="http://www.naesb.org/pdf4/geh042612_survey_results.docx" TargetMode="External"/><Relationship Id="rId5" Type="http://schemas.openxmlformats.org/officeDocument/2006/relationships/hyperlink" Target="http://www.naesb.org/pdf4/geh021512w1.docx" TargetMode="External"/><Relationship Id="rId4" Type="http://schemas.openxmlformats.org/officeDocument/2006/relationships/hyperlink" Target="http://www.naesb.org/pdf4/geh042612_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2E4E7-6DC6-46FF-8907-46C7E0DC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13537</Words>
  <Characters>77161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90517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2012-08-16T10:39:00Z</cp:lastPrinted>
  <dcterms:created xsi:type="dcterms:W3CDTF">2012-08-27T20:11:00Z</dcterms:created>
  <dcterms:modified xsi:type="dcterms:W3CDTF">2012-08-27T20:11:00Z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