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</w:rPr>
        <w:t>Via email and posting</w:t>
      </w:r>
    </w:p>
    <w:p>
      <w:pPr>
        <w:ind w:left="1440" w:hanging="1440"/>
        <w:jc w:val="right"/>
        <w:rPr>
          <w:bCs/>
        </w:rPr>
      </w:pPr>
      <w:r>
        <w:rPr>
          <w:bCs/>
        </w:rPr>
        <w:t>July 9, 2012</w:t>
      </w:r>
    </w:p>
    <w:p>
      <w:pPr>
        <w:spacing w:before="120"/>
        <w:ind w:left="1440" w:hanging="1440"/>
        <w:rPr>
          <w:bCs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Cs/>
        </w:rPr>
        <w:t>NAESB Board Committee – Gas Electric Harmonization and posting for interested parties</w:t>
      </w:r>
    </w:p>
    <w:p>
      <w:pPr>
        <w:spacing w:before="120"/>
        <w:rPr>
          <w:bCs/>
        </w:rPr>
      </w:pPr>
      <w:r>
        <w:rPr>
          <w:b/>
        </w:rPr>
        <w:t xml:space="preserve">FROM: </w:t>
      </w:r>
      <w:r>
        <w:rPr>
          <w:b/>
        </w:rPr>
        <w:tab/>
      </w:r>
      <w:r>
        <w:t>R</w:t>
      </w:r>
      <w:r>
        <w:rPr>
          <w:bCs/>
        </w:rPr>
        <w:t xml:space="preserve">ae McQuade, NAESB President </w:t>
      </w:r>
    </w:p>
    <w:p>
      <w:pPr>
        <w:pBdr>
          <w:bottom w:val="single" w:sz="12" w:space="1" w:color="auto"/>
        </w:pBdr>
        <w:spacing w:before="120"/>
        <w:ind w:left="1440" w:hanging="1440"/>
        <w:rPr>
          <w:bCs/>
        </w:rPr>
      </w:pPr>
      <w:r>
        <w:rPr>
          <w:b/>
        </w:rPr>
        <w:t xml:space="preserve">RE: </w:t>
      </w:r>
      <w:r>
        <w:rPr>
          <w:b/>
        </w:rPr>
        <w:tab/>
      </w:r>
      <w:r>
        <w:t>NAESB Gas Electric Harmonization Meeting - Aug 2 and FERC Conferences</w:t>
      </w:r>
    </w:p>
    <w:p>
      <w:pPr>
        <w:rPr>
          <w:color w:val="1F497D"/>
        </w:rPr>
      </w:pPr>
    </w:p>
    <w:p>
      <w:r>
        <w:t xml:space="preserve">Dear All – </w:t>
      </w:r>
    </w:p>
    <w:p/>
    <w:p>
      <w:r>
        <w:t xml:space="preserve">For our August 2 GEH Committee meeting, we will be holding the GEH meeting from 10 am to 4 pm E, with both in-person and via web conference attendance.  For in person attendance, the meeting will be held at the Renaissance </w:t>
      </w:r>
      <w:proofErr w:type="spellStart"/>
      <w:r>
        <w:t>Harborplace</w:t>
      </w:r>
      <w:proofErr w:type="spellEnd"/>
      <w:r>
        <w:t xml:space="preserve"> Hotel, 202 East Pratt Street, Baltimore MD – in the downtown Baltimore area known as Inner Harbor.   For reservations, please call 410-547-1200 or 800-468-3571 and we have a room block set aside until this Friday, July 13 with the negotiated rate for the block is $139 per night.  We hope that you can attend.   The agenda and work papers will be made available shortly.  </w:t>
      </w:r>
    </w:p>
    <w:p/>
    <w:p>
      <w:r>
        <w:t>Prior to August 2, we have a conference call set up for July 18, and the agenda and work papers for July 18 are already posted (</w:t>
      </w:r>
      <w:hyperlink r:id="rId9" w:history="1">
        <w:r>
          <w:rPr>
            <w:rStyle w:val="Hyperlink"/>
            <w:color w:val="auto"/>
          </w:rPr>
          <w:t>http://www.naesb.org/pdf4/geh071812a.docx</w:t>
        </w:r>
      </w:hyperlink>
      <w:r>
        <w:t>).</w:t>
      </w:r>
    </w:p>
    <w:p/>
    <w:p>
      <w:r>
        <w:t>On a separate note, the FERC has announced a series of regional technical conferences on Coordination between Natural Gas and Electricity Markets.  They are scheduled for:</w:t>
      </w:r>
    </w:p>
    <w:p>
      <w:bookmarkStart w:id="6" w:name="_GoBack"/>
      <w:bookmarkEnd w:id="6"/>
    </w:p>
    <w:p>
      <w:pPr>
        <w:shd w:val="clear" w:color="auto" w:fill="FFFFFF"/>
        <w:ind w:firstLine="720"/>
      </w:pPr>
      <w:r>
        <w:t>   Central                     August 6, 2012         St. Louis, MO</w:t>
      </w:r>
    </w:p>
    <w:p>
      <w:pPr>
        <w:shd w:val="clear" w:color="auto" w:fill="FFFFFF"/>
        <w:ind w:firstLine="720"/>
      </w:pPr>
      <w:r>
        <w:t>   Northeast                August 20, 2012       Boston, MA</w:t>
      </w:r>
    </w:p>
    <w:p>
      <w:pPr>
        <w:shd w:val="clear" w:color="auto" w:fill="FFFFFF"/>
        <w:ind w:firstLine="720"/>
      </w:pPr>
      <w:r>
        <w:t>   Southeast                August 23, 2012       Washington, DC (FERC HQ)</w:t>
      </w:r>
    </w:p>
    <w:p>
      <w:pPr>
        <w:shd w:val="clear" w:color="auto" w:fill="FFFFFF"/>
        <w:ind w:firstLine="720"/>
      </w:pPr>
      <w:r>
        <w:t>   West                         August 28, 2012       Portland, OR</w:t>
      </w:r>
    </w:p>
    <w:p>
      <w:pPr>
        <w:shd w:val="clear" w:color="auto" w:fill="FFFFFF"/>
        <w:ind w:firstLine="720"/>
      </w:pPr>
      <w:r>
        <w:t>   Mid-Atlantic           August 30, 2012       Washington, DC (FERC HQ)</w:t>
      </w:r>
    </w:p>
    <w:p/>
    <w:p>
      <w:r>
        <w:t xml:space="preserve">More information on these FERC conferences, including how to register and cutoff dates for registration can be found at </w:t>
      </w:r>
      <w:hyperlink r:id="rId10" w:history="1">
        <w:r>
          <w:rPr>
            <w:rStyle w:val="Hyperlink"/>
            <w:color w:val="auto"/>
          </w:rPr>
          <w:t>http://www.naesb.org/pdf4/ferc_ad12-12_tech_conferences.doc</w:t>
        </w:r>
      </w:hyperlink>
      <w:r>
        <w:t>.</w:t>
      </w:r>
    </w:p>
    <w:p/>
    <w:p>
      <w:r>
        <w:t>With Best Regards,</w:t>
      </w:r>
    </w:p>
    <w:p/>
    <w:p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Rae McQuade</w:t>
      </w:r>
    </w:p>
    <w:p/>
    <w:p>
      <w:r>
        <w:t>Rae McQuade</w:t>
      </w:r>
    </w:p>
    <w:p>
      <w:r>
        <w:t>President, North American Energy Standards Board</w:t>
      </w:r>
      <w:bookmarkEnd w:id="0"/>
      <w:bookmarkEnd w:id="1"/>
      <w:bookmarkEnd w:id="2"/>
      <w:bookmarkEnd w:id="3"/>
      <w:bookmarkEnd w:id="4"/>
      <w:bookmarkEnd w:id="5"/>
    </w:p>
    <w:sectPr>
      <w:headerReference w:type="default" r:id="rId11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-6985</wp:posOffset>
          </wp:positionV>
          <wp:extent cx="981710" cy="1133475"/>
          <wp:effectExtent l="0" t="0" r="889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0" style="position:absolute;margin-left:-1.85pt;margin-top:.95pt;width:3.55pt;height:1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" filled="f" stroked="f">
              <v:textbox inset="0,0,0,0">
                <w:txbxContent>
                  <w:p w:rsidR="00353032" w:rsidRDefault="00353032"/>
                </w:txbxContent>
              </v:textbox>
            </v:rect>
          </w:pict>
        </mc:Fallback>
      </mc:AlternateContent>
    </w:r>
  </w:p>
  <w:p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>
    <w:pPr>
      <w:pStyle w:val="Header"/>
      <w:ind w:left="1800"/>
      <w:jc w:val="right"/>
    </w:pPr>
    <w:r>
      <w:t>Phone:  (713) 356-0060, Fax:  (713) 356-0067, E-mail: naesb@naesb.org</w:t>
    </w:r>
  </w:p>
  <w:p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8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3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4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9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0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4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5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9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6"/>
  </w:num>
  <w:num w:numId="5">
    <w:abstractNumId w:val="2"/>
  </w:num>
  <w:num w:numId="6">
    <w:abstractNumId w:val="10"/>
  </w:num>
  <w:num w:numId="7">
    <w:abstractNumId w:val="4"/>
  </w:num>
  <w:num w:numId="8">
    <w:abstractNumId w:val="19"/>
  </w:num>
  <w:num w:numId="9">
    <w:abstractNumId w:val="23"/>
  </w:num>
  <w:num w:numId="10">
    <w:abstractNumId w:val="29"/>
  </w:num>
  <w:num w:numId="11">
    <w:abstractNumId w:val="3"/>
  </w:num>
  <w:num w:numId="12">
    <w:abstractNumId w:val="9"/>
  </w:num>
  <w:num w:numId="13">
    <w:abstractNumId w:val="28"/>
  </w:num>
  <w:num w:numId="14">
    <w:abstractNumId w:val="7"/>
  </w:num>
  <w:num w:numId="15">
    <w:abstractNumId w:val="5"/>
  </w:num>
  <w:num w:numId="16">
    <w:abstractNumId w:val="18"/>
  </w:num>
  <w:num w:numId="17">
    <w:abstractNumId w:val="12"/>
  </w:num>
  <w:num w:numId="18">
    <w:abstractNumId w:val="0"/>
  </w:num>
  <w:num w:numId="19">
    <w:abstractNumId w:val="24"/>
  </w:num>
  <w:num w:numId="20">
    <w:abstractNumId w:val="16"/>
  </w:num>
  <w:num w:numId="21">
    <w:abstractNumId w:val="21"/>
  </w:num>
  <w:num w:numId="22">
    <w:abstractNumId w:val="17"/>
  </w:num>
  <w:num w:numId="23">
    <w:abstractNumId w:val="27"/>
  </w:num>
  <w:num w:numId="24">
    <w:abstractNumId w:val="8"/>
  </w:num>
  <w:num w:numId="25">
    <w:abstractNumId w:val="22"/>
  </w:num>
  <w:num w:numId="26">
    <w:abstractNumId w:val="6"/>
  </w:num>
  <w:num w:numId="27">
    <w:abstractNumId w:val="11"/>
  </w:num>
  <w:num w:numId="28">
    <w:abstractNumId w:val="25"/>
  </w:num>
  <w:num w:numId="29">
    <w:abstractNumId w:val="2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BodyText">
    <w:name w:val="Body Text"/>
    <w:basedOn w:val="Normal"/>
    <w:link w:val="BodyTextChar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Pr>
      <w:rFonts w:ascii="Bookman Old Style" w:hAnsi="Bookman Old Style"/>
      <w:b/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BodyText">
    <w:name w:val="Body Text"/>
    <w:basedOn w:val="Normal"/>
    <w:link w:val="BodyTextChar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Pr>
      <w:rFonts w:ascii="Bookman Old Style" w:hAnsi="Bookman Old Style"/>
      <w:b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esb.org/pdf4/ferc_ad12-12_tech_conferences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4/geh071812a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5447-25F7-48B6-AF12-EA1B4862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Veronica Thomason</cp:lastModifiedBy>
  <cp:revision>9</cp:revision>
  <cp:lastPrinted>2008-08-04T20:19:00Z</cp:lastPrinted>
  <dcterms:created xsi:type="dcterms:W3CDTF">2012-07-26T21:46:00Z</dcterms:created>
  <dcterms:modified xsi:type="dcterms:W3CDTF">2012-07-26T21:50:00Z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