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r>
        <w:rPr>
          <w:b/>
        </w:rPr>
        <w:t>via posting</w:t>
      </w:r>
    </w:p>
    <w:p w:rsidR="004667C2" w:rsidRDefault="004667C2"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4667C2" w:rsidRDefault="004667C2" w:rsidP="00DC2A77">
      <w:pPr>
        <w:tabs>
          <w:tab w:val="left" w:pos="900"/>
        </w:tabs>
        <w:spacing w:before="120" w:after="120"/>
      </w:pPr>
      <w:r>
        <w:rPr>
          <w:b/>
        </w:rPr>
        <w:t xml:space="preserve">FROM: </w:t>
      </w:r>
      <w:r>
        <w:rPr>
          <w:b/>
        </w:rPr>
        <w:tab/>
      </w:r>
      <w:smartTag w:uri="urn:schemas-microsoft-com:office:smarttags" w:element="PersonName">
        <w:r>
          <w:t>Jonathan Booe</w:t>
        </w:r>
      </w:smartTag>
      <w:r>
        <w:t>, Deputy Director, NAESB</w:t>
      </w:r>
    </w:p>
    <w:p w:rsidR="004667C2" w:rsidRDefault="004667C2" w:rsidP="00DC2A77">
      <w:pPr>
        <w:tabs>
          <w:tab w:val="left" w:pos="900"/>
        </w:tabs>
        <w:ind w:left="900" w:hanging="900"/>
      </w:pPr>
      <w:r>
        <w:rPr>
          <w:b/>
        </w:rPr>
        <w:t>RE:</w:t>
      </w:r>
      <w:r>
        <w:rPr>
          <w:b/>
        </w:rPr>
        <w:tab/>
      </w:r>
      <w:r>
        <w:t>Meeting Notes from the</w:t>
      </w:r>
      <w:r>
        <w:rPr>
          <w:b/>
        </w:rPr>
        <w:t xml:space="preserve"> </w:t>
      </w:r>
      <w:r>
        <w:t xml:space="preserve">NAESB Board Gas-Electric Harmonization Committee </w:t>
      </w:r>
      <w:r w:rsidR="00F5208B">
        <w:t xml:space="preserve">Conference Call on </w:t>
      </w:r>
      <w:r w:rsidR="009633C3">
        <w:t>July 18</w:t>
      </w:r>
      <w:r>
        <w:t>, 2012</w:t>
      </w:r>
    </w:p>
    <w:p w:rsidR="004667C2" w:rsidRDefault="004667C2" w:rsidP="00DC2A77">
      <w:pPr>
        <w:pBdr>
          <w:bottom w:val="single" w:sz="12" w:space="1" w:color="auto"/>
        </w:pBdr>
        <w:tabs>
          <w:tab w:val="left" w:pos="900"/>
        </w:tabs>
        <w:spacing w:before="120" w:after="120"/>
      </w:pPr>
      <w:r>
        <w:rPr>
          <w:b/>
        </w:rPr>
        <w:t>DATE:</w:t>
      </w:r>
      <w:r w:rsidR="009633C3">
        <w:tab/>
        <w:t>July 22</w:t>
      </w:r>
      <w:r>
        <w:t>, 2012</w:t>
      </w:r>
    </w:p>
    <w:p w:rsidR="004667C2" w:rsidRDefault="004667C2">
      <w:pPr>
        <w:spacing w:before="120"/>
        <w:outlineLvl w:val="2"/>
      </w:pPr>
      <w:r>
        <w:t>Dear Gas-Electric Harmonization Committee Members,</w:t>
      </w:r>
    </w:p>
    <w:p w:rsidR="004667C2" w:rsidRDefault="004667C2">
      <w:pPr>
        <w:spacing w:before="120" w:after="240"/>
        <w:outlineLvl w:val="2"/>
      </w:pPr>
      <w:r>
        <w:t xml:space="preserve">A Gas-Electric Harmonization Committee </w:t>
      </w:r>
      <w:r w:rsidR="00F5208B">
        <w:t>con</w:t>
      </w:r>
      <w:r w:rsidR="009633C3">
        <w:t>ference call was held on July 18</w:t>
      </w:r>
      <w:r w:rsidR="00F5208B">
        <w:t>, 2012</w:t>
      </w:r>
      <w:r>
        <w:t>. The meeting was ca</w:t>
      </w:r>
      <w:r w:rsidR="00F5208B">
        <w:t>lled to order at 1:00 p</w:t>
      </w:r>
      <w:r>
        <w:t xml:space="preserve">m </w:t>
      </w:r>
      <w:r w:rsidR="00F5208B">
        <w:t>Central</w:t>
      </w:r>
      <w:r>
        <w:t>.  Ms. Crockett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F5208B">
            <w:pPr>
              <w:spacing w:before="120" w:after="240"/>
              <w:ind w:left="720"/>
              <w:jc w:val="center"/>
              <w:outlineLvl w:val="2"/>
              <w:rPr>
                <w:b/>
              </w:rPr>
            </w:pPr>
            <w:r>
              <w:rPr>
                <w:b/>
              </w:rPr>
              <w:t>Notes from the July 18</w:t>
            </w:r>
            <w:r w:rsidR="004667C2">
              <w:rPr>
                <w:b/>
              </w:rPr>
              <w:t xml:space="preserve">, 2012 NAESB Board Gas-Electric Harmonization Committee </w:t>
            </w:r>
            <w:r w:rsidR="00F5208B">
              <w:rPr>
                <w:b/>
              </w:rPr>
              <w:t>Conference Call</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Default="004667C2" w:rsidP="009633C3">
            <w:pPr>
              <w:keepNext/>
              <w:keepLines/>
              <w:spacing w:before="120" w:after="60"/>
              <w:outlineLvl w:val="2"/>
              <w:rPr>
                <w:b/>
              </w:rPr>
            </w:pPr>
            <w:r>
              <w:t xml:space="preserve">Ms. Crockett welcomed the participants on the conference call.  Ms. Booe provided the antitrust guidance and called the roll of the Committee.  Quorum was established.  Ms. Crockett reviewed the agenda and Mr. </w:t>
            </w:r>
            <w:r w:rsidR="009633C3">
              <w:t>Thorn</w:t>
            </w:r>
            <w:r>
              <w:t xml:space="preserve"> moved to adopt it as drafted.  Mr.</w:t>
            </w:r>
            <w:r w:rsidR="00F5208B">
              <w:t xml:space="preserve"> </w:t>
            </w:r>
            <w:r w:rsidR="009633C3">
              <w:t>Kruse</w:t>
            </w:r>
            <w:r>
              <w:t xml:space="preserve"> seconded the motion and the motion passed without opposition.  Ms. Crockett reviewed the notes from the </w:t>
            </w:r>
            <w:r w:rsidR="00F5208B">
              <w:t xml:space="preserve">June </w:t>
            </w:r>
            <w:r w:rsidR="009633C3">
              <w:t>19, 2012 conference call</w:t>
            </w:r>
            <w:r>
              <w:t xml:space="preserve">.  Mr. </w:t>
            </w:r>
            <w:r w:rsidR="009633C3">
              <w:t>Smead</w:t>
            </w:r>
            <w:r>
              <w:t xml:space="preserve"> moved to adopt the notes as drafted and Mr. </w:t>
            </w:r>
            <w:r w:rsidR="009633C3">
              <w:t>Kirby</w:t>
            </w:r>
            <w:r>
              <w:t xml:space="preserve"> seconded the motion.  The motion passed without opposition.  </w:t>
            </w:r>
          </w:p>
        </w:tc>
      </w:tr>
      <w:tr w:rsidR="004667C2">
        <w:tc>
          <w:tcPr>
            <w:tcW w:w="1620" w:type="dxa"/>
          </w:tcPr>
          <w:p w:rsidR="004667C2" w:rsidRDefault="004667C2" w:rsidP="00DC2A77">
            <w:pPr>
              <w:spacing w:before="120" w:after="60"/>
              <w:outlineLvl w:val="2"/>
              <w:rPr>
                <w:b/>
              </w:rPr>
            </w:pPr>
            <w:r>
              <w:rPr>
                <w:b/>
              </w:rPr>
              <w:t>Discussion</w:t>
            </w:r>
          </w:p>
        </w:tc>
        <w:tc>
          <w:tcPr>
            <w:tcW w:w="8298" w:type="dxa"/>
          </w:tcPr>
          <w:p w:rsidR="00F56CEF" w:rsidRDefault="004667C2"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w:t>
            </w:r>
            <w:r w:rsidR="009633C3">
              <w:rPr>
                <w:rFonts w:ascii="Times New Roman" w:hAnsi="Times New Roman" w:cs="Times New Roman"/>
                <w:sz w:val="20"/>
                <w:szCs w:val="20"/>
              </w:rPr>
              <w:t xml:space="preserve">stated that two comments were submitted on the </w:t>
            </w:r>
            <w:hyperlink r:id="rId9" w:history="1">
              <w:r w:rsidR="009633C3" w:rsidRPr="009633C3">
                <w:rPr>
                  <w:rStyle w:val="Hyperlink"/>
                  <w:rFonts w:ascii="Times New Roman" w:hAnsi="Times New Roman"/>
                  <w:sz w:val="20"/>
                  <w:szCs w:val="20"/>
                </w:rPr>
                <w:t>draft preamble</w:t>
              </w:r>
            </w:hyperlink>
            <w:r w:rsidR="009633C3">
              <w:rPr>
                <w:rFonts w:ascii="Times New Roman" w:hAnsi="Times New Roman" w:cs="Times New Roman"/>
                <w:sz w:val="20"/>
                <w:szCs w:val="20"/>
              </w:rPr>
              <w:t xml:space="preserve"> since it was posted and recommended that the participants begin the review of the draft through the </w:t>
            </w:r>
            <w:hyperlink r:id="rId10" w:history="1">
              <w:r w:rsidR="009633C3" w:rsidRPr="009633C3">
                <w:rPr>
                  <w:rStyle w:val="Hyperlink"/>
                  <w:rFonts w:ascii="Times New Roman" w:hAnsi="Times New Roman"/>
                  <w:sz w:val="20"/>
                  <w:szCs w:val="20"/>
                </w:rPr>
                <w:t>comments</w:t>
              </w:r>
            </w:hyperlink>
            <w:r w:rsidR="009633C3">
              <w:rPr>
                <w:rFonts w:ascii="Times New Roman" w:hAnsi="Times New Roman" w:cs="Times New Roman"/>
                <w:sz w:val="20"/>
                <w:szCs w:val="20"/>
              </w:rPr>
              <w:t xml:space="preserve"> submitted by Ms. Ogg.  The participants reviewed the comments and made modifications to the draft based upon the comments and discussion.  Next, the participants reviewed the </w:t>
            </w:r>
            <w:hyperlink r:id="rId11" w:history="1">
              <w:r w:rsidR="009633C3" w:rsidRPr="009633C3">
                <w:rPr>
                  <w:rStyle w:val="Hyperlink"/>
                  <w:rFonts w:ascii="Times New Roman" w:hAnsi="Times New Roman"/>
                  <w:sz w:val="20"/>
                  <w:szCs w:val="20"/>
                </w:rPr>
                <w:t>comments</w:t>
              </w:r>
            </w:hyperlink>
            <w:r w:rsidR="009633C3">
              <w:rPr>
                <w:rFonts w:ascii="Times New Roman" w:hAnsi="Times New Roman" w:cs="Times New Roman"/>
                <w:sz w:val="20"/>
                <w:szCs w:val="20"/>
              </w:rPr>
              <w:t xml:space="preserve"> submitted by Mr. Thorn.  Based upon the comments and the discussion</w:t>
            </w:r>
            <w:r w:rsidR="00F56CEF">
              <w:rPr>
                <w:rFonts w:ascii="Times New Roman" w:hAnsi="Times New Roman" w:cs="Times New Roman"/>
                <w:sz w:val="20"/>
                <w:szCs w:val="20"/>
              </w:rPr>
              <w:t xml:space="preserve"> of Mr. Thorn’s comments</w:t>
            </w:r>
            <w:r w:rsidR="009633C3">
              <w:rPr>
                <w:rFonts w:ascii="Times New Roman" w:hAnsi="Times New Roman" w:cs="Times New Roman"/>
                <w:sz w:val="20"/>
                <w:szCs w:val="20"/>
              </w:rPr>
              <w:t>, additional modifications were made to the draft</w:t>
            </w:r>
            <w:r w:rsidR="00F56CEF">
              <w:rPr>
                <w:rFonts w:ascii="Times New Roman" w:hAnsi="Times New Roman" w:cs="Times New Roman"/>
                <w:sz w:val="20"/>
                <w:szCs w:val="20"/>
              </w:rPr>
              <w:t xml:space="preserve">.  At the conclusion of the review Mr. Smead made a motion to adopt the modifications made to the draft preamble during the meeting. Mr. Chatterjee seconded the motion and the motion passed without opposition.  </w:t>
            </w:r>
          </w:p>
          <w:p w:rsidR="004667C2" w:rsidRDefault="00F56CEF"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The revisions to the document made during the conference call can be found through the following hyperlink in redline format:  </w:t>
            </w:r>
            <w:hyperlink r:id="rId12" w:history="1">
              <w:r w:rsidRPr="00A87D2D">
                <w:rPr>
                  <w:rStyle w:val="Hyperlink"/>
                  <w:rFonts w:ascii="Times New Roman" w:hAnsi="Times New Roman"/>
                  <w:sz w:val="20"/>
                  <w:szCs w:val="20"/>
                </w:rPr>
                <w:t>http://www.naesb.org/pdf4/geh071812a1.doc</w:t>
              </w:r>
            </w:hyperlink>
            <w:r>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60"/>
              <w:outlineLvl w:val="2"/>
              <w:rPr>
                <w:b/>
              </w:rPr>
            </w:pPr>
            <w:r>
              <w:rPr>
                <w:b/>
              </w:rPr>
              <w:t>Other Business</w:t>
            </w:r>
          </w:p>
        </w:tc>
        <w:tc>
          <w:tcPr>
            <w:tcW w:w="8298" w:type="dxa"/>
          </w:tcPr>
          <w:p w:rsidR="004667C2" w:rsidRPr="000D1F0F" w:rsidRDefault="004667C2"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Crockett</w:t>
            </w:r>
            <w:r w:rsidR="00F939D7">
              <w:rPr>
                <w:rFonts w:ascii="Times New Roman" w:hAnsi="Times New Roman" w:cs="Times New Roman"/>
                <w:sz w:val="20"/>
                <w:szCs w:val="20"/>
              </w:rPr>
              <w:t xml:space="preserve"> stated that </w:t>
            </w:r>
            <w:r w:rsidR="00F56CEF">
              <w:rPr>
                <w:rFonts w:ascii="Times New Roman" w:hAnsi="Times New Roman" w:cs="Times New Roman"/>
                <w:sz w:val="20"/>
                <w:szCs w:val="20"/>
              </w:rPr>
              <w:t>the Committee will review the entire report during the next face-to face meeting in Baltimore, MD on August 2, 2012 and that the Committee should be prepared to make any final modifications during that meeting</w:t>
            </w:r>
            <w:r>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60"/>
              <w:outlineLvl w:val="2"/>
              <w:rPr>
                <w:b/>
              </w:rPr>
            </w:pPr>
            <w:r>
              <w:rPr>
                <w:b/>
              </w:rPr>
              <w:t>Next Meeting and Action Items:</w:t>
            </w:r>
          </w:p>
        </w:tc>
        <w:tc>
          <w:tcPr>
            <w:tcW w:w="8298" w:type="dxa"/>
          </w:tcPr>
          <w:p w:rsidR="004667C2" w:rsidRDefault="004667C2" w:rsidP="00507E4E">
            <w:pPr>
              <w:pStyle w:val="ListParagraph"/>
              <w:numPr>
                <w:ilvl w:val="0"/>
                <w:numId w:val="32"/>
              </w:numPr>
              <w:spacing w:before="60" w:after="60"/>
              <w:ind w:left="342"/>
              <w:rPr>
                <w:rFonts w:ascii="Times New Roman" w:hAnsi="Times New Roman" w:cs="Times New Roman"/>
                <w:sz w:val="20"/>
                <w:szCs w:val="20"/>
              </w:rPr>
            </w:pPr>
            <w:r>
              <w:rPr>
                <w:rFonts w:ascii="Times New Roman" w:hAnsi="Times New Roman" w:cs="Times New Roman"/>
                <w:sz w:val="20"/>
                <w:szCs w:val="20"/>
              </w:rPr>
              <w:t>The next con</w:t>
            </w:r>
            <w:r w:rsidR="00F56CEF">
              <w:rPr>
                <w:rFonts w:ascii="Times New Roman" w:hAnsi="Times New Roman" w:cs="Times New Roman"/>
                <w:sz w:val="20"/>
                <w:szCs w:val="20"/>
              </w:rPr>
              <w:t>ference call is scheduled for August 2</w:t>
            </w:r>
            <w:r>
              <w:rPr>
                <w:rFonts w:ascii="Times New Roman" w:hAnsi="Times New Roman" w:cs="Times New Roman"/>
                <w:sz w:val="20"/>
                <w:szCs w:val="20"/>
              </w:rPr>
              <w:t>, 2012 from 1</w:t>
            </w:r>
            <w:r w:rsidR="00F56CEF">
              <w:rPr>
                <w:rFonts w:ascii="Times New Roman" w:hAnsi="Times New Roman" w:cs="Times New Roman"/>
                <w:sz w:val="20"/>
                <w:szCs w:val="20"/>
              </w:rPr>
              <w:t>0:00 a</w:t>
            </w:r>
            <w:r>
              <w:rPr>
                <w:rFonts w:ascii="Times New Roman" w:hAnsi="Times New Roman" w:cs="Times New Roman"/>
                <w:sz w:val="20"/>
                <w:szCs w:val="20"/>
              </w:rPr>
              <w:t xml:space="preserve">m to 4:00 pm </w:t>
            </w:r>
            <w:r w:rsidR="00F56CEF">
              <w:rPr>
                <w:rFonts w:ascii="Times New Roman" w:hAnsi="Times New Roman" w:cs="Times New Roman"/>
                <w:sz w:val="20"/>
                <w:szCs w:val="20"/>
              </w:rPr>
              <w:t>Eastern in Baltimore, MD</w:t>
            </w:r>
            <w:r w:rsidR="00507E4E">
              <w:rPr>
                <w:rFonts w:ascii="Times New Roman" w:hAnsi="Times New Roman" w:cs="Times New Roman"/>
                <w:sz w:val="20"/>
                <w:szCs w:val="20"/>
              </w:rPr>
              <w:t>, which will focus on the assembly of the report to be provided to the Board at its September meeting.</w:t>
            </w:r>
            <w:bookmarkStart w:id="2" w:name="_GoBack"/>
            <w:bookmarkEnd w:id="2"/>
            <w:r>
              <w:rPr>
                <w:rFonts w:ascii="Times New Roman" w:hAnsi="Times New Roman" w:cs="Times New Roman"/>
                <w:sz w:val="20"/>
                <w:szCs w:val="20"/>
              </w:rPr>
              <w:t xml:space="preserve"> </w:t>
            </w:r>
          </w:p>
        </w:tc>
      </w:tr>
      <w:tr w:rsidR="004667C2">
        <w:tc>
          <w:tcPr>
            <w:tcW w:w="1620" w:type="dxa"/>
          </w:tcPr>
          <w:p w:rsidR="004667C2" w:rsidRDefault="004667C2" w:rsidP="00BE25C4">
            <w:pPr>
              <w:spacing w:before="120" w:after="120"/>
              <w:outlineLvl w:val="2"/>
              <w:rPr>
                <w:b/>
              </w:rPr>
            </w:pPr>
            <w:r>
              <w:rPr>
                <w:b/>
              </w:rPr>
              <w:t>Adjourn:</w:t>
            </w:r>
          </w:p>
        </w:tc>
        <w:tc>
          <w:tcPr>
            <w:tcW w:w="8298" w:type="dxa"/>
          </w:tcPr>
          <w:p w:rsidR="004667C2" w:rsidRDefault="004667C2" w:rsidP="00F939D7">
            <w:pPr>
              <w:tabs>
                <w:tab w:val="left" w:pos="360"/>
              </w:tabs>
              <w:spacing w:before="120" w:after="120"/>
            </w:pPr>
            <w:r>
              <w:t xml:space="preserve">The meeting was adjourned at </w:t>
            </w:r>
            <w:r w:rsidR="00F56CEF">
              <w:t>2:53</w:t>
            </w:r>
            <w:r w:rsidR="00F939D7">
              <w:t xml:space="preserve"> pm Central</w:t>
            </w:r>
            <w:r>
              <w:t>.</w:t>
            </w:r>
          </w:p>
        </w:tc>
      </w:tr>
      <w:tr w:rsidR="004667C2">
        <w:tc>
          <w:tcPr>
            <w:tcW w:w="1620" w:type="dxa"/>
            <w:tcBorders>
              <w:bottom w:val="single" w:sz="4" w:space="0" w:color="auto"/>
            </w:tcBorders>
          </w:tcPr>
          <w:p w:rsidR="004667C2" w:rsidRDefault="004667C2" w:rsidP="00B02F98">
            <w:pPr>
              <w:keepNext/>
              <w:spacing w:before="120" w:after="60"/>
              <w:outlineLvl w:val="2"/>
              <w:rPr>
                <w:b/>
              </w:rPr>
            </w:pPr>
            <w:r>
              <w:rPr>
                <w:b/>
              </w:rPr>
              <w:lastRenderedPageBreak/>
              <w:t>Work Papers Provided for the Meeting:</w:t>
            </w:r>
          </w:p>
        </w:tc>
        <w:tc>
          <w:tcPr>
            <w:tcW w:w="8298" w:type="dxa"/>
            <w:tcBorders>
              <w:bottom w:val="single" w:sz="4" w:space="0" w:color="auto"/>
            </w:tcBorders>
          </w:tcPr>
          <w:p w:rsidR="004667C2" w:rsidRDefault="004667C2" w:rsidP="00B02F98">
            <w:pPr>
              <w:keepNext/>
              <w:spacing w:before="120" w:after="60"/>
              <w:rPr>
                <w:b/>
              </w:rPr>
            </w:pPr>
            <w:r>
              <w:rPr>
                <w:b/>
              </w:rPr>
              <w:t>Meeting Related Documents:</w:t>
            </w:r>
          </w:p>
          <w:p w:rsidR="004667C2" w:rsidRPr="00BE25C4" w:rsidRDefault="004667C2" w:rsidP="00F56CEF">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13" w:history="1">
              <w:r w:rsidR="00F56CEF" w:rsidRPr="00A87D2D">
                <w:rPr>
                  <w:rStyle w:val="Hyperlink"/>
                  <w:rFonts w:ascii="Times New Roman" w:hAnsi="Times New Roman"/>
                  <w:sz w:val="20"/>
                  <w:szCs w:val="20"/>
                </w:rPr>
                <w:t>http://www.naesb.org/pdf4/geh071812a.docx</w:t>
              </w:r>
            </w:hyperlink>
            <w:r w:rsidR="00F56CEF">
              <w:rPr>
                <w:rFonts w:ascii="Times New Roman" w:hAnsi="Times New Roman" w:cs="Times New Roman"/>
                <w:color w:val="000000"/>
                <w:sz w:val="20"/>
                <w:szCs w:val="20"/>
              </w:rPr>
              <w:t xml:space="preserve"> </w:t>
            </w:r>
          </w:p>
          <w:p w:rsidR="00F56CEF" w:rsidRPr="00F56CEF" w:rsidRDefault="00F56CEF" w:rsidP="00F56CEF">
            <w:pPr>
              <w:pStyle w:val="ListParagraph"/>
              <w:keepNext/>
              <w:numPr>
                <w:ilvl w:val="0"/>
                <w:numId w:val="32"/>
              </w:numPr>
              <w:spacing w:before="60" w:after="120"/>
              <w:rPr>
                <w:rFonts w:ascii="Times New Roman" w:hAnsi="Times New Roman" w:cs="Times New Roman"/>
                <w:sz w:val="20"/>
                <w:szCs w:val="20"/>
              </w:rPr>
            </w:pPr>
            <w:r w:rsidRPr="00F56CEF">
              <w:rPr>
                <w:rFonts w:ascii="Times New Roman" w:hAnsi="Times New Roman" w:cs="Times New Roman"/>
                <w:color w:val="000000"/>
                <w:sz w:val="20"/>
                <w:szCs w:val="20"/>
              </w:rPr>
              <w:t>GEH Draft Preamble</w:t>
            </w:r>
            <w:r>
              <w:rPr>
                <w:rFonts w:ascii="Times New Roman" w:hAnsi="Times New Roman" w:cs="Times New Roman"/>
                <w:color w:val="000000"/>
                <w:sz w:val="20"/>
                <w:szCs w:val="20"/>
              </w:rPr>
              <w:t xml:space="preserve">:  </w:t>
            </w:r>
            <w:hyperlink r:id="rId14" w:history="1">
              <w:r w:rsidRPr="00A87D2D">
                <w:rPr>
                  <w:rStyle w:val="Hyperlink"/>
                  <w:rFonts w:ascii="Times New Roman" w:hAnsi="Times New Roman"/>
                  <w:sz w:val="20"/>
                  <w:szCs w:val="20"/>
                </w:rPr>
                <w:t>http://www.naesb.org/pdf4/geh071812w1.docx</w:t>
              </w:r>
            </w:hyperlink>
            <w:r>
              <w:rPr>
                <w:rFonts w:ascii="Times New Roman" w:hAnsi="Times New Roman" w:cs="Times New Roman"/>
                <w:color w:val="000000"/>
                <w:sz w:val="20"/>
                <w:szCs w:val="20"/>
              </w:rPr>
              <w:t xml:space="preserve"> </w:t>
            </w:r>
          </w:p>
          <w:p w:rsidR="00F56CEF" w:rsidRPr="00F56CEF" w:rsidRDefault="00F56CEF" w:rsidP="00F56CEF">
            <w:pPr>
              <w:pStyle w:val="ListParagraph"/>
              <w:keepNext/>
              <w:numPr>
                <w:ilvl w:val="0"/>
                <w:numId w:val="32"/>
              </w:numPr>
              <w:spacing w:before="60" w:after="120"/>
              <w:rPr>
                <w:rFonts w:ascii="Times New Roman" w:hAnsi="Times New Roman" w:cs="Times New Roman"/>
                <w:sz w:val="20"/>
                <w:szCs w:val="20"/>
              </w:rPr>
            </w:pPr>
            <w:r w:rsidRPr="00F56CEF">
              <w:rPr>
                <w:rFonts w:ascii="Times New Roman" w:hAnsi="Times New Roman" w:cs="Times New Roman"/>
                <w:color w:val="000000"/>
                <w:sz w:val="20"/>
                <w:szCs w:val="20"/>
              </w:rPr>
              <w:t>GEH Draft Preamble Comments Submitted by J. Ogg, DC Energy</w:t>
            </w:r>
            <w:r>
              <w:rPr>
                <w:rFonts w:ascii="Times New Roman" w:hAnsi="Times New Roman" w:cs="Times New Roman"/>
                <w:color w:val="000000"/>
                <w:sz w:val="20"/>
                <w:szCs w:val="20"/>
              </w:rPr>
              <w:t xml:space="preserve">:  </w:t>
            </w:r>
            <w:hyperlink r:id="rId15" w:history="1">
              <w:r w:rsidRPr="00A87D2D">
                <w:rPr>
                  <w:rStyle w:val="Hyperlink"/>
                  <w:rFonts w:ascii="Times New Roman" w:hAnsi="Times New Roman"/>
                  <w:sz w:val="20"/>
                  <w:szCs w:val="20"/>
                </w:rPr>
                <w:t>http://www.naesb.org/pdf4/geh071812w2.doc</w:t>
              </w:r>
            </w:hyperlink>
            <w:r>
              <w:rPr>
                <w:rFonts w:ascii="Times New Roman" w:hAnsi="Times New Roman" w:cs="Times New Roman"/>
                <w:color w:val="000000"/>
                <w:sz w:val="20"/>
                <w:szCs w:val="20"/>
              </w:rPr>
              <w:t xml:space="preserve"> </w:t>
            </w:r>
          </w:p>
          <w:p w:rsidR="004667C2" w:rsidRDefault="00F56CEF" w:rsidP="00F56CEF">
            <w:pPr>
              <w:pStyle w:val="ListParagraph"/>
              <w:keepNext/>
              <w:numPr>
                <w:ilvl w:val="0"/>
                <w:numId w:val="32"/>
              </w:numPr>
              <w:spacing w:before="60" w:after="120"/>
              <w:rPr>
                <w:rFonts w:ascii="Times New Roman" w:hAnsi="Times New Roman" w:cs="Times New Roman"/>
                <w:sz w:val="20"/>
                <w:szCs w:val="20"/>
              </w:rPr>
            </w:pPr>
            <w:r w:rsidRPr="00F56CEF">
              <w:rPr>
                <w:rFonts w:ascii="Times New Roman" w:hAnsi="Times New Roman" w:cs="Times New Roman"/>
                <w:color w:val="000000"/>
                <w:sz w:val="20"/>
                <w:szCs w:val="20"/>
              </w:rPr>
              <w:t>GEH Draft Preamble Comments Submitted by T. Thorn, KEMA</w:t>
            </w:r>
            <w:r>
              <w:rPr>
                <w:rFonts w:ascii="Times New Roman" w:hAnsi="Times New Roman" w:cs="Times New Roman"/>
                <w:color w:val="000000"/>
                <w:sz w:val="20"/>
                <w:szCs w:val="20"/>
              </w:rPr>
              <w:t xml:space="preserve">:  </w:t>
            </w:r>
            <w:hyperlink r:id="rId16" w:history="1">
              <w:r w:rsidRPr="00A87D2D">
                <w:rPr>
                  <w:rStyle w:val="Hyperlink"/>
                  <w:rFonts w:ascii="Times New Roman" w:hAnsi="Times New Roman"/>
                  <w:sz w:val="20"/>
                  <w:szCs w:val="20"/>
                </w:rPr>
                <w:t>http://www.naesb.org/pdf4/geh071812w3.docx</w:t>
              </w:r>
            </w:hyperlink>
            <w:r>
              <w:rPr>
                <w:rFonts w:ascii="Times New Roman" w:hAnsi="Times New Roman" w:cs="Times New Roman"/>
                <w:color w:val="000000"/>
                <w:sz w:val="20"/>
                <w:szCs w:val="20"/>
              </w:rPr>
              <w:t xml:space="preserve"> </w:t>
            </w:r>
          </w:p>
        </w:tc>
      </w:tr>
      <w:bookmarkEnd w:id="0"/>
      <w:bookmarkEnd w:id="1"/>
    </w:tbl>
    <w:p w:rsidR="004667C2" w:rsidRDefault="004667C2">
      <w:r>
        <w:br w:type="page"/>
      </w:r>
    </w:p>
    <w:tbl>
      <w:tblPr>
        <w:tblW w:w="0" w:type="auto"/>
        <w:tblInd w:w="108" w:type="dxa"/>
        <w:tblLayout w:type="fixed"/>
        <w:tblLook w:val="01E0" w:firstRow="1" w:lastRow="1" w:firstColumn="1" w:lastColumn="1" w:noHBand="0" w:noVBand="0"/>
      </w:tblPr>
      <w:tblGrid>
        <w:gridCol w:w="3060"/>
        <w:gridCol w:w="6858"/>
      </w:tblGrid>
      <w:tr w:rsidR="004667C2">
        <w:trPr>
          <w:tblHeader/>
        </w:trPr>
        <w:tc>
          <w:tcPr>
            <w:tcW w:w="9918" w:type="dxa"/>
            <w:gridSpan w:val="2"/>
            <w:tcBorders>
              <w:bottom w:val="single" w:sz="4" w:space="0" w:color="auto"/>
            </w:tcBorders>
          </w:tcPr>
          <w:p w:rsidR="004667C2" w:rsidRDefault="004667C2">
            <w:pPr>
              <w:spacing w:before="240" w:after="120"/>
              <w:jc w:val="center"/>
              <w:rPr>
                <w:b/>
              </w:rPr>
            </w:pPr>
            <w:r>
              <w:rPr>
                <w:b/>
              </w:rPr>
              <w:lastRenderedPageBreak/>
              <w:t xml:space="preserve">Notes from the </w:t>
            </w:r>
            <w:r w:rsidR="00F56CEF">
              <w:rPr>
                <w:b/>
              </w:rPr>
              <w:t>July 18</w:t>
            </w:r>
            <w:r>
              <w:rPr>
                <w:b/>
              </w:rPr>
              <w:t>, 2012 NAESB Board Gas-Electric</w:t>
            </w:r>
            <w:r w:rsidR="00CA355A">
              <w:rPr>
                <w:b/>
              </w:rPr>
              <w:t xml:space="preserve"> Harmonization Committee Conference Call</w:t>
            </w:r>
            <w:r>
              <w:rPr>
                <w:b/>
              </w:rPr>
              <w:t xml:space="preserve"> </w:t>
            </w:r>
          </w:p>
          <w:p w:rsidR="004667C2" w:rsidRDefault="004667C2">
            <w:pPr>
              <w:spacing w:after="120"/>
              <w:jc w:val="center"/>
              <w:rPr>
                <w:b/>
              </w:rPr>
            </w:pPr>
            <w:r>
              <w:rPr>
                <w:b/>
              </w:rPr>
              <w:t>GAS-ELECTRIC HARMONIZATION COMMITTEE MEMBERS</w:t>
            </w:r>
          </w:p>
        </w:tc>
      </w:tr>
      <w:tr w:rsidR="008E1481" w:rsidTr="00771541">
        <w:trPr>
          <w:tblHeader/>
        </w:trPr>
        <w:tc>
          <w:tcPr>
            <w:tcW w:w="3060" w:type="dxa"/>
            <w:tcBorders>
              <w:top w:val="single" w:sz="4" w:space="0" w:color="auto"/>
              <w:bottom w:val="single" w:sz="4" w:space="0" w:color="auto"/>
            </w:tcBorders>
          </w:tcPr>
          <w:p w:rsidR="008E1481" w:rsidRDefault="008E1481">
            <w:pPr>
              <w:spacing w:before="40" w:after="20"/>
              <w:jc w:val="both"/>
              <w:rPr>
                <w:b/>
              </w:rPr>
            </w:pPr>
            <w:bookmarkStart w:id="3" w:name="_Hlk316634792"/>
            <w:r>
              <w:rPr>
                <w:b/>
              </w:rPr>
              <w:t>Name</w:t>
            </w:r>
          </w:p>
        </w:tc>
        <w:tc>
          <w:tcPr>
            <w:tcW w:w="6858" w:type="dxa"/>
            <w:tcBorders>
              <w:top w:val="single" w:sz="4" w:space="0" w:color="auto"/>
              <w:bottom w:val="single" w:sz="4" w:space="0" w:color="auto"/>
            </w:tcBorders>
          </w:tcPr>
          <w:p w:rsidR="008E1481" w:rsidRDefault="008E1481">
            <w:pPr>
              <w:keepNext/>
              <w:spacing w:before="40" w:after="20"/>
              <w:jc w:val="both"/>
              <w:rPr>
                <w:b/>
              </w:rPr>
            </w:pPr>
            <w:r>
              <w:rPr>
                <w:b/>
              </w:rPr>
              <w:t xml:space="preserve">Organization </w:t>
            </w:r>
          </w:p>
        </w:tc>
      </w:tr>
      <w:tr w:rsidR="008E1481" w:rsidTr="002B58CD">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Jim Buccigross</w:t>
            </w:r>
          </w:p>
        </w:tc>
        <w:tc>
          <w:tcPr>
            <w:tcW w:w="6858" w:type="dxa"/>
          </w:tcPr>
          <w:p w:rsidR="008E1481" w:rsidRPr="0085540B" w:rsidRDefault="008E1481">
            <w:pPr>
              <w:spacing w:before="100"/>
            </w:pPr>
            <w:r w:rsidRPr="0085540B">
              <w:t xml:space="preserve">8760 Inc. </w:t>
            </w:r>
          </w:p>
        </w:tc>
      </w:tr>
      <w:bookmarkEnd w:id="3"/>
      <w:tr w:rsidR="008E1481" w:rsidTr="00916A4E">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Craig Colombo</w:t>
            </w:r>
          </w:p>
        </w:tc>
        <w:tc>
          <w:tcPr>
            <w:tcW w:w="6858" w:type="dxa"/>
          </w:tcPr>
          <w:p w:rsidR="008E1481" w:rsidRPr="0085540B" w:rsidRDefault="008E1481">
            <w:pPr>
              <w:spacing w:before="100"/>
            </w:pPr>
            <w:r w:rsidRPr="0085540B">
              <w:t>Dominion Resources</w:t>
            </w:r>
          </w:p>
        </w:tc>
      </w:tr>
      <w:tr w:rsidR="008E1481" w:rsidTr="00E33DAF">
        <w:tc>
          <w:tcPr>
            <w:tcW w:w="3060" w:type="dxa"/>
          </w:tcPr>
          <w:p w:rsidR="008E1481" w:rsidRPr="0085540B" w:rsidRDefault="008E1481">
            <w:pPr>
              <w:pStyle w:val="Title"/>
              <w:jc w:val="left"/>
              <w:rPr>
                <w:rFonts w:ascii="Times New Roman" w:hAnsi="Times New Roman"/>
                <w:sz w:val="20"/>
              </w:rPr>
            </w:pPr>
            <w:r w:rsidRPr="0085540B">
              <w:rPr>
                <w:rFonts w:ascii="Times New Roman" w:hAnsi="Times New Roman"/>
                <w:sz w:val="20"/>
              </w:rPr>
              <w:t xml:space="preserve">Valerie Crockett </w:t>
            </w:r>
            <w:r w:rsidRPr="0085540B">
              <w:rPr>
                <w:rFonts w:ascii="Times New Roman" w:hAnsi="Times New Roman"/>
                <w:i/>
                <w:sz w:val="20"/>
              </w:rPr>
              <w:t>(Co-Chair)</w:t>
            </w:r>
          </w:p>
        </w:tc>
        <w:tc>
          <w:tcPr>
            <w:tcW w:w="6858" w:type="dxa"/>
          </w:tcPr>
          <w:p w:rsidR="008E1481" w:rsidRPr="0085540B" w:rsidRDefault="008E1481">
            <w:pPr>
              <w:spacing w:before="100"/>
              <w:rPr>
                <w:b/>
              </w:rPr>
            </w:pPr>
            <w:r w:rsidRPr="0085540B">
              <w:rPr>
                <w:b/>
              </w:rPr>
              <w:t>Tennessee Valley Authority</w:t>
            </w:r>
          </w:p>
        </w:tc>
      </w:tr>
      <w:tr w:rsidR="008E1481" w:rsidTr="0015349A">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Michael Desselle</w:t>
            </w:r>
          </w:p>
        </w:tc>
        <w:tc>
          <w:tcPr>
            <w:tcW w:w="6858" w:type="dxa"/>
          </w:tcPr>
          <w:p w:rsidR="008E1481" w:rsidRPr="0085540B" w:rsidRDefault="008E1481">
            <w:pPr>
              <w:spacing w:before="100"/>
            </w:pPr>
            <w:r w:rsidRPr="0085540B">
              <w:t>Southwest Power Pool</w:t>
            </w:r>
          </w:p>
        </w:tc>
      </w:tr>
      <w:tr w:rsidR="008E1481" w:rsidTr="00D97058">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Katie Elder</w:t>
            </w:r>
          </w:p>
        </w:tc>
        <w:tc>
          <w:tcPr>
            <w:tcW w:w="6858" w:type="dxa"/>
          </w:tcPr>
          <w:p w:rsidR="008E1481" w:rsidRPr="0085540B" w:rsidRDefault="008E1481">
            <w:pPr>
              <w:spacing w:before="100"/>
            </w:pPr>
            <w:r w:rsidRPr="0085540B">
              <w:t>Aspen Environmental Group</w:t>
            </w:r>
          </w:p>
        </w:tc>
      </w:tr>
      <w:tr w:rsidR="008E1481" w:rsidTr="00A4442F">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Bruce Ellsworth</w:t>
            </w:r>
          </w:p>
        </w:tc>
        <w:tc>
          <w:tcPr>
            <w:tcW w:w="6858" w:type="dxa"/>
          </w:tcPr>
          <w:p w:rsidR="008E1481" w:rsidRPr="0085540B" w:rsidRDefault="008E1481">
            <w:pPr>
              <w:spacing w:before="100"/>
            </w:pPr>
            <w:r w:rsidRPr="0085540B">
              <w:t>New York State Reliability Council</w:t>
            </w:r>
          </w:p>
        </w:tc>
      </w:tr>
      <w:tr w:rsidR="008E1481" w:rsidTr="00373717">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Doug Field</w:t>
            </w:r>
          </w:p>
        </w:tc>
        <w:tc>
          <w:tcPr>
            <w:tcW w:w="6858" w:type="dxa"/>
          </w:tcPr>
          <w:p w:rsidR="008E1481" w:rsidRPr="0085540B" w:rsidRDefault="008E1481">
            <w:pPr>
              <w:spacing w:before="100"/>
            </w:pPr>
            <w:r w:rsidRPr="0085540B">
              <w:t>Southern Star Central Gas Pipeline</w:t>
            </w:r>
          </w:p>
        </w:tc>
      </w:tr>
      <w:tr w:rsidR="008E1481" w:rsidTr="00520EE6">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Christopher Freitas</w:t>
            </w:r>
          </w:p>
        </w:tc>
        <w:tc>
          <w:tcPr>
            <w:tcW w:w="6858" w:type="dxa"/>
          </w:tcPr>
          <w:p w:rsidR="008E1481" w:rsidRPr="0085540B" w:rsidRDefault="008E1481">
            <w:pPr>
              <w:spacing w:before="100"/>
            </w:pPr>
            <w:r w:rsidRPr="0085540B">
              <w:t>US Department of Energy</w:t>
            </w:r>
          </w:p>
        </w:tc>
      </w:tr>
      <w:tr w:rsidR="008E1481" w:rsidTr="00243169">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Michele Foss</w:t>
            </w:r>
          </w:p>
        </w:tc>
        <w:tc>
          <w:tcPr>
            <w:tcW w:w="6858" w:type="dxa"/>
          </w:tcPr>
          <w:p w:rsidR="008E1481" w:rsidRPr="0085540B" w:rsidRDefault="008E1481">
            <w:pPr>
              <w:spacing w:before="100"/>
            </w:pPr>
            <w:r w:rsidRPr="0085540B">
              <w:t>University of Texas</w:t>
            </w:r>
          </w:p>
        </w:tc>
      </w:tr>
      <w:tr w:rsidR="008E1481" w:rsidTr="00DE69DA">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Arthur Fusco</w:t>
            </w:r>
          </w:p>
        </w:tc>
        <w:tc>
          <w:tcPr>
            <w:tcW w:w="6858" w:type="dxa"/>
          </w:tcPr>
          <w:p w:rsidR="008E1481" w:rsidRPr="0085540B" w:rsidRDefault="008E1481">
            <w:pPr>
              <w:spacing w:before="100"/>
            </w:pPr>
            <w:r w:rsidRPr="0085540B">
              <w:t>Central Electric Power Cooperative Inc.</w:t>
            </w:r>
          </w:p>
        </w:tc>
      </w:tr>
      <w:tr w:rsidR="008E1481" w:rsidTr="00220D33">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Bob Gee</w:t>
            </w:r>
          </w:p>
        </w:tc>
        <w:tc>
          <w:tcPr>
            <w:tcW w:w="6858" w:type="dxa"/>
          </w:tcPr>
          <w:p w:rsidR="008E1481" w:rsidRPr="0085540B" w:rsidRDefault="008E1481">
            <w:pPr>
              <w:spacing w:before="100"/>
            </w:pPr>
            <w:r w:rsidRPr="0085540B">
              <w:t>Gee Strategies Group, LLC</w:t>
            </w:r>
          </w:p>
        </w:tc>
      </w:tr>
      <w:tr w:rsidR="008E1481" w:rsidTr="00B17AD9">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Michael Goldenberg</w:t>
            </w:r>
          </w:p>
        </w:tc>
        <w:tc>
          <w:tcPr>
            <w:tcW w:w="6858" w:type="dxa"/>
          </w:tcPr>
          <w:p w:rsidR="008E1481" w:rsidRPr="0085540B" w:rsidRDefault="008E1481">
            <w:pPr>
              <w:spacing w:before="100"/>
            </w:pPr>
            <w:r w:rsidRPr="0085540B">
              <w:t>FERC</w:t>
            </w:r>
          </w:p>
        </w:tc>
      </w:tr>
      <w:tr w:rsidR="008E1481" w:rsidTr="000057E8">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Joseph Hartsoe</w:t>
            </w:r>
          </w:p>
        </w:tc>
        <w:tc>
          <w:tcPr>
            <w:tcW w:w="6858" w:type="dxa"/>
          </w:tcPr>
          <w:p w:rsidR="008E1481" w:rsidRPr="0085540B" w:rsidRDefault="008E1481">
            <w:pPr>
              <w:spacing w:before="100"/>
            </w:pPr>
            <w:r w:rsidRPr="0085540B">
              <w:t>American Electric Power Service Corp.</w:t>
            </w:r>
          </w:p>
        </w:tc>
      </w:tr>
      <w:tr w:rsidR="008E1481" w:rsidTr="00603250">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Kevin Kirby</w:t>
            </w:r>
          </w:p>
        </w:tc>
        <w:tc>
          <w:tcPr>
            <w:tcW w:w="6858" w:type="dxa"/>
          </w:tcPr>
          <w:p w:rsidR="008E1481" w:rsidRPr="0085540B" w:rsidRDefault="008E1481">
            <w:pPr>
              <w:spacing w:before="100"/>
            </w:pPr>
            <w:r w:rsidRPr="0085540B">
              <w:t>ISO New England, Inc.</w:t>
            </w:r>
          </w:p>
        </w:tc>
      </w:tr>
      <w:tr w:rsidR="008E1481" w:rsidTr="009B5B6F">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Richard Kruse</w:t>
            </w:r>
          </w:p>
        </w:tc>
        <w:tc>
          <w:tcPr>
            <w:tcW w:w="6858" w:type="dxa"/>
          </w:tcPr>
          <w:p w:rsidR="008E1481" w:rsidRPr="0085540B" w:rsidRDefault="008E1481">
            <w:pPr>
              <w:spacing w:before="100"/>
            </w:pPr>
            <w:r w:rsidRPr="0085540B">
              <w:t>Spectra Energy Transmission</w:t>
            </w:r>
          </w:p>
        </w:tc>
      </w:tr>
      <w:tr w:rsidR="008E1481" w:rsidTr="002A4A29">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Wayne Moore</w:t>
            </w:r>
          </w:p>
        </w:tc>
        <w:tc>
          <w:tcPr>
            <w:tcW w:w="6858" w:type="dxa"/>
          </w:tcPr>
          <w:p w:rsidR="008E1481" w:rsidRPr="0085540B" w:rsidRDefault="008E1481">
            <w:pPr>
              <w:spacing w:before="100"/>
            </w:pPr>
            <w:r w:rsidRPr="0085540B">
              <w:t>Southern Company</w:t>
            </w:r>
          </w:p>
        </w:tc>
      </w:tr>
      <w:tr w:rsidR="008E1481" w:rsidTr="00C54791">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Lou Oberski</w:t>
            </w:r>
          </w:p>
        </w:tc>
        <w:tc>
          <w:tcPr>
            <w:tcW w:w="6858" w:type="dxa"/>
          </w:tcPr>
          <w:p w:rsidR="008E1481" w:rsidRPr="0085540B" w:rsidRDefault="008E1481">
            <w:pPr>
              <w:spacing w:before="100"/>
            </w:pPr>
            <w:r w:rsidRPr="0085540B">
              <w:t>Dominion Resources Services, Inc.</w:t>
            </w:r>
          </w:p>
        </w:tc>
      </w:tr>
      <w:tr w:rsidR="008E1481" w:rsidTr="009234FD">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Joelle Ogg</w:t>
            </w:r>
          </w:p>
        </w:tc>
        <w:tc>
          <w:tcPr>
            <w:tcW w:w="6858" w:type="dxa"/>
          </w:tcPr>
          <w:p w:rsidR="008E1481" w:rsidRPr="0085540B" w:rsidRDefault="008E1481">
            <w:pPr>
              <w:spacing w:before="100"/>
            </w:pPr>
            <w:r w:rsidRPr="0085540B">
              <w:t>DC Energy</w:t>
            </w:r>
          </w:p>
        </w:tc>
      </w:tr>
      <w:tr w:rsidR="008E1481" w:rsidTr="00D74B83">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Keith Sappenfield</w:t>
            </w:r>
          </w:p>
        </w:tc>
        <w:tc>
          <w:tcPr>
            <w:tcW w:w="6858" w:type="dxa"/>
          </w:tcPr>
          <w:p w:rsidR="008E1481" w:rsidRPr="0085540B" w:rsidRDefault="008E1481">
            <w:pPr>
              <w:spacing w:before="100"/>
            </w:pPr>
            <w:proofErr w:type="spellStart"/>
            <w:r w:rsidRPr="0085540B">
              <w:t>Encana</w:t>
            </w:r>
            <w:proofErr w:type="spellEnd"/>
            <w:r w:rsidRPr="0085540B">
              <w:t xml:space="preserve"> Oil &amp; Gas (USA), Inc.</w:t>
            </w:r>
          </w:p>
        </w:tc>
      </w:tr>
      <w:tr w:rsidR="008E1481" w:rsidTr="007F097E">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Commissioner Timothy Simon</w:t>
            </w:r>
          </w:p>
        </w:tc>
        <w:tc>
          <w:tcPr>
            <w:tcW w:w="6858" w:type="dxa"/>
          </w:tcPr>
          <w:p w:rsidR="008E1481" w:rsidRPr="0085540B" w:rsidRDefault="008E1481">
            <w:pPr>
              <w:spacing w:before="100"/>
            </w:pPr>
            <w:r w:rsidRPr="0085540B">
              <w:t>California Public Utility Commission</w:t>
            </w:r>
          </w:p>
        </w:tc>
      </w:tr>
      <w:tr w:rsidR="008E1481" w:rsidTr="008148A4">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Rick Smead</w:t>
            </w:r>
          </w:p>
        </w:tc>
        <w:tc>
          <w:tcPr>
            <w:tcW w:w="6858" w:type="dxa"/>
          </w:tcPr>
          <w:p w:rsidR="008E1481" w:rsidRPr="0085540B" w:rsidRDefault="008E1481">
            <w:pPr>
              <w:spacing w:before="100"/>
            </w:pPr>
            <w:r w:rsidRPr="0085540B">
              <w:t>Navigant Consulting Inc.</w:t>
            </w:r>
          </w:p>
        </w:tc>
      </w:tr>
      <w:tr w:rsidR="008E1481" w:rsidTr="00E82895">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 xml:space="preserve">James A. </w:t>
            </w:r>
            <w:proofErr w:type="spellStart"/>
            <w:r w:rsidRPr="0085540B">
              <w:rPr>
                <w:rFonts w:ascii="Times New Roman" w:hAnsi="Times New Roman"/>
                <w:b w:val="0"/>
                <w:sz w:val="20"/>
              </w:rPr>
              <w:t>Stanzione</w:t>
            </w:r>
            <w:proofErr w:type="spellEnd"/>
          </w:p>
        </w:tc>
        <w:tc>
          <w:tcPr>
            <w:tcW w:w="6858" w:type="dxa"/>
          </w:tcPr>
          <w:p w:rsidR="008E1481" w:rsidRPr="0085540B" w:rsidRDefault="008E1481">
            <w:pPr>
              <w:spacing w:before="100"/>
            </w:pPr>
            <w:r w:rsidRPr="0085540B">
              <w:t>National Grid</w:t>
            </w:r>
          </w:p>
        </w:tc>
      </w:tr>
      <w:tr w:rsidR="008E1481" w:rsidTr="00943276">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Terence (Terry) Thorn</w:t>
            </w:r>
          </w:p>
        </w:tc>
        <w:tc>
          <w:tcPr>
            <w:tcW w:w="6858" w:type="dxa"/>
          </w:tcPr>
          <w:p w:rsidR="008E1481" w:rsidRPr="0085540B" w:rsidRDefault="008E1481">
            <w:pPr>
              <w:spacing w:before="100"/>
            </w:pPr>
            <w:r w:rsidRPr="0085540B">
              <w:t>KEMA Gas Consulting Services</w:t>
            </w:r>
          </w:p>
        </w:tc>
      </w:tr>
      <w:tr w:rsidR="004667C2">
        <w:trPr>
          <w:tblHeader/>
        </w:trPr>
        <w:tc>
          <w:tcPr>
            <w:tcW w:w="9918" w:type="dxa"/>
            <w:gridSpan w:val="2"/>
            <w:tcBorders>
              <w:bottom w:val="single" w:sz="4" w:space="0" w:color="auto"/>
            </w:tcBorders>
          </w:tcPr>
          <w:p w:rsidR="004667C2" w:rsidRDefault="004667C2">
            <w:pPr>
              <w:spacing w:before="240" w:after="120"/>
              <w:jc w:val="center"/>
              <w:rPr>
                <w:b/>
              </w:rPr>
            </w:pPr>
            <w:r>
              <w:rPr>
                <w:b/>
              </w:rPr>
              <w:t>OTHER ATTENDEES</w:t>
            </w:r>
          </w:p>
        </w:tc>
      </w:tr>
      <w:tr w:rsidR="008E1481" w:rsidTr="007263A4">
        <w:trPr>
          <w:tblHeader/>
        </w:trPr>
        <w:tc>
          <w:tcPr>
            <w:tcW w:w="3060" w:type="dxa"/>
            <w:tcBorders>
              <w:top w:val="single" w:sz="4" w:space="0" w:color="auto"/>
              <w:bottom w:val="single" w:sz="4" w:space="0" w:color="auto"/>
            </w:tcBorders>
          </w:tcPr>
          <w:p w:rsidR="008E1481" w:rsidRDefault="008E1481">
            <w:pPr>
              <w:spacing w:before="40" w:after="20"/>
              <w:jc w:val="both"/>
              <w:rPr>
                <w:b/>
              </w:rPr>
            </w:pPr>
            <w:r>
              <w:rPr>
                <w:b/>
              </w:rPr>
              <w:t>Name</w:t>
            </w:r>
          </w:p>
        </w:tc>
        <w:tc>
          <w:tcPr>
            <w:tcW w:w="6858" w:type="dxa"/>
            <w:tcBorders>
              <w:top w:val="single" w:sz="4" w:space="0" w:color="auto"/>
              <w:bottom w:val="single" w:sz="4" w:space="0" w:color="auto"/>
            </w:tcBorders>
          </w:tcPr>
          <w:p w:rsidR="008E1481" w:rsidRDefault="008E1481">
            <w:pPr>
              <w:keepNext/>
              <w:spacing w:before="40" w:after="20"/>
              <w:jc w:val="both"/>
              <w:rPr>
                <w:b/>
              </w:rPr>
            </w:pPr>
            <w:r>
              <w:rPr>
                <w:b/>
              </w:rPr>
              <w:t xml:space="preserve">Organization </w:t>
            </w:r>
          </w:p>
        </w:tc>
      </w:tr>
      <w:tr w:rsidR="008E1481" w:rsidTr="00D91DD6">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Nancy Bagot</w:t>
            </w:r>
          </w:p>
        </w:tc>
        <w:tc>
          <w:tcPr>
            <w:tcW w:w="6858" w:type="dxa"/>
          </w:tcPr>
          <w:p w:rsidR="008E1481" w:rsidRPr="0085540B" w:rsidRDefault="008E1481">
            <w:pPr>
              <w:spacing w:before="100"/>
            </w:pPr>
            <w:r w:rsidRPr="0085540B">
              <w:t>Electric Power Supply Association</w:t>
            </w:r>
          </w:p>
        </w:tc>
      </w:tr>
      <w:tr w:rsidR="008E1481" w:rsidTr="00CA2A2B">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 xml:space="preserve">Jonathan Booe </w:t>
            </w:r>
          </w:p>
        </w:tc>
        <w:tc>
          <w:tcPr>
            <w:tcW w:w="6858" w:type="dxa"/>
          </w:tcPr>
          <w:p w:rsidR="008E1481" w:rsidRPr="0085540B" w:rsidRDefault="008E1481">
            <w:pPr>
              <w:spacing w:before="100"/>
            </w:pPr>
            <w:r w:rsidRPr="0085540B">
              <w:t>NAESB</w:t>
            </w:r>
          </w:p>
        </w:tc>
      </w:tr>
      <w:tr w:rsidR="008E1481" w:rsidTr="00403F59">
        <w:tc>
          <w:tcPr>
            <w:tcW w:w="3060" w:type="dxa"/>
          </w:tcPr>
          <w:p w:rsidR="008E1481" w:rsidRPr="0085540B" w:rsidRDefault="008E1481">
            <w:pPr>
              <w:pStyle w:val="Title"/>
              <w:jc w:val="left"/>
              <w:rPr>
                <w:rFonts w:ascii="Times New Roman" w:hAnsi="Times New Roman"/>
                <w:b w:val="0"/>
                <w:sz w:val="20"/>
              </w:rPr>
            </w:pPr>
            <w:r w:rsidRPr="0085540B">
              <w:rPr>
                <w:rFonts w:ascii="Times New Roman" w:hAnsi="Times New Roman"/>
                <w:b w:val="0"/>
                <w:sz w:val="20"/>
              </w:rPr>
              <w:t xml:space="preserve">Kathryn Burch </w:t>
            </w:r>
          </w:p>
        </w:tc>
        <w:tc>
          <w:tcPr>
            <w:tcW w:w="6858" w:type="dxa"/>
          </w:tcPr>
          <w:p w:rsidR="008E1481" w:rsidRPr="0085540B" w:rsidRDefault="008E1481">
            <w:pPr>
              <w:spacing w:before="100"/>
            </w:pPr>
            <w:r w:rsidRPr="0085540B">
              <w:t>Spectra Energy</w:t>
            </w:r>
          </w:p>
        </w:tc>
      </w:tr>
      <w:tr w:rsidR="0085540B" w:rsidTr="00441937">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t>Jack Cashin</w:t>
            </w:r>
          </w:p>
        </w:tc>
        <w:tc>
          <w:tcPr>
            <w:tcW w:w="6858" w:type="dxa"/>
          </w:tcPr>
          <w:p w:rsidR="0085540B" w:rsidRPr="0085540B" w:rsidRDefault="0085540B">
            <w:pPr>
              <w:spacing w:before="100"/>
            </w:pPr>
            <w:r w:rsidRPr="0085540B">
              <w:t>EPSA</w:t>
            </w:r>
          </w:p>
        </w:tc>
      </w:tr>
      <w:tr w:rsidR="0085540B" w:rsidTr="003B7C10">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t>Bishu Chatterjee</w:t>
            </w:r>
          </w:p>
        </w:tc>
        <w:tc>
          <w:tcPr>
            <w:tcW w:w="6858" w:type="dxa"/>
          </w:tcPr>
          <w:p w:rsidR="0085540B" w:rsidRPr="0085540B" w:rsidRDefault="0085540B">
            <w:pPr>
              <w:spacing w:before="100"/>
            </w:pPr>
            <w:r w:rsidRPr="0085540B">
              <w:t>California Public Utility Commission</w:t>
            </w:r>
          </w:p>
        </w:tc>
      </w:tr>
      <w:tr w:rsidR="0085540B" w:rsidTr="002D2E16">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t>Pete Connor</w:t>
            </w:r>
          </w:p>
        </w:tc>
        <w:tc>
          <w:tcPr>
            <w:tcW w:w="6858" w:type="dxa"/>
          </w:tcPr>
          <w:p w:rsidR="0085540B" w:rsidRPr="0085540B" w:rsidRDefault="0085540B">
            <w:pPr>
              <w:spacing w:before="100"/>
            </w:pPr>
            <w:r w:rsidRPr="0085540B">
              <w:t>Representative for AGA</w:t>
            </w:r>
          </w:p>
        </w:tc>
      </w:tr>
      <w:tr w:rsidR="0085540B" w:rsidTr="00F16576">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lastRenderedPageBreak/>
              <w:t>Dale Davis</w:t>
            </w:r>
          </w:p>
        </w:tc>
        <w:tc>
          <w:tcPr>
            <w:tcW w:w="6858" w:type="dxa"/>
          </w:tcPr>
          <w:p w:rsidR="0085540B" w:rsidRPr="0085540B" w:rsidRDefault="0085540B">
            <w:pPr>
              <w:spacing w:before="100"/>
            </w:pPr>
            <w:r w:rsidRPr="0085540B">
              <w:t>Williams Gas Pipeline</w:t>
            </w:r>
          </w:p>
        </w:tc>
      </w:tr>
      <w:tr w:rsidR="0085540B" w:rsidTr="0043138D">
        <w:trPr>
          <w:trHeight w:val="387"/>
        </w:trPr>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t>Rae Davis</w:t>
            </w:r>
          </w:p>
        </w:tc>
        <w:tc>
          <w:tcPr>
            <w:tcW w:w="6858" w:type="dxa"/>
          </w:tcPr>
          <w:p w:rsidR="0085540B" w:rsidRPr="0085540B" w:rsidRDefault="0085540B">
            <w:pPr>
              <w:spacing w:before="100"/>
            </w:pPr>
            <w:r w:rsidRPr="0085540B">
              <w:t>Carolina Gas Transmission Corporation</w:t>
            </w:r>
          </w:p>
        </w:tc>
      </w:tr>
      <w:tr w:rsidR="0085540B" w:rsidTr="00F90284">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t>Rhonda Denton</w:t>
            </w:r>
          </w:p>
        </w:tc>
        <w:tc>
          <w:tcPr>
            <w:tcW w:w="6858" w:type="dxa"/>
          </w:tcPr>
          <w:p w:rsidR="0085540B" w:rsidRPr="0085540B" w:rsidRDefault="0085540B">
            <w:pPr>
              <w:spacing w:before="100"/>
            </w:pPr>
            <w:r w:rsidRPr="0085540B">
              <w:t>BP</w:t>
            </w:r>
          </w:p>
        </w:tc>
      </w:tr>
      <w:tr w:rsidR="0085540B" w:rsidTr="006D4ADA">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t>Richard Ishikawa</w:t>
            </w:r>
          </w:p>
        </w:tc>
        <w:tc>
          <w:tcPr>
            <w:tcW w:w="6858" w:type="dxa"/>
          </w:tcPr>
          <w:p w:rsidR="0085540B" w:rsidRPr="0085540B" w:rsidRDefault="0085540B">
            <w:pPr>
              <w:spacing w:before="100"/>
            </w:pPr>
            <w:r w:rsidRPr="0085540B">
              <w:t>Southern California Gas Company</w:t>
            </w:r>
          </w:p>
        </w:tc>
      </w:tr>
      <w:tr w:rsidR="0085540B" w:rsidTr="00C83967">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t>Kelli Joseph</w:t>
            </w:r>
          </w:p>
        </w:tc>
        <w:tc>
          <w:tcPr>
            <w:tcW w:w="6858" w:type="dxa"/>
          </w:tcPr>
          <w:p w:rsidR="0085540B" w:rsidRPr="0085540B" w:rsidRDefault="0085540B">
            <w:pPr>
              <w:spacing w:before="100"/>
            </w:pPr>
            <w:r w:rsidRPr="0085540B">
              <w:t>New York ISO</w:t>
            </w:r>
          </w:p>
        </w:tc>
      </w:tr>
      <w:tr w:rsidR="0085540B" w:rsidTr="00F276D7">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t xml:space="preserve">Rae McQuade </w:t>
            </w:r>
          </w:p>
        </w:tc>
        <w:tc>
          <w:tcPr>
            <w:tcW w:w="6858" w:type="dxa"/>
          </w:tcPr>
          <w:p w:rsidR="0085540B" w:rsidRPr="0085540B" w:rsidRDefault="0085540B">
            <w:pPr>
              <w:spacing w:before="100"/>
            </w:pPr>
            <w:r w:rsidRPr="0085540B">
              <w:t>NAESB</w:t>
            </w:r>
          </w:p>
        </w:tc>
      </w:tr>
      <w:tr w:rsidR="0085540B" w:rsidTr="005A368A">
        <w:tc>
          <w:tcPr>
            <w:tcW w:w="3060" w:type="dxa"/>
          </w:tcPr>
          <w:p w:rsidR="0085540B" w:rsidRPr="0085540B" w:rsidRDefault="0085540B">
            <w:pPr>
              <w:pStyle w:val="Title"/>
              <w:jc w:val="left"/>
              <w:rPr>
                <w:rFonts w:ascii="Times New Roman" w:hAnsi="Times New Roman"/>
                <w:b w:val="0"/>
                <w:sz w:val="20"/>
              </w:rPr>
            </w:pPr>
            <w:r w:rsidRPr="0085540B">
              <w:rPr>
                <w:rFonts w:ascii="Times New Roman" w:hAnsi="Times New Roman"/>
                <w:b w:val="0"/>
                <w:sz w:val="20"/>
              </w:rPr>
              <w:t>Lori-Lynn Pennock</w:t>
            </w:r>
          </w:p>
        </w:tc>
        <w:tc>
          <w:tcPr>
            <w:tcW w:w="6858" w:type="dxa"/>
          </w:tcPr>
          <w:p w:rsidR="0085540B" w:rsidRPr="0085540B" w:rsidRDefault="0085540B">
            <w:pPr>
              <w:spacing w:before="100"/>
            </w:pPr>
            <w:r w:rsidRPr="0085540B">
              <w:t>Salt River Project</w:t>
            </w:r>
          </w:p>
        </w:tc>
      </w:tr>
    </w:tbl>
    <w:p w:rsidR="004667C2" w:rsidRDefault="004667C2">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8A10B1">
      <w:headerReference w:type="default" r:id="rId17"/>
      <w:footerReference w:type="default" r:id="rId18"/>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2C7" w:rsidRDefault="009E02C7">
      <w:r>
        <w:separator/>
      </w:r>
    </w:p>
  </w:endnote>
  <w:endnote w:type="continuationSeparator" w:id="0">
    <w:p w:rsidR="009E02C7" w:rsidRDefault="009E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C2" w:rsidRDefault="004667C2">
    <w:pPr>
      <w:pStyle w:val="Footer"/>
      <w:pBdr>
        <w:top w:val="single" w:sz="18" w:space="1" w:color="auto"/>
      </w:pBdr>
      <w:jc w:val="right"/>
    </w:pPr>
    <w:r>
      <w:t>NAESB Board Gas-Electric Harmonization Committee –</w:t>
    </w:r>
    <w:r w:rsidR="00F56CEF">
      <w:t xml:space="preserve"> July</w:t>
    </w:r>
    <w:r>
      <w:t xml:space="preserve"> </w:t>
    </w:r>
    <w:r w:rsidR="00071830">
      <w:t>1</w:t>
    </w:r>
    <w:r w:rsidR="00F56CEF">
      <w:t>8</w:t>
    </w:r>
    <w:r>
      <w:t>, 2012</w:t>
    </w:r>
  </w:p>
  <w:p w:rsidR="004667C2" w:rsidRDefault="004667C2">
    <w:pPr>
      <w:pStyle w:val="Footer"/>
      <w:pBdr>
        <w:top w:val="single" w:sz="18" w:space="1" w:color="auto"/>
      </w:pBdr>
      <w:jc w:val="right"/>
    </w:pPr>
    <w:r>
      <w:t xml:space="preserve">Page </w:t>
    </w:r>
    <w:r w:rsidR="009B796D">
      <w:fldChar w:fldCharType="begin"/>
    </w:r>
    <w:r w:rsidR="009B796D">
      <w:instrText xml:space="preserve"> PAGE </w:instrText>
    </w:r>
    <w:r w:rsidR="009B796D">
      <w:fldChar w:fldCharType="separate"/>
    </w:r>
    <w:r w:rsidR="00507E4E">
      <w:rPr>
        <w:noProof/>
      </w:rPr>
      <w:t>1</w:t>
    </w:r>
    <w:r w:rsidR="009B796D">
      <w:rPr>
        <w:noProof/>
      </w:rPr>
      <w:fldChar w:fldCharType="end"/>
    </w:r>
    <w:r>
      <w:t xml:space="preserve"> of </w:t>
    </w:r>
    <w:fldSimple w:instr=" NUMPAGES ">
      <w:r w:rsidR="00507E4E">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2C7" w:rsidRDefault="009E02C7">
      <w:r>
        <w:separator/>
      </w:r>
    </w:p>
  </w:footnote>
  <w:footnote w:type="continuationSeparator" w:id="0">
    <w:p w:rsidR="009E02C7" w:rsidRDefault="009E0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C2" w:rsidRDefault="005E5473">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C2" w:rsidRDefault="004667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4667C2" w:rsidRDefault="004667C2"/>
                </w:txbxContent>
              </v:textbox>
            </v:rect>
          </w:pict>
        </mc:Fallback>
      </mc:AlternateContent>
    </w:r>
  </w:p>
  <w:p w:rsidR="004667C2" w:rsidRDefault="004667C2">
    <w:pPr>
      <w:pStyle w:val="Header"/>
      <w:tabs>
        <w:tab w:val="left" w:pos="1080"/>
      </w:tabs>
      <w:ind w:left="2160"/>
      <w:rPr>
        <w:rFonts w:ascii="Bookman Old Style" w:hAnsi="Bookman Old Style"/>
        <w:b/>
        <w:sz w:val="28"/>
      </w:rPr>
    </w:pPr>
  </w:p>
  <w:p w:rsidR="004667C2" w:rsidRDefault="004667C2">
    <w:pPr>
      <w:pStyle w:val="Header"/>
      <w:tabs>
        <w:tab w:val="left" w:pos="1080"/>
      </w:tabs>
      <w:ind w:left="1800"/>
      <w:jc w:val="right"/>
      <w:rPr>
        <w:b/>
        <w:spacing w:val="20"/>
        <w:sz w:val="32"/>
      </w:rPr>
    </w:pPr>
    <w:r>
      <w:rPr>
        <w:b/>
        <w:spacing w:val="20"/>
        <w:sz w:val="32"/>
      </w:rPr>
      <w:t>North American Energy Standards Board</w:t>
    </w:r>
  </w:p>
  <w:p w:rsidR="004667C2" w:rsidRDefault="004667C2">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4667C2" w:rsidRDefault="004667C2">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4667C2" w:rsidRDefault="004667C2">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4667C2" w:rsidRDefault="004667C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9">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0">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num>
  <w:num w:numId="4">
    <w:abstractNumId w:val="30"/>
  </w:num>
  <w:num w:numId="5">
    <w:abstractNumId w:val="3"/>
  </w:num>
  <w:num w:numId="6">
    <w:abstractNumId w:val="18"/>
  </w:num>
  <w:num w:numId="7">
    <w:abstractNumId w:val="5"/>
  </w:num>
  <w:num w:numId="8">
    <w:abstractNumId w:val="26"/>
  </w:num>
  <w:num w:numId="9">
    <w:abstractNumId w:val="28"/>
  </w:num>
  <w:num w:numId="10">
    <w:abstractNumId w:val="39"/>
  </w:num>
  <w:num w:numId="11">
    <w:abstractNumId w:val="4"/>
  </w:num>
  <w:num w:numId="12">
    <w:abstractNumId w:val="17"/>
  </w:num>
  <w:num w:numId="13">
    <w:abstractNumId w:val="38"/>
  </w:num>
  <w:num w:numId="14">
    <w:abstractNumId w:val="16"/>
  </w:num>
  <w:num w:numId="15">
    <w:abstractNumId w:val="12"/>
  </w:num>
  <w:num w:numId="16">
    <w:abstractNumId w:val="25"/>
  </w:num>
  <w:num w:numId="17">
    <w:abstractNumId w:val="19"/>
  </w:num>
  <w:num w:numId="18">
    <w:abstractNumId w:val="0"/>
  </w:num>
  <w:num w:numId="19">
    <w:abstractNumId w:val="29"/>
  </w:num>
  <w:num w:numId="20">
    <w:abstractNumId w:val="8"/>
  </w:num>
  <w:num w:numId="21">
    <w:abstractNumId w:val="35"/>
  </w:num>
  <w:num w:numId="22">
    <w:abstractNumId w:val="10"/>
  </w:num>
  <w:num w:numId="23">
    <w:abstractNumId w:val="11"/>
  </w:num>
  <w:num w:numId="24">
    <w:abstractNumId w:val="15"/>
  </w:num>
  <w:num w:numId="25">
    <w:abstractNumId w:val="24"/>
  </w:num>
  <w:num w:numId="26">
    <w:abstractNumId w:val="33"/>
  </w:num>
  <w:num w:numId="27">
    <w:abstractNumId w:val="32"/>
  </w:num>
  <w:num w:numId="28">
    <w:abstractNumId w:val="2"/>
  </w:num>
  <w:num w:numId="29">
    <w:abstractNumId w:val="27"/>
  </w:num>
  <w:num w:numId="30">
    <w:abstractNumId w:val="37"/>
  </w:num>
  <w:num w:numId="31">
    <w:abstractNumId w:val="9"/>
  </w:num>
  <w:num w:numId="32">
    <w:abstractNumId w:val="23"/>
  </w:num>
  <w:num w:numId="33">
    <w:abstractNumId w:val="34"/>
  </w:num>
  <w:num w:numId="34">
    <w:abstractNumId w:val="40"/>
  </w:num>
  <w:num w:numId="35">
    <w:abstractNumId w:val="6"/>
  </w:num>
  <w:num w:numId="36">
    <w:abstractNumId w:val="7"/>
  </w:num>
  <w:num w:numId="37">
    <w:abstractNumId w:val="13"/>
  </w:num>
  <w:num w:numId="38">
    <w:abstractNumId w:val="22"/>
  </w:num>
  <w:num w:numId="39">
    <w:abstractNumId w:val="31"/>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5739"/>
    <w:rsid w:val="00011FA5"/>
    <w:rsid w:val="0002033B"/>
    <w:rsid w:val="00032477"/>
    <w:rsid w:val="00047687"/>
    <w:rsid w:val="00053050"/>
    <w:rsid w:val="00071830"/>
    <w:rsid w:val="00071A66"/>
    <w:rsid w:val="0008184D"/>
    <w:rsid w:val="00095C67"/>
    <w:rsid w:val="000B22ED"/>
    <w:rsid w:val="000B68BD"/>
    <w:rsid w:val="000D08BD"/>
    <w:rsid w:val="000D1F0F"/>
    <w:rsid w:val="000E3A30"/>
    <w:rsid w:val="000F4DE5"/>
    <w:rsid w:val="00115B4D"/>
    <w:rsid w:val="00131C5F"/>
    <w:rsid w:val="00137EA8"/>
    <w:rsid w:val="00176CE9"/>
    <w:rsid w:val="00180238"/>
    <w:rsid w:val="00194A0D"/>
    <w:rsid w:val="001A33E6"/>
    <w:rsid w:val="001B4F19"/>
    <w:rsid w:val="001D4819"/>
    <w:rsid w:val="00207796"/>
    <w:rsid w:val="00217A94"/>
    <w:rsid w:val="0027443D"/>
    <w:rsid w:val="002915F2"/>
    <w:rsid w:val="002D243E"/>
    <w:rsid w:val="003353C3"/>
    <w:rsid w:val="00341B8B"/>
    <w:rsid w:val="00376F58"/>
    <w:rsid w:val="00385998"/>
    <w:rsid w:val="003A23C4"/>
    <w:rsid w:val="003A3A47"/>
    <w:rsid w:val="003B02B2"/>
    <w:rsid w:val="003C56F4"/>
    <w:rsid w:val="004027B0"/>
    <w:rsid w:val="004078DC"/>
    <w:rsid w:val="004667C2"/>
    <w:rsid w:val="00475704"/>
    <w:rsid w:val="004840C0"/>
    <w:rsid w:val="004B29F2"/>
    <w:rsid w:val="004E1926"/>
    <w:rsid w:val="004E2159"/>
    <w:rsid w:val="00507E4E"/>
    <w:rsid w:val="00510337"/>
    <w:rsid w:val="00530E02"/>
    <w:rsid w:val="005404DE"/>
    <w:rsid w:val="00542123"/>
    <w:rsid w:val="00554E35"/>
    <w:rsid w:val="00561474"/>
    <w:rsid w:val="0056406C"/>
    <w:rsid w:val="005717F0"/>
    <w:rsid w:val="005A5A5C"/>
    <w:rsid w:val="005B2E39"/>
    <w:rsid w:val="005B707C"/>
    <w:rsid w:val="005C6470"/>
    <w:rsid w:val="005D0B6F"/>
    <w:rsid w:val="005D175A"/>
    <w:rsid w:val="005E5473"/>
    <w:rsid w:val="005F7413"/>
    <w:rsid w:val="00612E72"/>
    <w:rsid w:val="00664B3A"/>
    <w:rsid w:val="006A00A1"/>
    <w:rsid w:val="006A574F"/>
    <w:rsid w:val="006B2D07"/>
    <w:rsid w:val="006C6FCE"/>
    <w:rsid w:val="006F70E4"/>
    <w:rsid w:val="00707EA8"/>
    <w:rsid w:val="00725ACD"/>
    <w:rsid w:val="007506D5"/>
    <w:rsid w:val="007532E6"/>
    <w:rsid w:val="0077652A"/>
    <w:rsid w:val="007B68AF"/>
    <w:rsid w:val="00834D5B"/>
    <w:rsid w:val="0085540B"/>
    <w:rsid w:val="00877BC9"/>
    <w:rsid w:val="00886BD7"/>
    <w:rsid w:val="008A10B1"/>
    <w:rsid w:val="008C2FA7"/>
    <w:rsid w:val="008D0943"/>
    <w:rsid w:val="008E1481"/>
    <w:rsid w:val="00906707"/>
    <w:rsid w:val="00927668"/>
    <w:rsid w:val="009369CD"/>
    <w:rsid w:val="009501E4"/>
    <w:rsid w:val="009633C3"/>
    <w:rsid w:val="009A7704"/>
    <w:rsid w:val="009B796D"/>
    <w:rsid w:val="009E02C7"/>
    <w:rsid w:val="009E7277"/>
    <w:rsid w:val="00A14C6A"/>
    <w:rsid w:val="00A23B7A"/>
    <w:rsid w:val="00A27816"/>
    <w:rsid w:val="00A579EE"/>
    <w:rsid w:val="00A95BEB"/>
    <w:rsid w:val="00A95D15"/>
    <w:rsid w:val="00AB7BAB"/>
    <w:rsid w:val="00AD029D"/>
    <w:rsid w:val="00AD7136"/>
    <w:rsid w:val="00B02F98"/>
    <w:rsid w:val="00B06276"/>
    <w:rsid w:val="00B52287"/>
    <w:rsid w:val="00B776EA"/>
    <w:rsid w:val="00BA03C3"/>
    <w:rsid w:val="00BA6AD0"/>
    <w:rsid w:val="00BA7BF2"/>
    <w:rsid w:val="00BE25C4"/>
    <w:rsid w:val="00C033AB"/>
    <w:rsid w:val="00C05362"/>
    <w:rsid w:val="00C167EA"/>
    <w:rsid w:val="00C3599D"/>
    <w:rsid w:val="00C40AC3"/>
    <w:rsid w:val="00C52AB6"/>
    <w:rsid w:val="00CA355A"/>
    <w:rsid w:val="00CA69FD"/>
    <w:rsid w:val="00CD2B48"/>
    <w:rsid w:val="00CF0F49"/>
    <w:rsid w:val="00D025A2"/>
    <w:rsid w:val="00D75345"/>
    <w:rsid w:val="00D90EC5"/>
    <w:rsid w:val="00DB3C42"/>
    <w:rsid w:val="00DB6569"/>
    <w:rsid w:val="00DC2A77"/>
    <w:rsid w:val="00E1364F"/>
    <w:rsid w:val="00E4678A"/>
    <w:rsid w:val="00E74D67"/>
    <w:rsid w:val="00E82CAE"/>
    <w:rsid w:val="00E928C2"/>
    <w:rsid w:val="00EE0ECD"/>
    <w:rsid w:val="00EF5447"/>
    <w:rsid w:val="00F42F7B"/>
    <w:rsid w:val="00F5208B"/>
    <w:rsid w:val="00F56CEF"/>
    <w:rsid w:val="00F86595"/>
    <w:rsid w:val="00F939D7"/>
    <w:rsid w:val="00FB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geh071812a.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esb.org/pdf4/geh071812a1.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pdf4/geh071812w3.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71812w3.docx" TargetMode="External"/><Relationship Id="rId5" Type="http://schemas.openxmlformats.org/officeDocument/2006/relationships/settings" Target="settings.xml"/><Relationship Id="rId15" Type="http://schemas.openxmlformats.org/officeDocument/2006/relationships/hyperlink" Target="http://www.naesb.org/pdf4/geh071812w2.doc" TargetMode="External"/><Relationship Id="rId10" Type="http://schemas.openxmlformats.org/officeDocument/2006/relationships/hyperlink" Target="http://www.naesb.org/pdf4/geh071812w2.do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esb.org/pdf4/geh071812w1.docx" TargetMode="External"/><Relationship Id="rId14" Type="http://schemas.openxmlformats.org/officeDocument/2006/relationships/hyperlink" Target="http://www.naesb.org/pdf4/geh071812w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EB910-6E0A-4CEC-A7F4-253926D6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2012-03-12T19:05:00Z</cp:lastPrinted>
  <dcterms:created xsi:type="dcterms:W3CDTF">2012-07-27T22:09:00Z</dcterms:created>
  <dcterms:modified xsi:type="dcterms:W3CDTF">2012-07-27T22:09:00Z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