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9B" w:rsidRPr="00C4574F" w:rsidRDefault="006614AF">
      <w:pPr>
        <w:ind w:left="1440" w:hanging="1440"/>
        <w:jc w:val="right"/>
        <w:rPr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C4574F">
        <w:rPr>
          <w:bCs/>
        </w:rPr>
        <w:t>Via email and posting</w:t>
      </w:r>
    </w:p>
    <w:p w:rsidR="00F5439B" w:rsidRPr="00C4574F" w:rsidRDefault="0089265D">
      <w:pPr>
        <w:ind w:left="1440" w:hanging="1440"/>
        <w:jc w:val="right"/>
        <w:rPr>
          <w:bCs/>
        </w:rPr>
      </w:pPr>
      <w:r w:rsidRPr="00C4574F">
        <w:rPr>
          <w:bCs/>
        </w:rPr>
        <w:t>June</w:t>
      </w:r>
      <w:r w:rsidR="001D4991" w:rsidRPr="00C4574F">
        <w:rPr>
          <w:bCs/>
        </w:rPr>
        <w:t xml:space="preserve"> 1</w:t>
      </w:r>
      <w:r w:rsidRPr="00C4574F">
        <w:rPr>
          <w:bCs/>
        </w:rPr>
        <w:t>3</w:t>
      </w:r>
      <w:r w:rsidR="006614AF" w:rsidRPr="00C4574F">
        <w:rPr>
          <w:bCs/>
        </w:rPr>
        <w:t>, 2012</w:t>
      </w:r>
    </w:p>
    <w:p w:rsidR="00F5439B" w:rsidRPr="00C4574F" w:rsidRDefault="006614AF">
      <w:pPr>
        <w:spacing w:before="120"/>
        <w:ind w:left="1440" w:hanging="1440"/>
        <w:rPr>
          <w:bCs/>
        </w:rPr>
      </w:pPr>
      <w:r w:rsidRPr="00C4574F">
        <w:rPr>
          <w:b/>
        </w:rPr>
        <w:t xml:space="preserve">TO: </w:t>
      </w:r>
      <w:r w:rsidRPr="00C4574F">
        <w:rPr>
          <w:b/>
        </w:rPr>
        <w:tab/>
      </w:r>
      <w:r w:rsidRPr="00C4574F">
        <w:rPr>
          <w:bCs/>
        </w:rPr>
        <w:t xml:space="preserve">NAESB Board </w:t>
      </w:r>
      <w:r w:rsidR="00410002" w:rsidRPr="00C4574F">
        <w:rPr>
          <w:bCs/>
        </w:rPr>
        <w:t>of Directors</w:t>
      </w:r>
    </w:p>
    <w:p w:rsidR="00F5439B" w:rsidRPr="00C4574F" w:rsidRDefault="006614AF">
      <w:pPr>
        <w:spacing w:before="120"/>
        <w:rPr>
          <w:bCs/>
        </w:rPr>
      </w:pPr>
      <w:r w:rsidRPr="00C4574F">
        <w:rPr>
          <w:b/>
        </w:rPr>
        <w:t xml:space="preserve">FROM: </w:t>
      </w:r>
      <w:r w:rsidRPr="00C4574F">
        <w:rPr>
          <w:b/>
        </w:rPr>
        <w:tab/>
      </w:r>
      <w:r w:rsidR="00410002" w:rsidRPr="00C4574F">
        <w:rPr>
          <w:bCs/>
        </w:rPr>
        <w:t>NAESB Board Committee – Gas Electric Harmonization</w:t>
      </w:r>
    </w:p>
    <w:p w:rsidR="00F5439B" w:rsidRPr="00C4574F" w:rsidRDefault="006614AF">
      <w:pPr>
        <w:pBdr>
          <w:bottom w:val="single" w:sz="12" w:space="1" w:color="auto"/>
        </w:pBdr>
        <w:spacing w:before="120"/>
        <w:ind w:left="1440" w:hanging="1440"/>
        <w:rPr>
          <w:bCs/>
        </w:rPr>
      </w:pPr>
      <w:r w:rsidRPr="00C4574F">
        <w:rPr>
          <w:b/>
        </w:rPr>
        <w:t xml:space="preserve">RE: </w:t>
      </w:r>
      <w:r w:rsidRPr="00C4574F">
        <w:rPr>
          <w:b/>
        </w:rPr>
        <w:tab/>
      </w:r>
      <w:r w:rsidR="00410002" w:rsidRPr="00C4574F">
        <w:t>GEH Status Report</w:t>
      </w:r>
    </w:p>
    <w:p w:rsidR="00F5439B" w:rsidRPr="00C4574F" w:rsidRDefault="006614AF" w:rsidP="00C4574F">
      <w:pPr>
        <w:tabs>
          <w:tab w:val="left" w:pos="0"/>
        </w:tabs>
        <w:spacing w:before="120"/>
        <w:jc w:val="both"/>
        <w:rPr>
          <w:bCs/>
        </w:rPr>
      </w:pPr>
      <w:r w:rsidRPr="00C4574F">
        <w:rPr>
          <w:bCs/>
        </w:rPr>
        <w:t xml:space="preserve">Dear </w:t>
      </w:r>
      <w:r w:rsidR="0089265D" w:rsidRPr="00C4574F">
        <w:rPr>
          <w:bCs/>
        </w:rPr>
        <w:t>Board</w:t>
      </w:r>
      <w:r w:rsidRPr="00C4574F">
        <w:rPr>
          <w:bCs/>
        </w:rPr>
        <w:t xml:space="preserve"> Members,</w:t>
      </w:r>
    </w:p>
    <w:p w:rsidR="003800E9" w:rsidRPr="00C4574F" w:rsidRDefault="0089265D" w:rsidP="00C4574F">
      <w:pPr>
        <w:spacing w:before="120"/>
      </w:pPr>
      <w:r w:rsidRPr="00C4574F">
        <w:t xml:space="preserve">The following outline </w:t>
      </w:r>
      <w:r w:rsidR="003800E9" w:rsidRPr="00C4574F">
        <w:t xml:space="preserve">summarizes what lead NAESB to initiate the GEH Board Committee and </w:t>
      </w:r>
      <w:r w:rsidR="00300802" w:rsidRPr="00C4574F">
        <w:t>progress</w:t>
      </w:r>
      <w:r w:rsidR="003800E9" w:rsidRPr="00C4574F">
        <w:t xml:space="preserve"> since the committee’s kick-off in January.</w:t>
      </w:r>
    </w:p>
    <w:p w:rsidR="003800E9" w:rsidRPr="00C4574F" w:rsidRDefault="003800E9" w:rsidP="00C4574F">
      <w:pPr>
        <w:pStyle w:val="ListParagraph"/>
        <w:numPr>
          <w:ilvl w:val="0"/>
          <w:numId w:val="41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September 2011 – National Petroleum Council issues “Prudent Development – Realizing the Potential of North America’s Abundant Natural Gas and Oil Resources” report.  (See links under documents 10 &amp;11 on page 5.)</w:t>
      </w:r>
    </w:p>
    <w:p w:rsidR="003800E9" w:rsidRPr="00C4574F" w:rsidRDefault="003800E9" w:rsidP="00C4574F">
      <w:pPr>
        <w:pStyle w:val="ListParagraph"/>
        <w:numPr>
          <w:ilvl w:val="0"/>
          <w:numId w:val="41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January 2012 – NAESB named Board Committee kicks off</w:t>
      </w:r>
    </w:p>
    <w:p w:rsidR="00112C66" w:rsidRPr="00C4574F" w:rsidRDefault="00112C66" w:rsidP="00C4574F">
      <w:pPr>
        <w:pStyle w:val="ListParagraph"/>
        <w:numPr>
          <w:ilvl w:val="0"/>
          <w:numId w:val="41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Reference documents gathered and summarized</w:t>
      </w:r>
    </w:p>
    <w:p w:rsidR="00112C66" w:rsidRPr="00C4574F" w:rsidRDefault="00112C66" w:rsidP="00C4574F">
      <w:pPr>
        <w:pStyle w:val="ListParagraph"/>
        <w:numPr>
          <w:ilvl w:val="0"/>
          <w:numId w:val="41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Observations were made by GEH committee members from reference materials</w:t>
      </w:r>
    </w:p>
    <w:p w:rsidR="00112C66" w:rsidRPr="00C4574F" w:rsidRDefault="00112C66" w:rsidP="00C4574F">
      <w:pPr>
        <w:pStyle w:val="ListParagraph"/>
        <w:numPr>
          <w:ilvl w:val="1"/>
          <w:numId w:val="41"/>
        </w:numPr>
        <w:spacing w:before="40"/>
        <w:ind w:left="72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 xml:space="preserve">Observations were scrubbed to organize around similar </w:t>
      </w:r>
      <w:r w:rsidR="00492C87" w:rsidRPr="00C4574F">
        <w:rPr>
          <w:rFonts w:ascii="Times New Roman" w:hAnsi="Times New Roman" w:cs="Times New Roman"/>
          <w:sz w:val="20"/>
          <w:szCs w:val="20"/>
        </w:rPr>
        <w:t>I</w:t>
      </w:r>
      <w:r w:rsidRPr="00C4574F">
        <w:rPr>
          <w:rFonts w:ascii="Times New Roman" w:hAnsi="Times New Roman" w:cs="Times New Roman"/>
          <w:sz w:val="20"/>
          <w:szCs w:val="20"/>
        </w:rPr>
        <w:t>ssues of;</w:t>
      </w:r>
    </w:p>
    <w:p w:rsidR="00112C66" w:rsidRPr="00C4574F" w:rsidRDefault="00112C66" w:rsidP="00C4574F">
      <w:pPr>
        <w:pStyle w:val="ListParagraph"/>
        <w:numPr>
          <w:ilvl w:val="0"/>
          <w:numId w:val="39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Scheduling</w:t>
      </w:r>
    </w:p>
    <w:p w:rsidR="00112C66" w:rsidRPr="00C4574F" w:rsidRDefault="00112C66" w:rsidP="00C4574F">
      <w:pPr>
        <w:pStyle w:val="ListParagraph"/>
        <w:numPr>
          <w:ilvl w:val="0"/>
          <w:numId w:val="39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Capacity</w:t>
      </w:r>
    </w:p>
    <w:p w:rsidR="00112C66" w:rsidRPr="00C4574F" w:rsidRDefault="00112C66" w:rsidP="00C4574F">
      <w:pPr>
        <w:pStyle w:val="ListParagraph"/>
        <w:numPr>
          <w:ilvl w:val="0"/>
          <w:numId w:val="39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Curtailment</w:t>
      </w:r>
    </w:p>
    <w:p w:rsidR="00112C66" w:rsidRPr="00C4574F" w:rsidRDefault="00112C66" w:rsidP="00C4574F">
      <w:pPr>
        <w:pStyle w:val="ListParagraph"/>
        <w:numPr>
          <w:ilvl w:val="0"/>
          <w:numId w:val="39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Communications</w:t>
      </w:r>
    </w:p>
    <w:p w:rsidR="00112C66" w:rsidRPr="00C4574F" w:rsidRDefault="00112C66" w:rsidP="00C4574F">
      <w:pPr>
        <w:pStyle w:val="ListParagraph"/>
        <w:numPr>
          <w:ilvl w:val="0"/>
          <w:numId w:val="42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Issues were surveyed among GEH members to poll which category the issue fell into;</w:t>
      </w:r>
    </w:p>
    <w:p w:rsidR="00112C66" w:rsidRPr="00C4574F" w:rsidRDefault="00112C66" w:rsidP="00C4574F">
      <w:pPr>
        <w:pStyle w:val="ListParagraph"/>
        <w:numPr>
          <w:ilvl w:val="0"/>
          <w:numId w:val="40"/>
        </w:numPr>
        <w:spacing w:before="40"/>
        <w:ind w:left="108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Standards</w:t>
      </w:r>
    </w:p>
    <w:p w:rsidR="00112C66" w:rsidRPr="00C4574F" w:rsidRDefault="00112C66" w:rsidP="00C4574F">
      <w:pPr>
        <w:pStyle w:val="ListParagraph"/>
        <w:numPr>
          <w:ilvl w:val="0"/>
          <w:numId w:val="40"/>
        </w:numPr>
        <w:spacing w:before="40"/>
        <w:ind w:left="108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Commercial</w:t>
      </w:r>
    </w:p>
    <w:p w:rsidR="00112C66" w:rsidRPr="00C4574F" w:rsidRDefault="00112C66" w:rsidP="00C4574F">
      <w:pPr>
        <w:pStyle w:val="ListParagraph"/>
        <w:numPr>
          <w:ilvl w:val="0"/>
          <w:numId w:val="40"/>
        </w:numPr>
        <w:spacing w:before="40"/>
        <w:ind w:left="108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Policy</w:t>
      </w:r>
    </w:p>
    <w:p w:rsidR="00492C87" w:rsidRPr="00C4574F" w:rsidRDefault="00112C66" w:rsidP="00C4574F">
      <w:pPr>
        <w:pStyle w:val="ListParagraph"/>
        <w:numPr>
          <w:ilvl w:val="0"/>
          <w:numId w:val="40"/>
        </w:numPr>
        <w:spacing w:before="40"/>
        <w:ind w:left="108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Comments</w:t>
      </w:r>
    </w:p>
    <w:p w:rsidR="00112C66" w:rsidRPr="00C4574F" w:rsidRDefault="00492C87" w:rsidP="00C4574F">
      <w:pPr>
        <w:pStyle w:val="ListParagraph"/>
        <w:numPr>
          <w:ilvl w:val="1"/>
          <w:numId w:val="44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All but one member responded to the survey.</w:t>
      </w:r>
    </w:p>
    <w:p w:rsidR="00112C66" w:rsidRPr="00C4574F" w:rsidRDefault="00492C87" w:rsidP="00C4574F">
      <w:pPr>
        <w:pStyle w:val="ListParagraph"/>
        <w:numPr>
          <w:ilvl w:val="1"/>
          <w:numId w:val="44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Survey responses were organized into Primary and Secondary responses by category.</w:t>
      </w:r>
    </w:p>
    <w:p w:rsidR="006F2BAA" w:rsidRPr="00C4574F" w:rsidRDefault="0089265D" w:rsidP="00C4574F">
      <w:pPr>
        <w:pStyle w:val="ListParagraph"/>
        <w:numPr>
          <w:ilvl w:val="0"/>
          <w:numId w:val="42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D</w:t>
      </w:r>
      <w:r w:rsidR="008A007D" w:rsidRPr="00C4574F">
        <w:rPr>
          <w:rFonts w:ascii="Times New Roman" w:hAnsi="Times New Roman" w:cs="Times New Roman"/>
          <w:sz w:val="20"/>
          <w:szCs w:val="20"/>
        </w:rPr>
        <w:t>raft committee recommendations addressing areas with observations categorized for policy, commercial and standards, and comments</w:t>
      </w:r>
      <w:r w:rsidR="006F2BAA" w:rsidRPr="00C4574F">
        <w:rPr>
          <w:rFonts w:ascii="Times New Roman" w:hAnsi="Times New Roman" w:cs="Times New Roman"/>
          <w:sz w:val="20"/>
          <w:szCs w:val="20"/>
        </w:rPr>
        <w:t>:</w:t>
      </w:r>
      <w:r w:rsidR="00BC5C42" w:rsidRPr="00C457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2BAA" w:rsidRPr="00C4574F" w:rsidRDefault="00C4574F" w:rsidP="00C4574F">
      <w:pPr>
        <w:pStyle w:val="ListParagraph"/>
        <w:numPr>
          <w:ilvl w:val="0"/>
          <w:numId w:val="38"/>
        </w:numPr>
        <w:spacing w:before="40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C4574F">
          <w:rPr>
            <w:rStyle w:val="Hyperlink"/>
            <w:rFonts w:ascii="Times New Roman" w:hAnsi="Times New Roman"/>
            <w:sz w:val="20"/>
            <w:szCs w:val="20"/>
          </w:rPr>
          <w:t>http://www.naesb.org/pdf4/geh060812a3.docx</w:t>
        </w:r>
      </w:hyperlink>
      <w:r w:rsidRPr="00C4574F">
        <w:rPr>
          <w:rFonts w:ascii="Times New Roman" w:hAnsi="Times New Roman" w:cs="Times New Roman"/>
          <w:sz w:val="20"/>
          <w:szCs w:val="20"/>
        </w:rPr>
        <w:t xml:space="preserve"> </w:t>
      </w:r>
      <w:r w:rsidR="006F2BAA" w:rsidRPr="00C4574F">
        <w:rPr>
          <w:rFonts w:ascii="Times New Roman" w:hAnsi="Times New Roman" w:cs="Times New Roman"/>
          <w:sz w:val="20"/>
          <w:szCs w:val="20"/>
        </w:rPr>
        <w:t xml:space="preserve">(Commercial Observations), </w:t>
      </w:r>
    </w:p>
    <w:p w:rsidR="006F2BAA" w:rsidRPr="00C4574F" w:rsidRDefault="00E41245" w:rsidP="00C4574F">
      <w:pPr>
        <w:pStyle w:val="ListParagraph"/>
        <w:numPr>
          <w:ilvl w:val="0"/>
          <w:numId w:val="38"/>
        </w:numPr>
        <w:spacing w:before="40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6F2BAA" w:rsidRPr="00C4574F">
          <w:rPr>
            <w:rStyle w:val="Hyperlink"/>
            <w:rFonts w:ascii="Times New Roman" w:hAnsi="Times New Roman"/>
            <w:sz w:val="20"/>
            <w:szCs w:val="20"/>
          </w:rPr>
          <w:t>http://www.naesb.org/pdf4/geh042612_survey_comments.docx</w:t>
        </w:r>
      </w:hyperlink>
      <w:r w:rsidR="006F2BAA" w:rsidRPr="00C4574F">
        <w:rPr>
          <w:rFonts w:ascii="Times New Roman" w:hAnsi="Times New Roman" w:cs="Times New Roman"/>
          <w:sz w:val="20"/>
          <w:szCs w:val="20"/>
        </w:rPr>
        <w:t xml:space="preserve"> (Comments), </w:t>
      </w:r>
    </w:p>
    <w:p w:rsidR="006F2BAA" w:rsidRPr="00C4574F" w:rsidRDefault="00C4574F" w:rsidP="00C4574F">
      <w:pPr>
        <w:numPr>
          <w:ilvl w:val="0"/>
          <w:numId w:val="38"/>
        </w:numPr>
        <w:spacing w:before="40"/>
      </w:pPr>
      <w:hyperlink r:id="rId11" w:history="1">
        <w:r w:rsidRPr="00C4574F">
          <w:rPr>
            <w:rStyle w:val="Hyperlink"/>
          </w:rPr>
          <w:t>http://www.naesb.org/pdf4/geh060812a2.docx</w:t>
        </w:r>
      </w:hyperlink>
      <w:r w:rsidRPr="00C4574F">
        <w:t xml:space="preserve"> </w:t>
      </w:r>
      <w:r w:rsidR="006F2BAA" w:rsidRPr="00C4574F">
        <w:t xml:space="preserve"> (Policy Observations), </w:t>
      </w:r>
      <w:r>
        <w:t>and</w:t>
      </w:r>
    </w:p>
    <w:p w:rsidR="008A007D" w:rsidRPr="00C4574F" w:rsidRDefault="00C4574F" w:rsidP="00C4574F">
      <w:pPr>
        <w:numPr>
          <w:ilvl w:val="0"/>
          <w:numId w:val="38"/>
        </w:numPr>
        <w:spacing w:before="40"/>
      </w:pPr>
      <w:hyperlink r:id="rId12" w:history="1">
        <w:r w:rsidRPr="00C4574F">
          <w:rPr>
            <w:rStyle w:val="Hyperlink"/>
          </w:rPr>
          <w:t>http://www.naesb.org/pdf4/geh060812a1.docx</w:t>
        </w:r>
      </w:hyperlink>
      <w:r w:rsidRPr="00C4574F">
        <w:t xml:space="preserve"> </w:t>
      </w:r>
      <w:r w:rsidR="006F2BAA" w:rsidRPr="00C4574F">
        <w:t xml:space="preserve"> (Standards Observations)</w:t>
      </w:r>
    </w:p>
    <w:p w:rsidR="008A007D" w:rsidRPr="00C4574F" w:rsidRDefault="00BC5C42" w:rsidP="00C4574F">
      <w:pPr>
        <w:pStyle w:val="ListParagraph"/>
        <w:numPr>
          <w:ilvl w:val="0"/>
          <w:numId w:val="43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 xml:space="preserve">Status Report </w:t>
      </w:r>
      <w:r w:rsidR="008A007D" w:rsidRPr="00C4574F">
        <w:rPr>
          <w:rFonts w:ascii="Times New Roman" w:hAnsi="Times New Roman" w:cs="Times New Roman"/>
          <w:sz w:val="20"/>
          <w:szCs w:val="20"/>
        </w:rPr>
        <w:t>for the June 21 Board meeting</w:t>
      </w:r>
      <w:r w:rsidRPr="00C457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5C42" w:rsidRPr="00C4574F" w:rsidRDefault="00BC5C42" w:rsidP="00C4574F">
      <w:pPr>
        <w:pStyle w:val="ListParagraph"/>
        <w:numPr>
          <w:ilvl w:val="0"/>
          <w:numId w:val="43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Upcoming / remaining meeting scheduled</w:t>
      </w:r>
    </w:p>
    <w:p w:rsidR="00BC5C42" w:rsidRPr="00C4574F" w:rsidRDefault="00BC5C42" w:rsidP="00C4574F">
      <w:pPr>
        <w:pStyle w:val="ListParagraph"/>
        <w:numPr>
          <w:ilvl w:val="0"/>
          <w:numId w:val="43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September 2012 – Final Recommendation presented for full board approval.  All votes to be simple majority as no governance or standards development is untaken.</w:t>
      </w:r>
    </w:p>
    <w:p w:rsidR="00BC5C42" w:rsidRPr="00C4574F" w:rsidRDefault="00BC5C42" w:rsidP="00C4574F">
      <w:pPr>
        <w:pStyle w:val="ListParagraph"/>
        <w:numPr>
          <w:ilvl w:val="0"/>
          <w:numId w:val="43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Add any approved recommendations to the appropriate 2013 Annual Plan(s)</w:t>
      </w:r>
    </w:p>
    <w:p w:rsidR="00BC5C42" w:rsidRPr="00C4574F" w:rsidRDefault="00BC5C42" w:rsidP="00C4574F">
      <w:pPr>
        <w:pStyle w:val="ListParagraph"/>
        <w:numPr>
          <w:ilvl w:val="0"/>
          <w:numId w:val="43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 xml:space="preserve">Submit work product(s) </w:t>
      </w:r>
      <w:r w:rsidR="00C4574F">
        <w:rPr>
          <w:rFonts w:ascii="Times New Roman" w:hAnsi="Times New Roman" w:cs="Times New Roman"/>
          <w:sz w:val="20"/>
          <w:szCs w:val="20"/>
        </w:rPr>
        <w:t xml:space="preserve">as status/informational reports </w:t>
      </w:r>
      <w:r w:rsidRPr="00C4574F">
        <w:rPr>
          <w:rFonts w:ascii="Times New Roman" w:hAnsi="Times New Roman" w:cs="Times New Roman"/>
          <w:sz w:val="20"/>
          <w:szCs w:val="20"/>
        </w:rPr>
        <w:t>to the Federal Energy Regulatory Commission as normal for NAESB work</w:t>
      </w:r>
    </w:p>
    <w:bookmarkEnd w:id="0"/>
    <w:bookmarkEnd w:id="1"/>
    <w:bookmarkEnd w:id="2"/>
    <w:bookmarkEnd w:id="3"/>
    <w:bookmarkEnd w:id="4"/>
    <w:bookmarkEnd w:id="5"/>
    <w:p w:rsidR="00F5439B" w:rsidRPr="00C4574F" w:rsidRDefault="00F5439B" w:rsidP="00C4574F">
      <w:pPr>
        <w:spacing w:before="120"/>
        <w:rPr>
          <w:b/>
          <w:smallCaps/>
        </w:rPr>
      </w:pPr>
    </w:p>
    <w:p w:rsidR="00F5439B" w:rsidRDefault="0089265D">
      <w:pPr>
        <w:spacing w:before="120"/>
      </w:pPr>
      <w:r w:rsidRPr="0089265D">
        <w:rPr>
          <w:noProof/>
        </w:rPr>
        <w:lastRenderedPageBreak/>
        <w:drawing>
          <wp:inline distT="0" distB="0" distL="0" distR="0">
            <wp:extent cx="6227445" cy="3355756"/>
            <wp:effectExtent l="19050" t="0" r="2095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9265D" w:rsidRDefault="0089265D">
      <w:pPr>
        <w:spacing w:before="120"/>
      </w:pPr>
    </w:p>
    <w:p w:rsidR="00D32E35" w:rsidRDefault="00D32E35">
      <w:pPr>
        <w:spacing w:before="120"/>
      </w:pPr>
      <w:r>
        <w:t xml:space="preserve">Thirty five of the </w:t>
      </w:r>
      <w:bookmarkStart w:id="6" w:name="_GoBack"/>
      <w:bookmarkEnd w:id="6"/>
      <w:r>
        <w:t>thirty six committee members prepared and submitted surveys for inclusion in the overall results.</w:t>
      </w:r>
    </w:p>
    <w:p w:rsidR="00F5439B" w:rsidRDefault="00F5439B">
      <w:pPr>
        <w:rPr>
          <w:b/>
          <w:smallCaps/>
        </w:rPr>
      </w:pPr>
    </w:p>
    <w:p w:rsidR="00F5439B" w:rsidRDefault="00F5439B">
      <w:pPr>
        <w:rPr>
          <w:b/>
          <w:smallCaps/>
        </w:rPr>
        <w:sectPr w:rsidR="00F5439B">
          <w:headerReference w:type="default" r:id="rId14"/>
          <w:footerReference w:type="default" r:id="rId15"/>
          <w:headerReference w:type="first" r:id="rId16"/>
          <w:pgSz w:w="12240" w:h="15840" w:code="1"/>
          <w:pgMar w:top="720" w:right="1267" w:bottom="720" w:left="1166" w:header="720" w:footer="720" w:gutter="0"/>
          <w:cols w:space="720"/>
          <w:titlePg/>
        </w:sectPr>
      </w:pPr>
    </w:p>
    <w:tbl>
      <w:tblPr>
        <w:tblW w:w="10252" w:type="dxa"/>
        <w:tblLayout w:type="fixed"/>
        <w:tblLook w:val="01E0" w:firstRow="1" w:lastRow="1" w:firstColumn="1" w:lastColumn="1" w:noHBand="0" w:noVBand="0"/>
      </w:tblPr>
      <w:tblGrid>
        <w:gridCol w:w="378"/>
        <w:gridCol w:w="2970"/>
        <w:gridCol w:w="3060"/>
        <w:gridCol w:w="3844"/>
      </w:tblGrid>
      <w:tr w:rsidR="00F5439B">
        <w:trPr>
          <w:trHeight w:val="495"/>
          <w:tblHeader/>
        </w:trPr>
        <w:tc>
          <w:tcPr>
            <w:tcW w:w="10252" w:type="dxa"/>
            <w:gridSpan w:val="4"/>
            <w:tcBorders>
              <w:bottom w:val="single" w:sz="4" w:space="0" w:color="auto"/>
            </w:tcBorders>
          </w:tcPr>
          <w:p w:rsidR="00F5439B" w:rsidRDefault="006614AF">
            <w:pPr>
              <w:pStyle w:val="BodyText"/>
              <w:spacing w:before="120" w:after="120"/>
              <w:jc w:val="center"/>
            </w:pPr>
            <w:r>
              <w:rPr>
                <w:sz w:val="20"/>
              </w:rPr>
              <w:lastRenderedPageBreak/>
              <w:br w:type="page"/>
            </w:r>
            <w:r>
              <w:rPr>
                <w:b/>
                <w:smallCaps/>
                <w:sz w:val="20"/>
              </w:rPr>
              <w:t>Gas-Electric Harmonization Committee Timeline -- Schedule of Meetings and Deliverables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5439B">
        <w:trPr>
          <w:tblHeader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Date/Time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</w:t>
            </w:r>
          </w:p>
        </w:tc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Deliverables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27, 1:00 pm to 4:00 pm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 - Organizational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the Committee</w:t>
            </w:r>
          </w:p>
        </w:tc>
      </w:tr>
      <w:tr w:rsidR="00F5439B">
        <w:trPr>
          <w:trHeight w:val="243"/>
        </w:trPr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 15, 1:00 pm to 4:00 pm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1, 10:00 am to 1:00 pm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2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for coordination of transactions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1, 1:30 to 4:30 pm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1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for transparency of information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2, 1:30 to 4:30 pm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3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on commercial/operational issues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5, 1:30 to 2:30 pm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Leadership Team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 and determine direction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16, 9:00 am to 10:00 am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teams, revise and prepare for NAESB Board meetings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March  20, 1:00 pm to 4:00 pm 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teams, revise and prepare for NAESB Board meetings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22  – 9:00 am to 1:00 pm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</w:tcPr>
          <w:p w:rsidR="00F5439B" w:rsidRDefault="006614AF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</w:t>
            </w:r>
          </w:p>
        </w:tc>
      </w:tr>
      <w:tr w:rsidR="00F5439B">
        <w:tc>
          <w:tcPr>
            <w:tcW w:w="378" w:type="dxa"/>
          </w:tcPr>
          <w:p w:rsidR="00F5439B" w:rsidRDefault="006614AF">
            <w:pPr>
              <w:tabs>
                <w:tab w:val="center" w:pos="81"/>
              </w:tabs>
              <w:autoSpaceDE w:val="0"/>
              <w:autoSpaceDN w:val="0"/>
              <w:adjustRightInd w:val="0"/>
              <w:spacing w:before="120" w:after="40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X</w:t>
            </w: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4, 1:00 pm to 4:00 pm (Cancelled)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 24, 10:00 am to 4:00 pm E 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Meeting, Conference Call &amp; Web Cast, Baltimore, MD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recommendation, Discuss categories and prepare survey</w:t>
            </w:r>
          </w:p>
        </w:tc>
      </w:tr>
      <w:tr w:rsidR="00F5439B">
        <w:tc>
          <w:tcPr>
            <w:tcW w:w="378" w:type="dxa"/>
          </w:tcPr>
          <w:p w:rsidR="00F5439B" w:rsidRDefault="00F5439B" w:rsidP="008A007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May 16, 1:00 pm to 4:00 pm C 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 w:rsidP="008A007D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  <w:r w:rsidR="008A007D">
              <w:rPr>
                <w:sz w:val="18"/>
                <w:szCs w:val="18"/>
              </w:rPr>
              <w:t>s based on survey responses</w:t>
            </w:r>
          </w:p>
        </w:tc>
      </w:tr>
      <w:tr w:rsidR="00F5439B">
        <w:tc>
          <w:tcPr>
            <w:tcW w:w="378" w:type="dxa"/>
          </w:tcPr>
          <w:p w:rsidR="00F5439B" w:rsidRDefault="00F5439B" w:rsidP="00C4574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8, 10:00 am to 4:00 pm E 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Meeting, Conference Call &amp; Web Cast, Baltimore, MD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19, 1:00 pm to 4:00 pm C 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21 – 9:00 am to 1:00 pm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</w:tcPr>
          <w:p w:rsidR="00F5439B" w:rsidRDefault="006614AF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 with Possible Board Vote to Approve Recommendations</w:t>
            </w:r>
          </w:p>
        </w:tc>
      </w:tr>
      <w:tr w:rsidR="00F5439B">
        <w:tc>
          <w:tcPr>
            <w:tcW w:w="378" w:type="dxa"/>
            <w:tcBorders>
              <w:bottom w:val="single" w:sz="4" w:space="0" w:color="auto"/>
            </w:tcBorders>
          </w:tcPr>
          <w:p w:rsidR="00F5439B" w:rsidRDefault="00F5439B"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20, 9:00 am to 1:00 pm C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F5439B" w:rsidRDefault="006614AF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 with Possible Board Vote to Approve Recommendations</w:t>
            </w:r>
          </w:p>
        </w:tc>
      </w:tr>
    </w:tbl>
    <w:p w:rsidR="00F5439B" w:rsidRDefault="006614A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950"/>
        <w:gridCol w:w="4605"/>
      </w:tblGrid>
      <w:tr w:rsidR="00F5439B">
        <w:trPr>
          <w:tblHeader/>
        </w:trPr>
        <w:tc>
          <w:tcPr>
            <w:tcW w:w="10023" w:type="dxa"/>
            <w:gridSpan w:val="3"/>
            <w:tcBorders>
              <w:bottom w:val="single" w:sz="4" w:space="0" w:color="auto"/>
            </w:tcBorders>
          </w:tcPr>
          <w:p w:rsidR="00F5439B" w:rsidRDefault="006614AF">
            <w:pPr>
              <w:pStyle w:val="Title"/>
              <w:spacing w:before="120" w:after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NAESB Gas-Electric Harmonization Committee – Reference Documents </w:t>
            </w:r>
          </w:p>
        </w:tc>
      </w:tr>
      <w:tr w:rsidR="00F5439B">
        <w:trPr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#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Link</w:t>
            </w:r>
          </w:p>
        </w:tc>
      </w:tr>
      <w:tr w:rsidR="00F5439B">
        <w:tc>
          <w:tcPr>
            <w:tcW w:w="468" w:type="dxa"/>
            <w:tcBorders>
              <w:top w:val="single" w:sz="4" w:space="0" w:color="auto"/>
            </w:tcBorders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F5439B" w:rsidRDefault="006614AF">
            <w:pPr>
              <w:spacing w:before="120" w:after="60"/>
            </w:pPr>
            <w:r>
              <w:t>MIT Study, The Future of the Electric Grid</w:t>
            </w: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F5439B" w:rsidRDefault="00E41245">
            <w:pPr>
              <w:spacing w:before="120" w:after="60"/>
              <w:ind w:left="1"/>
            </w:pPr>
            <w:hyperlink r:id="rId17" w:history="1">
              <w:r w:rsidR="006614AF">
                <w:rPr>
                  <w:rStyle w:val="Hyperlink"/>
                </w:rPr>
                <w:t>http://web.mit.edu/mitei/research/studies/documents/electric-grid-2011/Electric_Grid_Full_Report.pdf</w:t>
              </w:r>
            </w:hyperlink>
            <w:r w:rsidR="006614AF"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MIT Study, The Future of Natural Gas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</w:pPr>
            <w:hyperlink r:id="rId18" w:history="1">
              <w:r w:rsidR="006614AF">
                <w:rPr>
                  <w:rStyle w:val="Hyperlink"/>
                </w:rPr>
                <w:t>http://web.mit.edu/mitei/research/studies/documents/natural-gas-2011/NaturalGas_Report.pdf</w:t>
              </w:r>
            </w:hyperlink>
            <w:r w:rsidR="006614AF"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FERC-NERC Joint Task Force Report on Outages and curtailments During the Southwest Weather Event on February 1-5, 2011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</w:pPr>
            <w:hyperlink r:id="rId19" w:history="1">
              <w:r w:rsidR="006614AF">
                <w:rPr>
                  <w:rStyle w:val="Hyperlink"/>
                </w:rPr>
                <w:t>http://www.ferc.gov/legal/staff-reports/08-16-11-report.pdf</w:t>
              </w:r>
            </w:hyperlink>
            <w:r w:rsidR="006614AF"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North American Natural Gas Midstream Infrastructure Through 2035: A Secure Energy Future Executive Summary Prepared by the INGAA Foundation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</w:pPr>
            <w:hyperlink r:id="rId20" w:history="1">
              <w:r w:rsidR="006614AF">
                <w:rPr>
                  <w:rStyle w:val="Hyperlink"/>
                </w:rPr>
                <w:t>http://www.ingaa.org/File.aspx?id=14911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Implications of Greater Reliance on Natural Gas For Electricity Generation Prepared For the American Public Power Association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</w:pPr>
            <w:hyperlink r:id="rId21" w:history="1">
              <w:r w:rsidR="006614AF">
                <w:rPr>
                  <w:rStyle w:val="Hyperlink"/>
                </w:rPr>
                <w:t>http://www.publicpower.org/files/PDFs/ImplicationsOfGreaterRelianceOnNGforElectricityGeneration.pdf</w:t>
              </w:r>
            </w:hyperlink>
            <w:r w:rsidR="006614AF"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NAESB current Gas Nomination Standards and Gas-electric Coordination Standards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</w:pPr>
            <w:hyperlink r:id="rId22" w:history="1">
              <w:r w:rsidR="006614AF">
                <w:rPr>
                  <w:rStyle w:val="Hyperlink"/>
                </w:rPr>
                <w:t>http://www.naesb.org/misc/geh_related_standards.docx</w:t>
              </w:r>
            </w:hyperlink>
            <w:r w:rsidR="006614AF">
              <w:rPr>
                <w:color w:val="000000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  <w:rPr>
                <w:color w:val="1F497D"/>
              </w:rPr>
            </w:pPr>
            <w:r>
              <w:t>Electricity Advisory Committee Interdependence of Electricity System Infrastructure and Natural Gas Infrastructure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  <w:rPr>
                <w:color w:val="1F497D"/>
              </w:rPr>
            </w:pPr>
            <w:hyperlink r:id="rId23" w:history="1">
              <w:r w:rsidR="006614AF">
                <w:rPr>
                  <w:rStyle w:val="Hyperlink"/>
                </w:rPr>
                <w:t>http://www.naesb.org/misc/electric_infrastructure_gas_infrastructure_oct2011.pdf</w:t>
              </w:r>
            </w:hyperlink>
            <w:r w:rsidR="006614AF">
              <w:rPr>
                <w:color w:val="1F497D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 xml:space="preserve">NERC 2011 Special Reliability Assessment:  A Primer of the Natural Gas and Electric Power Interdependency in the United States </w:t>
            </w:r>
            <w:r>
              <w:rPr>
                <w:i/>
              </w:rPr>
              <w:t xml:space="preserve">– </w:t>
            </w:r>
            <w:r>
              <w:rPr>
                <w:b/>
                <w:i/>
              </w:rPr>
              <w:t>DUPLICATE OF ITEM 13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</w:pPr>
            <w:hyperlink r:id="rId24" w:history="1">
              <w:r w:rsidR="006614AF">
                <w:rPr>
                  <w:rStyle w:val="Hyperlink"/>
                </w:rPr>
                <w:t>http://www.naesb.org/misc/nerc_primer_gas_electric_interdependency_nov2011.pdf</w:t>
              </w:r>
            </w:hyperlink>
            <w:r w:rsidR="006614AF">
              <w:rPr>
                <w:color w:val="1F497D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NERC Gas/Electricity Interdependencies and Recommendations, 2004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</w:pPr>
            <w:hyperlink r:id="rId25" w:history="1">
              <w:r w:rsidR="006614AF">
                <w:rPr>
                  <w:rStyle w:val="Hyperlink"/>
                </w:rPr>
                <w:t>http://www.naesb.org/misc/nerc_gas_electricity_interdependencies_2004.pdf</w:t>
              </w:r>
            </w:hyperlink>
            <w:r w:rsidR="006614AF">
              <w:rPr>
                <w:color w:val="1F497D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NPC Prudent Development – Executive Summary (may be replaced by the published version – Ken Yeasting)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</w:pPr>
            <w:hyperlink r:id="rId26" w:history="1">
              <w:r w:rsidR="006614AF">
                <w:rPr>
                  <w:rStyle w:val="Hyperlink"/>
                </w:rPr>
                <w:t>http://www.naesb.org/misc/npc_north_american_resource_dev_exec_summ_volume_dec2011.pdf</w:t>
              </w:r>
            </w:hyperlink>
            <w:r w:rsidR="006614AF">
              <w:rPr>
                <w:color w:val="1F497D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NPC Prudent Development – Ch. 3 – Natural Gas Demand (may be replaced by the published version – Ken Yeasting)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</w:pPr>
            <w:hyperlink r:id="rId27" w:history="1">
              <w:r w:rsidR="006614AF">
                <w:rPr>
                  <w:rStyle w:val="Hyperlink"/>
                </w:rPr>
                <w:t>http://www.naesb.org/misc/npc_demand_chapter_091511.pdf</w:t>
              </w:r>
            </w:hyperlink>
            <w:r w:rsidR="006614AF">
              <w:rPr>
                <w:color w:val="1F497D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Excerpt of NAESB Bylaws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</w:pPr>
            <w:hyperlink r:id="rId28" w:history="1">
              <w:r w:rsidR="006614AF">
                <w:rPr>
                  <w:rStyle w:val="Hyperlink"/>
                </w:rPr>
                <w:t>http://www.naesb.org/misc/naesb_bylaws_section2.2_best_practices.pptx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NERC December 2011 Special Assessment - </w:t>
            </w:r>
            <w:r>
              <w:rPr>
                <w:rFonts w:ascii="Times New Roman" w:hAnsi="Times New Roman"/>
                <w:i/>
                <w:sz w:val="20"/>
              </w:rPr>
              <w:t>DUPLICATE OF ITEM 8</w:t>
            </w:r>
          </w:p>
        </w:tc>
        <w:tc>
          <w:tcPr>
            <w:tcW w:w="4605" w:type="dxa"/>
          </w:tcPr>
          <w:p w:rsidR="00F5439B" w:rsidRDefault="00E41245">
            <w:pPr>
              <w:spacing w:before="120" w:after="60"/>
              <w:ind w:left="1"/>
              <w:rPr>
                <w:b/>
              </w:rPr>
            </w:pPr>
            <w:hyperlink r:id="rId29" w:history="1">
              <w:r w:rsidR="006614AF">
                <w:rPr>
                  <w:rStyle w:val="Hyperlink"/>
                </w:rPr>
                <w:t>http://www.nerc.com/files/Gas_Electric_Interdependencies_Phase_I.pdf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Natural Gas in a Smart Energy Future – American Gas Foundation, APGA Research Foundation, Canadian Gas Foundation, INGAA Foundation, Natural Gas Supply Foundation and their members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0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http://media.godashboard.com/gti/Natural_Gas_in_a_Smart_Energy_Future_01-26-2011.pdf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keepNext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15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Summary of the North American Energy Standards Board Gas and Electric Interdependency Final Report to the Federal Energy Regulatory Commission in Docket No. RM05-28-000 “NAESB Report on the Efforts of the Gas-Electric Interdependency Committee” – U.S. DoE and NARUC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1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http://www.naesb.org/misc/icf_geic_primer062206.pdf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Nuclear Plant Interface Coordination – Standard NUC-001-2, NERC, April 2010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2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http://www.nerc.com/files/NUC-001-2.pdf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Natural Gas year in Review – EIA, December 9, 2011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3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http://205.254.135.7/naturalgas/review/</w:t>
              </w:r>
            </w:hyperlink>
            <w:r w:rsidR="006614AF">
              <w:rPr>
                <w:rFonts w:ascii="Times New Roman" w:hAnsi="Times New Roman"/>
                <w:b w:val="0"/>
                <w:sz w:val="20"/>
              </w:rPr>
              <w:t xml:space="preserve">, and </w:t>
            </w:r>
            <w:hyperlink r:id="rId34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http://205.254.135.7/naturalgas/review/print_version.cfm</w:t>
              </w:r>
            </w:hyperlink>
            <w:r w:rsidR="006614AF">
              <w:rPr>
                <w:rFonts w:ascii="Times New Roman" w:hAnsi="Times New Roman"/>
                <w:b w:val="0"/>
                <w:sz w:val="20"/>
              </w:rPr>
              <w:t xml:space="preserve"> (print version)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ERCOT Nodal Protocols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5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http://www2.econ.iastate.edu/tesfatsi/ERCOT.DefinitionsAcronyms.Oct2011.pdf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Commission Role Regarding Environmental Protection Agency’s Mercury and Air Toxics Standards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6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http://www.ferc.gov/media/news-releases/2012/2012-1/01-30-12-notice.pdf</w:t>
              </w:r>
            </w:hyperlink>
            <w:r w:rsidR="006614AF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20 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How does the natural gas delivery system work – AGA web site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7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http://www.aga.org/Kc/aboutnaturalgas/consumerinfo/Pages/NGDeliverySystem.aspx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Request for Comments of Commissioner Moeller, on Coordination between the Natural Gas and Electricity Markets, February 3, 2011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8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http://www.ferc.gov/about/com-mem/moeller/moellergaselectricletter.pdf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Gas and Electric Infrastructure Interdependency Analysis, prepared for the Midwest ISO, February 22, 2012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9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https://www.midwestiso.org/Library/Repository/Communication%20Material/Key%20Presentations%20and%20Whitepapers/Natural%20Gas-Electric%20Infrastructure%20Interdependency%20Analysis_022212_Final%20Public.pdf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Power Plants Likely Covered by the EPA Mercury and Air Toxics Rule, EPA, December 2011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0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http://www.epa.gov/mats/pdfs/20111221PowerPlantsLikelyCoveredbyMATS.pdf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24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NARUC Inventory on Gas Curtailment Planning, Institute of Public Utilities and the US Department of Energy, April 2005</w:t>
            </w:r>
          </w:p>
        </w:tc>
        <w:tc>
          <w:tcPr>
            <w:tcW w:w="4605" w:type="dxa"/>
          </w:tcPr>
          <w:p w:rsidR="00F5439B" w:rsidRDefault="00E41245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1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http://www.naruc.org/Publications/CIP_GasCurtailmentInventoryReport_8.pdf</w:t>
              </w:r>
            </w:hyperlink>
          </w:p>
        </w:tc>
      </w:tr>
      <w:tr w:rsidR="006614AF">
        <w:tc>
          <w:tcPr>
            <w:tcW w:w="468" w:type="dxa"/>
          </w:tcPr>
          <w:p w:rsidR="006614AF" w:rsidRDefault="006614AF" w:rsidP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  <w:tc>
          <w:tcPr>
            <w:tcW w:w="4950" w:type="dxa"/>
          </w:tcPr>
          <w:p w:rsidR="006614AF" w:rsidRDefault="006614AF" w:rsidP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Federal Engagement in Standards Setting; Executive Office of the President Office of Science and Technology, Executive Office of the President Office of Management and Budget &amp; Executive Office of the President United States Trade Representative, January 2012</w:t>
            </w:r>
          </w:p>
        </w:tc>
        <w:tc>
          <w:tcPr>
            <w:tcW w:w="4605" w:type="dxa"/>
          </w:tcPr>
          <w:p w:rsidR="006614AF" w:rsidRDefault="00E41245" w:rsidP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2" w:history="1">
              <w:r w:rsidR="006614AF" w:rsidRP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http://www.naesb.org/pdf4/geh051612w3.docx</w:t>
              </w:r>
            </w:hyperlink>
          </w:p>
        </w:tc>
      </w:tr>
    </w:tbl>
    <w:p w:rsidR="00F5439B" w:rsidRDefault="00F5439B">
      <w:pPr>
        <w:rPr>
          <w:bCs/>
        </w:rPr>
      </w:pPr>
    </w:p>
    <w:p w:rsidR="00F5439B" w:rsidRDefault="006614AF">
      <w:pPr>
        <w:rPr>
          <w:bCs/>
        </w:rPr>
      </w:pPr>
      <w:r>
        <w:rPr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F5439B">
        <w:trPr>
          <w:tblHeader/>
        </w:trPr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 w:rsidR="00F5439B" w:rsidRDefault="006614AF">
            <w:pPr>
              <w:pStyle w:val="Title"/>
              <w:spacing w:before="120" w:after="120"/>
              <w:rPr>
                <w:rFonts w:ascii="Times New Roman" w:hAnsi="Times New Roman"/>
                <w:smallCaps/>
                <w:sz w:val="20"/>
              </w:rPr>
            </w:pPr>
            <w:r>
              <w:rPr>
                <w:rFonts w:ascii="Times New Roman" w:hAnsi="Times New Roman"/>
                <w:smallCaps/>
                <w:sz w:val="20"/>
              </w:rPr>
              <w:lastRenderedPageBreak/>
              <w:t>NAESB Gas-Electric Harmonization Committee Named Members</w:t>
            </w:r>
            <w:r w:rsidR="00C4574F">
              <w:rPr>
                <w:rFonts w:ascii="Times New Roman" w:hAnsi="Times New Roman"/>
                <w:smallCaps/>
                <w:sz w:val="20"/>
              </w:rPr>
              <w:t xml:space="preserve"> (35)</w:t>
            </w:r>
            <w:r>
              <w:rPr>
                <w:rFonts w:ascii="Times New Roman" w:hAnsi="Times New Roman"/>
                <w:smallCaps/>
                <w:sz w:val="20"/>
              </w:rPr>
              <w:t xml:space="preserve"> </w:t>
            </w:r>
          </w:p>
        </w:tc>
      </w:tr>
      <w:tr w:rsidR="00F5439B">
        <w:trPr>
          <w:tblHeader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Pr="00C4574F" w:rsidRDefault="006614AF">
            <w:pPr>
              <w:pStyle w:val="Title"/>
              <w:rPr>
                <w:rFonts w:ascii="Times New Roman" w:hAnsi="Times New Roman"/>
                <w:szCs w:val="18"/>
              </w:rPr>
            </w:pPr>
            <w:r w:rsidRPr="00C4574F">
              <w:rPr>
                <w:rFonts w:ascii="Times New Roman" w:hAnsi="Times New Roman"/>
                <w:szCs w:val="18"/>
              </w:rPr>
              <w:t>Member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Pr="00C4574F" w:rsidRDefault="006614AF">
            <w:pPr>
              <w:pStyle w:val="Title"/>
              <w:rPr>
                <w:rFonts w:ascii="Times New Roman" w:hAnsi="Times New Roman"/>
                <w:szCs w:val="18"/>
              </w:rPr>
            </w:pPr>
            <w:r w:rsidRPr="00C4574F">
              <w:rPr>
                <w:rFonts w:ascii="Times New Roman" w:hAnsi="Times New Roman"/>
                <w:szCs w:val="18"/>
              </w:rPr>
              <w:t>Company/Organization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Vicky Bailey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BHMM Energy Services, LLC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Jim Buccigross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8760 Inc.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Ralph Cleveland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AGL Resources, Inc.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Craig Colombo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Dominion Resources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szCs w:val="18"/>
              </w:rPr>
            </w:pPr>
            <w:r w:rsidRPr="00C4574F">
              <w:rPr>
                <w:rFonts w:ascii="Times New Roman" w:hAnsi="Times New Roman"/>
                <w:szCs w:val="18"/>
              </w:rPr>
              <w:t xml:space="preserve">Valerie Crockett </w:t>
            </w:r>
            <w:r w:rsidRPr="00C4574F">
              <w:rPr>
                <w:rFonts w:ascii="Times New Roman" w:hAnsi="Times New Roman"/>
                <w:i/>
                <w:szCs w:val="18"/>
              </w:rPr>
              <w:t>(Co-Chair)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Tennessee Valley Authority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Alex DeBoissiere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The United Illuminating Company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Michael Desselle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Southwest Power Pool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Katie Elder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Aspen Environmental Group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Bruce Ellsworth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New York State Reliability Council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Lisa Epifani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Van Ness Feldman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Christopher Freitas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US Department of Energy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Arthur Fusco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Central Electric Power Cooperative Inc.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William Gallagher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Vermont Public Power Supply Authority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Bob Gee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Gee Strategies Group, LLC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Michehl Gent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Open Access Technology International, Inc.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Michael Goldenberg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FERC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Joseph Hartsoe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American Electric Power Service Corp.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Jesse D. Hurley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Shift Research, LLC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Kevin Kirby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ISO New England, Inc.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Richard Kruse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Spectra Energy Transmission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Gregory Lander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both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Capacity Center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Wayne Moore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Southern Company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Rana Mukerji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New York Independent System Operator, Inc. (NYISO)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Lou Oberski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Dominion Resources Services, Inc.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Joelle Ogg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DC Energy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Randy E. Parker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 xml:space="preserve">ExxonMobil Gas and Power Marketing Company 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Marty Patterson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American Midstream Partners, LP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Andrew Rodriquez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North American Electric Reliability Corporation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Keith Sappenfield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Encana Oil &amp; Gas (USA), Inc.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Pam Silberstein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FERC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Commissioner Timothy Simon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California Public Utility Commission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Rick Smead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Navigant Consulting, Inc.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Terence (Terry) Thorn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KEMA Gas Consulting Services</w:t>
            </w:r>
          </w:p>
        </w:tc>
      </w:tr>
      <w:tr w:rsidR="00F5439B">
        <w:tc>
          <w:tcPr>
            <w:tcW w:w="2988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szCs w:val="18"/>
              </w:rPr>
            </w:pPr>
            <w:r w:rsidRPr="00C4574F">
              <w:rPr>
                <w:rFonts w:ascii="Times New Roman" w:hAnsi="Times New Roman"/>
                <w:szCs w:val="18"/>
              </w:rPr>
              <w:t xml:space="preserve">Sue Tierney </w:t>
            </w:r>
            <w:r w:rsidRPr="00C4574F">
              <w:rPr>
                <w:rFonts w:ascii="Times New Roman" w:hAnsi="Times New Roman"/>
                <w:i/>
                <w:szCs w:val="18"/>
              </w:rPr>
              <w:t>(Co-Chair)</w:t>
            </w:r>
          </w:p>
        </w:tc>
        <w:tc>
          <w:tcPr>
            <w:tcW w:w="7020" w:type="dxa"/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Analysis Group, Inc.</w:t>
            </w:r>
          </w:p>
        </w:tc>
      </w:tr>
      <w:tr w:rsidR="00F5439B">
        <w:tc>
          <w:tcPr>
            <w:tcW w:w="2988" w:type="dxa"/>
            <w:tcBorders>
              <w:bottom w:val="single" w:sz="4" w:space="0" w:color="auto"/>
            </w:tcBorders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Kenneth L. Yeasting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F5439B" w:rsidRPr="00C4574F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C4574F">
              <w:rPr>
                <w:rFonts w:ascii="Times New Roman" w:hAnsi="Times New Roman"/>
                <w:b w:val="0"/>
                <w:szCs w:val="18"/>
              </w:rPr>
              <w:t>Cambridge Energy Research Associates</w:t>
            </w:r>
          </w:p>
        </w:tc>
      </w:tr>
    </w:tbl>
    <w:p w:rsidR="00F5439B" w:rsidRDefault="00F5439B">
      <w:pPr>
        <w:spacing w:before="240"/>
        <w:jc w:val="center"/>
        <w:rPr>
          <w:bCs/>
        </w:rPr>
      </w:pPr>
    </w:p>
    <w:sectPr w:rsidR="00F5439B" w:rsidSect="00F51CD6">
      <w:headerReference w:type="even" r:id="rId43"/>
      <w:headerReference w:type="default" r:id="rId44"/>
      <w:headerReference w:type="first" r:id="rId45"/>
      <w:pgSz w:w="12240" w:h="15840" w:code="1"/>
      <w:pgMar w:top="720" w:right="1267" w:bottom="720" w:left="116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45" w:rsidRDefault="00E41245">
      <w:r>
        <w:separator/>
      </w:r>
    </w:p>
  </w:endnote>
  <w:endnote w:type="continuationSeparator" w:id="0">
    <w:p w:rsidR="00E41245" w:rsidRDefault="00E4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2" w:rsidRDefault="00BC5C42">
    <w:pPr>
      <w:pStyle w:val="Footer"/>
      <w:pBdr>
        <w:top w:val="single" w:sz="4" w:space="1" w:color="auto"/>
      </w:pBdr>
      <w:jc w:val="right"/>
    </w:pPr>
    <w:r>
      <w:t>Gas-Electric Harmonization Committee Agenda – June 8, 2012</w:t>
    </w:r>
  </w:p>
  <w:p w:rsidR="00BC5C42" w:rsidRDefault="00BC5C42">
    <w:pPr>
      <w:pStyle w:val="Footer"/>
      <w:pBdr>
        <w:top w:val="single" w:sz="4" w:space="1" w:color="auto"/>
      </w:pBdr>
      <w:jc w:val="right"/>
    </w:pPr>
    <w:r>
      <w:t xml:space="preserve">Page </w:t>
    </w:r>
    <w:r w:rsidR="00E41245">
      <w:fldChar w:fldCharType="begin"/>
    </w:r>
    <w:r w:rsidR="00E41245">
      <w:instrText xml:space="preserve"> PAGE </w:instrText>
    </w:r>
    <w:r w:rsidR="00E41245">
      <w:fldChar w:fldCharType="separate"/>
    </w:r>
    <w:r w:rsidR="00D32E35">
      <w:rPr>
        <w:noProof/>
      </w:rPr>
      <w:t>3</w:t>
    </w:r>
    <w:r w:rsidR="00E41245">
      <w:rPr>
        <w:noProof/>
      </w:rPr>
      <w:fldChar w:fldCharType="end"/>
    </w:r>
    <w:r>
      <w:t xml:space="preserve"> of </w:t>
    </w:r>
    <w:r w:rsidR="00E41245">
      <w:fldChar w:fldCharType="begin"/>
    </w:r>
    <w:r w:rsidR="00E41245">
      <w:instrText xml:space="preserve"> NUMPAGES </w:instrText>
    </w:r>
    <w:r w:rsidR="00E41245">
      <w:fldChar w:fldCharType="separate"/>
    </w:r>
    <w:r w:rsidR="00D32E35">
      <w:rPr>
        <w:noProof/>
      </w:rPr>
      <w:t>6</w:t>
    </w:r>
    <w:r w:rsidR="00E412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45" w:rsidRDefault="00E41245">
      <w:r>
        <w:separator/>
      </w:r>
    </w:p>
  </w:footnote>
  <w:footnote w:type="continuationSeparator" w:id="0">
    <w:p w:rsidR="00E41245" w:rsidRDefault="00E41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2" w:rsidRDefault="00BC5C42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-6985</wp:posOffset>
          </wp:positionV>
          <wp:extent cx="981710" cy="1133475"/>
          <wp:effectExtent l="0" t="0" r="8890" b="9525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2E35"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C42" w:rsidRDefault="00BC5C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.85pt;margin-top:.95pt;width:3.55pt;height:1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" filled="f" stroked="f">
              <v:textbox inset="0,0,0,0">
                <w:txbxContent>
                  <w:p w:rsidR="00BC5C42" w:rsidRDefault="00BC5C42"/>
                </w:txbxContent>
              </v:textbox>
            </v:rect>
          </w:pict>
        </mc:Fallback>
      </mc:AlternateContent>
    </w:r>
  </w:p>
  <w:p w:rsidR="00BC5C42" w:rsidRDefault="00BC5C42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BC5C42" w:rsidRDefault="00BC5C42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BC5C42" w:rsidRDefault="00BC5C42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City">
      <w:smartTag w:uri="urn:schemas-microsoft-com:office:smarttags" w:element="place">
        <w:r>
          <w:t>Houston</w:t>
        </w:r>
      </w:smartTag>
      <w:r>
        <w:t xml:space="preserve">, </w:t>
      </w:r>
      <w:smartTag w:uri="urn:schemas-microsoft-com:office:smarttags" w:element="State">
        <w:r>
          <w:t>Texas</w:t>
        </w:r>
      </w:smartTag>
      <w:r>
        <w:t xml:space="preserve"> </w:t>
      </w:r>
      <w:smartTag w:uri="urn:schemas-microsoft-com:office:smarttags" w:element="PostalCode">
        <w:r>
          <w:t>77002</w:t>
        </w:r>
      </w:smartTag>
    </w:smartTag>
  </w:p>
  <w:p w:rsidR="00BC5C42" w:rsidRDefault="00BC5C42"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356-0067</w:t>
        </w:r>
      </w:smartTag>
    </w:smartTag>
    <w:r>
      <w:t>, E-mail: naesb@naesb.org</w:t>
    </w:r>
  </w:p>
  <w:p w:rsidR="00BC5C42" w:rsidRDefault="00BC5C42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BC5C42" w:rsidRDefault="00BC5C42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2" w:rsidRDefault="00BC5C42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-9525</wp:posOffset>
          </wp:positionV>
          <wp:extent cx="981075" cy="90487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5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2E35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C42" w:rsidRDefault="00BC5C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1.85pt;margin-top:.95pt;width:3.55pt;height:1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" filled="f" stroked="f">
              <v:textbox inset="0,0,0,0">
                <w:txbxContent>
                  <w:p w:rsidR="00BC5C42" w:rsidRDefault="00BC5C42"/>
                </w:txbxContent>
              </v:textbox>
            </v:rect>
          </w:pict>
        </mc:Fallback>
      </mc:AlternateContent>
    </w:r>
  </w:p>
  <w:p w:rsidR="00BC5C42" w:rsidRDefault="00BC5C42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BC5C42" w:rsidRDefault="00BC5C42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City">
      <w:smartTag w:uri="urn:schemas-microsoft-com:office:smarttags" w:element="place">
        <w:smartTag w:uri="urn:schemas-microsoft-com:office:smarttags" w:element="City">
          <w:r>
            <w:t>Houston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77002</w:t>
          </w:r>
        </w:smartTag>
      </w:smartTag>
    </w:smartTag>
  </w:p>
  <w:p w:rsidR="00BC5C42" w:rsidRDefault="00BC5C42"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356-0067</w:t>
        </w:r>
      </w:smartTag>
    </w:smartTag>
    <w:r>
      <w:t>, E-mail: naesb@naesb.org</w:t>
    </w:r>
  </w:p>
  <w:p w:rsidR="00BC5C42" w:rsidRDefault="00BC5C42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BC5C42" w:rsidRDefault="00BC5C42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  <w:p w:rsidR="00BC5C42" w:rsidRDefault="00BC5C4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2" w:rsidRDefault="00BC5C4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2" w:rsidRDefault="00BC5C42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-9525</wp:posOffset>
          </wp:positionV>
          <wp:extent cx="981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4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2E35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C42" w:rsidRDefault="00BC5C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-1.85pt;margin-top:.95pt;width:3.55pt;height:1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aYrAIAAKYFAAAOAAAAZHJzL2Uyb0RvYy54bWysVF1v2yAUfZ+0/4B4d/0xJ7WtOlUbx9Ok&#10;bqvW7QcQG8doGDwgcdpp/30XHKdJ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" filled="f" stroked="f">
              <v:textbox inset="0,0,0,0">
                <w:txbxContent>
                  <w:p w:rsidR="00BC5C42" w:rsidRDefault="00BC5C42"/>
                </w:txbxContent>
              </v:textbox>
            </v:rect>
          </w:pict>
        </mc:Fallback>
      </mc:AlternateContent>
    </w:r>
  </w:p>
  <w:p w:rsidR="00BC5C42" w:rsidRDefault="00BC5C42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BC5C42" w:rsidRDefault="00BC5C42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:rsidR="00BC5C42" w:rsidRDefault="00BC5C42">
    <w:pPr>
      <w:pStyle w:val="Header"/>
      <w:ind w:left="1800"/>
      <w:jc w:val="right"/>
    </w:pPr>
    <w:r>
      <w:t>Phone:  (713) 356-0060, Fax:  (713) 356-0067, E-mail: naesb@naesb.org</w:t>
    </w:r>
  </w:p>
  <w:p w:rsidR="00BC5C42" w:rsidRDefault="00BC5C42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BC5C42" w:rsidRDefault="00BC5C42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2" w:rsidRDefault="00BC5C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D612B7"/>
    <w:multiLevelType w:val="hybridMultilevel"/>
    <w:tmpl w:val="36E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53BBA"/>
    <w:multiLevelType w:val="hybridMultilevel"/>
    <w:tmpl w:val="A6B8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352DE"/>
    <w:multiLevelType w:val="hybridMultilevel"/>
    <w:tmpl w:val="B86E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315B1"/>
    <w:multiLevelType w:val="hybridMultilevel"/>
    <w:tmpl w:val="94D402FC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0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76CC4"/>
    <w:multiLevelType w:val="hybridMultilevel"/>
    <w:tmpl w:val="D982F4D8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3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8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9">
    <w:nsid w:val="33CC5206"/>
    <w:multiLevelType w:val="hybridMultilevel"/>
    <w:tmpl w:val="A1C8F60E"/>
    <w:lvl w:ilvl="0" w:tplc="85CEB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4630F"/>
    <w:multiLevelType w:val="hybridMultilevel"/>
    <w:tmpl w:val="E52EAA3C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2">
    <w:nsid w:val="39FC49C0"/>
    <w:multiLevelType w:val="hybridMultilevel"/>
    <w:tmpl w:val="1C66D7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BD0953"/>
    <w:multiLevelType w:val="hybridMultilevel"/>
    <w:tmpl w:val="C70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7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8">
    <w:nsid w:val="42BD1557"/>
    <w:multiLevelType w:val="hybridMultilevel"/>
    <w:tmpl w:val="D3FA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21AF3"/>
    <w:multiLevelType w:val="hybridMultilevel"/>
    <w:tmpl w:val="EDEAED52"/>
    <w:lvl w:ilvl="0" w:tplc="B902F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612734"/>
    <w:multiLevelType w:val="hybridMultilevel"/>
    <w:tmpl w:val="4AF02F4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00F0C"/>
    <w:multiLevelType w:val="hybridMultilevel"/>
    <w:tmpl w:val="C4E29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10685D"/>
    <w:multiLevelType w:val="hybridMultilevel"/>
    <w:tmpl w:val="23B6849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6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7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9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B33522"/>
    <w:multiLevelType w:val="hybridMultilevel"/>
    <w:tmpl w:val="3490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B55D4A"/>
    <w:multiLevelType w:val="hybridMultilevel"/>
    <w:tmpl w:val="BB02BA52"/>
    <w:lvl w:ilvl="0" w:tplc="4E9E8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3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4">
    <w:nsid w:val="79F61763"/>
    <w:multiLevelType w:val="hybridMultilevel"/>
    <w:tmpl w:val="D1D0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38"/>
  </w:num>
  <w:num w:numId="5">
    <w:abstractNumId w:val="2"/>
  </w:num>
  <w:num w:numId="6">
    <w:abstractNumId w:val="15"/>
  </w:num>
  <w:num w:numId="7">
    <w:abstractNumId w:val="4"/>
  </w:num>
  <w:num w:numId="8">
    <w:abstractNumId w:val="27"/>
  </w:num>
  <w:num w:numId="9">
    <w:abstractNumId w:val="35"/>
  </w:num>
  <w:num w:numId="10">
    <w:abstractNumId w:val="43"/>
  </w:num>
  <w:num w:numId="11">
    <w:abstractNumId w:val="3"/>
  </w:num>
  <w:num w:numId="12">
    <w:abstractNumId w:val="14"/>
  </w:num>
  <w:num w:numId="13">
    <w:abstractNumId w:val="42"/>
  </w:num>
  <w:num w:numId="14">
    <w:abstractNumId w:val="12"/>
  </w:num>
  <w:num w:numId="15">
    <w:abstractNumId w:val="9"/>
  </w:num>
  <w:num w:numId="16">
    <w:abstractNumId w:val="26"/>
  </w:num>
  <w:num w:numId="17">
    <w:abstractNumId w:val="17"/>
  </w:num>
  <w:num w:numId="18">
    <w:abstractNumId w:val="0"/>
  </w:num>
  <w:num w:numId="19">
    <w:abstractNumId w:val="36"/>
  </w:num>
  <w:num w:numId="20">
    <w:abstractNumId w:val="24"/>
  </w:num>
  <w:num w:numId="21">
    <w:abstractNumId w:val="32"/>
  </w:num>
  <w:num w:numId="22">
    <w:abstractNumId w:val="25"/>
  </w:num>
  <w:num w:numId="23">
    <w:abstractNumId w:val="39"/>
  </w:num>
  <w:num w:numId="24">
    <w:abstractNumId w:val="13"/>
  </w:num>
  <w:num w:numId="25">
    <w:abstractNumId w:val="34"/>
  </w:num>
  <w:num w:numId="26">
    <w:abstractNumId w:val="10"/>
  </w:num>
  <w:num w:numId="27">
    <w:abstractNumId w:val="16"/>
  </w:num>
  <w:num w:numId="28">
    <w:abstractNumId w:val="37"/>
  </w:num>
  <w:num w:numId="29">
    <w:abstractNumId w:val="28"/>
  </w:num>
  <w:num w:numId="30">
    <w:abstractNumId w:val="23"/>
  </w:num>
  <w:num w:numId="31">
    <w:abstractNumId w:val="19"/>
  </w:num>
  <w:num w:numId="32">
    <w:abstractNumId w:val="41"/>
  </w:num>
  <w:num w:numId="33">
    <w:abstractNumId w:val="8"/>
  </w:num>
  <w:num w:numId="34">
    <w:abstractNumId w:val="33"/>
  </w:num>
  <w:num w:numId="35">
    <w:abstractNumId w:val="40"/>
  </w:num>
  <w:num w:numId="36">
    <w:abstractNumId w:val="22"/>
  </w:num>
  <w:num w:numId="37">
    <w:abstractNumId w:val="11"/>
  </w:num>
  <w:num w:numId="38">
    <w:abstractNumId w:val="20"/>
  </w:num>
  <w:num w:numId="39">
    <w:abstractNumId w:val="29"/>
  </w:num>
  <w:num w:numId="40">
    <w:abstractNumId w:val="31"/>
  </w:num>
  <w:num w:numId="41">
    <w:abstractNumId w:val="6"/>
  </w:num>
  <w:num w:numId="42">
    <w:abstractNumId w:val="44"/>
  </w:num>
  <w:num w:numId="43">
    <w:abstractNumId w:val="5"/>
  </w:num>
  <w:num w:numId="44">
    <w:abstractNumId w:val="7"/>
  </w:num>
  <w:num w:numId="4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9B"/>
    <w:rsid w:val="00112C66"/>
    <w:rsid w:val="00142CEF"/>
    <w:rsid w:val="001A1626"/>
    <w:rsid w:val="001D4991"/>
    <w:rsid w:val="00300802"/>
    <w:rsid w:val="003800E9"/>
    <w:rsid w:val="00410002"/>
    <w:rsid w:val="00492C87"/>
    <w:rsid w:val="00537C9B"/>
    <w:rsid w:val="006614AF"/>
    <w:rsid w:val="006F2BAA"/>
    <w:rsid w:val="00881AF2"/>
    <w:rsid w:val="0089265D"/>
    <w:rsid w:val="008A007D"/>
    <w:rsid w:val="009D220A"/>
    <w:rsid w:val="00BC5C42"/>
    <w:rsid w:val="00BE0D69"/>
    <w:rsid w:val="00C4574F"/>
    <w:rsid w:val="00C77A17"/>
    <w:rsid w:val="00D32E35"/>
    <w:rsid w:val="00D82141"/>
    <w:rsid w:val="00E41245"/>
    <w:rsid w:val="00F51CD6"/>
    <w:rsid w:val="00F5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BodyText">
    <w:name w:val="Body Text"/>
    <w:basedOn w:val="Normal"/>
    <w:link w:val="BodyTextChar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customStyle="1" w:styleId="TitleChar">
    <w:name w:val="Title Char"/>
    <w:basedOn w:val="DefaultParagraphFont"/>
    <w:link w:val="Title"/>
    <w:rPr>
      <w:rFonts w:ascii="Bookman Old Style" w:hAnsi="Bookman Old Style"/>
      <w:b/>
      <w:snapToGrid w:val="0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eastAsiaTheme="minorHAnsi" w:cstheme="minorBidi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BodyText">
    <w:name w:val="Body Text"/>
    <w:basedOn w:val="Normal"/>
    <w:link w:val="BodyTextChar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customStyle="1" w:styleId="TitleChar">
    <w:name w:val="Title Char"/>
    <w:basedOn w:val="DefaultParagraphFont"/>
    <w:link w:val="Title"/>
    <w:rPr>
      <w:rFonts w:ascii="Bookman Old Style" w:hAnsi="Bookman Old Style"/>
      <w:b/>
      <w:snapToGrid w:val="0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eastAsiaTheme="minorHAnsi" w:cstheme="minorBid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hyperlink" Target="http://web.mit.edu/mitei/research/studies/documents/natural-gas-2011/NaturalGas_Report.pdf" TargetMode="External"/><Relationship Id="rId26" Type="http://schemas.openxmlformats.org/officeDocument/2006/relationships/hyperlink" Target="http://www.naesb.org/misc/npc_north_american_resource_dev_exec_summ_volume_dec2011.pdf" TargetMode="External"/><Relationship Id="rId39" Type="http://schemas.openxmlformats.org/officeDocument/2006/relationships/hyperlink" Target="https://www.midwestiso.org/Library/Repository/Communication%20Material/Key%20Presentations%20and%20Whitepapers/Natural%20Gas-Electric%20Infrastructure%20Interdependency%20Analysis_022212_Final%20Public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ublicpower.org/files/PDFs/ImplicationsOfGreaterRelianceOnNGforElectricityGeneration.pdf" TargetMode="External"/><Relationship Id="rId34" Type="http://schemas.openxmlformats.org/officeDocument/2006/relationships/hyperlink" Target="http://205.254.135.7/naturalgas/review/print_version.cfm" TargetMode="External"/><Relationship Id="rId42" Type="http://schemas.openxmlformats.org/officeDocument/2006/relationships/hyperlink" Target="http://www.naesb.org/pdf4/geh051612w3.docx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aesb.org/pdf4/geh060812a1.docx" TargetMode="External"/><Relationship Id="rId17" Type="http://schemas.openxmlformats.org/officeDocument/2006/relationships/hyperlink" Target="http://web.mit.edu/mitei/research/studies/documents/electric-grid-2011/Electric_Grid_Full_Report.pdf" TargetMode="External"/><Relationship Id="rId25" Type="http://schemas.openxmlformats.org/officeDocument/2006/relationships/hyperlink" Target="http://www.naesb.org/misc/nerc_gas_electricity_interdependencies_2004.pdf" TargetMode="External"/><Relationship Id="rId33" Type="http://schemas.openxmlformats.org/officeDocument/2006/relationships/hyperlink" Target="http://205.254.135.7/naturalgas/review/" TargetMode="External"/><Relationship Id="rId38" Type="http://schemas.openxmlformats.org/officeDocument/2006/relationships/hyperlink" Target="http://www.ferc.gov/about/com-mem/moeller/moellergaselectricletter.pdf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ingaa.org/File.aspx?id=14911" TargetMode="External"/><Relationship Id="rId29" Type="http://schemas.openxmlformats.org/officeDocument/2006/relationships/hyperlink" Target="http://www.nerc.com/files/Gas_Electric_Interdependencies_Phase_I.pdf" TargetMode="External"/><Relationship Id="rId41" Type="http://schemas.openxmlformats.org/officeDocument/2006/relationships/hyperlink" Target="http://www.naruc.org/Publications/CIP_GasCurtailmentInventoryReport_8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geh060812a2.docx" TargetMode="External"/><Relationship Id="rId24" Type="http://schemas.openxmlformats.org/officeDocument/2006/relationships/hyperlink" Target="http://www.naesb.org/misc/nerc_primer_gas_electric_interdependency_nov2011.pdf" TargetMode="External"/><Relationship Id="rId32" Type="http://schemas.openxmlformats.org/officeDocument/2006/relationships/hyperlink" Target="http://www.nerc.com/files/NUC-001-2.pdf" TargetMode="External"/><Relationship Id="rId37" Type="http://schemas.openxmlformats.org/officeDocument/2006/relationships/hyperlink" Target="http://www.aga.org/Kc/aboutnaturalgas/consumerinfo/Pages/NGDeliverySystem.aspx" TargetMode="External"/><Relationship Id="rId40" Type="http://schemas.openxmlformats.org/officeDocument/2006/relationships/hyperlink" Target="http://www.epa.gov/mats/pdfs/20111221PowerPlantsLikelyCoveredbyMATS.pdf" TargetMode="External"/><Relationship Id="rId45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://www.naesb.org/misc/electric_infrastructure_gas_infrastructure_oct2011.pdf" TargetMode="External"/><Relationship Id="rId28" Type="http://schemas.openxmlformats.org/officeDocument/2006/relationships/hyperlink" Target="http://www.naesb.org/misc/naesb_bylaws_section2.2_best_practices.pptx" TargetMode="External"/><Relationship Id="rId36" Type="http://schemas.openxmlformats.org/officeDocument/2006/relationships/hyperlink" Target="http://www.ferc.gov/media/news-releases/2012/2012-1/01-30-12-notice.pdf" TargetMode="External"/><Relationship Id="rId10" Type="http://schemas.openxmlformats.org/officeDocument/2006/relationships/hyperlink" Target="http://www.naesb.org/pdf4/geh042612_survey_comments.docx" TargetMode="External"/><Relationship Id="rId19" Type="http://schemas.openxmlformats.org/officeDocument/2006/relationships/hyperlink" Target="http://www.ferc.gov/legal/staff-reports/08-16-11-report.pdf" TargetMode="External"/><Relationship Id="rId31" Type="http://schemas.openxmlformats.org/officeDocument/2006/relationships/hyperlink" Target="http://www.naesb.org/misc/icf_geic_primer062206.pdf" TargetMode="External"/><Relationship Id="rId44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pdf4/geh060812a3.docx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naesb.org/misc/geh_related_standards.docx" TargetMode="External"/><Relationship Id="rId27" Type="http://schemas.openxmlformats.org/officeDocument/2006/relationships/hyperlink" Target="http://www.naesb.org/misc/npc_demand_chapter_091511.pdf" TargetMode="External"/><Relationship Id="rId30" Type="http://schemas.openxmlformats.org/officeDocument/2006/relationships/hyperlink" Target="http://media.godashboard.com/gti/Natural_Gas_in_a_Smart_Energy_Future_01-26-2011.pdf" TargetMode="External"/><Relationship Id="rId35" Type="http://schemas.openxmlformats.org/officeDocument/2006/relationships/hyperlink" Target="http://www2.econ.iastate.edu/tesfatsi/ERCOT.DefinitionsAcronyms.Oct2011.pdf" TargetMode="External"/><Relationship Id="rId43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VJC\NAESB\Gas-Electric%20Committee\Survey%201\Consolidated%20Survey%20Results%20-%20as%20of%202012-05-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3600"/>
            </a:pPr>
            <a:r>
              <a:rPr lang="en-US" sz="3600"/>
              <a:t>GEH Survey Totals 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4.9013383965302595E-2"/>
          <c:y val="0.17059800395320956"/>
          <c:w val="0.91573455445728869"/>
          <c:h val="0.6814421924111341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Totals!$D$2</c:f>
              <c:strCache>
                <c:ptCount val="1"/>
                <c:pt idx="0">
                  <c:v>Policy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397586214685546E-17"/>
                  <c:y val="9.2592592592593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Totals!$D$58</c:f>
              <c:strCache>
                <c:ptCount val="1"/>
                <c:pt idx="0">
                  <c:v>Policy</c:v>
                </c:pt>
              </c:strCache>
            </c:strRef>
          </c:cat>
          <c:val>
            <c:numRef>
              <c:f>Totals!$D$57</c:f>
              <c:numCache>
                <c:formatCode>General</c:formatCode>
                <c:ptCount val="1"/>
                <c:pt idx="0">
                  <c:v>583</c:v>
                </c:pt>
              </c:numCache>
            </c:numRef>
          </c:val>
        </c:ser>
        <c:ser>
          <c:idx val="0"/>
          <c:order val="1"/>
          <c:tx>
            <c:strRef>
              <c:f>Totals!$E$58</c:f>
              <c:strCache>
                <c:ptCount val="1"/>
                <c:pt idx="0">
                  <c:v>Commercial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9.7736625514403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Totals!$D$58</c:f>
              <c:strCache>
                <c:ptCount val="1"/>
                <c:pt idx="0">
                  <c:v>Policy</c:v>
                </c:pt>
              </c:strCache>
            </c:strRef>
          </c:cat>
          <c:val>
            <c:numRef>
              <c:f>Totals!$E$57</c:f>
              <c:numCache>
                <c:formatCode>General</c:formatCode>
                <c:ptCount val="1"/>
                <c:pt idx="0">
                  <c:v>489</c:v>
                </c:pt>
              </c:numCache>
            </c:numRef>
          </c:val>
        </c:ser>
        <c:ser>
          <c:idx val="2"/>
          <c:order val="2"/>
          <c:tx>
            <c:strRef>
              <c:f>Totals!$F$2</c:f>
              <c:strCache>
                <c:ptCount val="1"/>
                <c:pt idx="0">
                  <c:v>Standards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.100308641975308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Totals!$D$58</c:f>
              <c:strCache>
                <c:ptCount val="1"/>
                <c:pt idx="0">
                  <c:v>Policy</c:v>
                </c:pt>
              </c:strCache>
            </c:strRef>
          </c:cat>
          <c:val>
            <c:numRef>
              <c:f>Totals!$F$57</c:f>
              <c:numCache>
                <c:formatCode>General</c:formatCode>
                <c:ptCount val="1"/>
                <c:pt idx="0">
                  <c:v>619</c:v>
                </c:pt>
              </c:numCache>
            </c:numRef>
          </c:val>
        </c:ser>
        <c:ser>
          <c:idx val="3"/>
          <c:order val="3"/>
          <c:tx>
            <c:strRef>
              <c:f>Totals!$G$2</c:f>
              <c:strCache>
                <c:ptCount val="1"/>
                <c:pt idx="0">
                  <c:v>Comment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.105452674897119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Totals!$D$58</c:f>
              <c:strCache>
                <c:ptCount val="1"/>
                <c:pt idx="0">
                  <c:v>Policy</c:v>
                </c:pt>
              </c:strCache>
            </c:strRef>
          </c:cat>
          <c:val>
            <c:numRef>
              <c:f>Totals!$G$57</c:f>
              <c:numCache>
                <c:formatCode>General</c:formatCode>
                <c:ptCount val="1"/>
                <c:pt idx="0">
                  <c:v>451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873984"/>
        <c:axId val="126875904"/>
      </c:barChart>
      <c:catAx>
        <c:axId val="12687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crossAx val="126875904"/>
        <c:crosses val="autoZero"/>
        <c:auto val="1"/>
        <c:lblAlgn val="ctr"/>
        <c:lblOffset val="100"/>
        <c:noMultiLvlLbl val="0"/>
      </c:catAx>
      <c:valAx>
        <c:axId val="1268759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68739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698068365965247"/>
          <c:y val="0.8940458831534982"/>
          <c:w val="0.66331713897350264"/>
          <c:h val="6.9873991445514122E-2"/>
        </c:manualLayout>
      </c:layout>
      <c:overlay val="0"/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0614-A7EC-4712-A75B-E8A95AEC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Rae McQuade</cp:lastModifiedBy>
  <cp:revision>2</cp:revision>
  <cp:lastPrinted>2012-02-05T04:13:00Z</cp:lastPrinted>
  <dcterms:created xsi:type="dcterms:W3CDTF">2012-06-13T04:00:00Z</dcterms:created>
  <dcterms:modified xsi:type="dcterms:W3CDTF">2012-06-13T04:00:00Z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