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4D6" w:rsidRDefault="000864D6">
      <w:pPr>
        <w:jc w:val="right"/>
        <w:rPr>
          <w:b/>
        </w:rPr>
      </w:pPr>
      <w:r>
        <w:rPr>
          <w:b/>
        </w:rPr>
        <w:t xml:space="preserve">via </w:t>
      </w:r>
      <w:r w:rsidR="005A7C65">
        <w:rPr>
          <w:b/>
        </w:rPr>
        <w:t xml:space="preserve">posting &amp; </w:t>
      </w:r>
      <w:r>
        <w:rPr>
          <w:b/>
        </w:rPr>
        <w:t>email</w:t>
      </w:r>
    </w:p>
    <w:p w:rsidR="000864D6" w:rsidRDefault="000864D6">
      <w:pPr>
        <w:spacing w:before="120"/>
        <w:ind w:left="1440" w:hanging="1440"/>
      </w:pPr>
      <w:r>
        <w:rPr>
          <w:b/>
        </w:rPr>
        <w:t>TO:</w:t>
      </w:r>
      <w:r>
        <w:rPr>
          <w:b/>
        </w:rPr>
        <w:tab/>
      </w:r>
      <w:r w:rsidR="005A7C65">
        <w:t>NAESB Gas Electric Harmonization (GEH) Committee and posting for interested parties</w:t>
      </w:r>
    </w:p>
    <w:p w:rsidR="000864D6" w:rsidRDefault="000864D6">
      <w:pPr>
        <w:spacing w:before="120"/>
        <w:ind w:left="1440" w:hanging="1440"/>
        <w:rPr>
          <w:b/>
        </w:rPr>
      </w:pPr>
      <w:r>
        <w:rPr>
          <w:b/>
        </w:rPr>
        <w:t>RE:</w:t>
      </w:r>
      <w:r>
        <w:rPr>
          <w:b/>
        </w:rPr>
        <w:tab/>
      </w:r>
      <w:r w:rsidR="005A7C65">
        <w:t>Draft Outline of Analysis of Standards Related Observations</w:t>
      </w:r>
    </w:p>
    <w:p w:rsidR="000864D6" w:rsidRDefault="000864D6">
      <w:pPr>
        <w:pBdr>
          <w:bottom w:val="single" w:sz="12" w:space="1" w:color="auto"/>
        </w:pBdr>
        <w:spacing w:before="120" w:after="120"/>
      </w:pPr>
      <w:r>
        <w:rPr>
          <w:b/>
        </w:rPr>
        <w:t>DATE:</w:t>
      </w:r>
      <w:r>
        <w:tab/>
      </w:r>
      <w:r>
        <w:tab/>
      </w:r>
      <w:r w:rsidR="005A7C65">
        <w:t>June 1, 2012</w:t>
      </w:r>
    </w:p>
    <w:p w:rsidR="000864D6" w:rsidRDefault="000864D6">
      <w:pPr>
        <w:spacing w:before="120"/>
      </w:pPr>
      <w:bookmarkStart w:id="0" w:name="OLE_LINK8"/>
      <w:bookmarkStart w:id="1" w:name="OLE_LINK9"/>
      <w:bookmarkStart w:id="2" w:name="OLE_LINK1"/>
      <w:bookmarkStart w:id="3" w:name="OLE_LINK2"/>
      <w:r>
        <w:t xml:space="preserve">Dear NAESB </w:t>
      </w:r>
      <w:r w:rsidR="005A7C65">
        <w:t>GEH Committee,</w:t>
      </w:r>
    </w:p>
    <w:p w:rsidR="000864D6" w:rsidRDefault="005A7C65">
      <w:pPr>
        <w:spacing w:before="240"/>
        <w:jc w:val="both"/>
        <w:rPr>
          <w:b/>
        </w:rPr>
      </w:pPr>
      <w:r>
        <w:t xml:space="preserve">At our last GEH meeting on May 16, we decided to review the results of the survey which was amended and posted on May 24.  We agreed to look at the </w:t>
      </w:r>
      <w:r w:rsidR="005B5BC3">
        <w:t>observation</w:t>
      </w:r>
      <w:r>
        <w:t xml:space="preserve">s that were defined as of primary or secondary interest for </w:t>
      </w:r>
      <w:r w:rsidR="005B5BC3">
        <w:t>policy</w:t>
      </w:r>
      <w:r w:rsidR="006414C4">
        <w:t xml:space="preserve"> items</w:t>
      </w:r>
      <w:r>
        <w:t xml:space="preserve">, commercial </w:t>
      </w:r>
      <w:r w:rsidR="006414C4">
        <w:t xml:space="preserve">items </w:t>
      </w:r>
      <w:r>
        <w:t xml:space="preserve">or </w:t>
      </w:r>
      <w:r w:rsidR="006414C4">
        <w:t xml:space="preserve">potential </w:t>
      </w:r>
      <w:r>
        <w:t>standards</w:t>
      </w:r>
      <w:r w:rsidR="006414C4">
        <w:t xml:space="preserve"> development</w:t>
      </w:r>
      <w:r>
        <w:t xml:space="preserve">.  </w:t>
      </w:r>
    </w:p>
    <w:p w:rsidR="000864D6" w:rsidRDefault="0046353B">
      <w:pPr>
        <w:spacing w:before="120"/>
        <w:outlineLvl w:val="0"/>
      </w:pPr>
      <w:r>
        <w:t>The following report is our first cut at the observations that were defined as related</w:t>
      </w:r>
      <w:r w:rsidR="006414C4">
        <w:t xml:space="preserve"> to potential standards development</w:t>
      </w:r>
      <w:r>
        <w:t>.  The standards related observations have been consolidated for ease of reading, and the consolidated items have been cursorily reviewed for:</w:t>
      </w:r>
    </w:p>
    <w:p w:rsidR="0046353B" w:rsidRDefault="0046353B" w:rsidP="0046353B">
      <w:pPr>
        <w:pStyle w:val="ListParagraph"/>
        <w:numPr>
          <w:ilvl w:val="0"/>
          <w:numId w:val="42"/>
        </w:numPr>
        <w:spacing w:before="120"/>
        <w:outlineLvl w:val="0"/>
      </w:pPr>
      <w:r>
        <w:t>Relationship to other existing standards</w:t>
      </w:r>
    </w:p>
    <w:p w:rsidR="006414C4" w:rsidRDefault="006414C4" w:rsidP="006414C4">
      <w:pPr>
        <w:spacing w:before="120"/>
        <w:outlineLvl w:val="0"/>
      </w:pPr>
      <w:r>
        <w:t xml:space="preserve">and the template provides for: </w:t>
      </w:r>
    </w:p>
    <w:p w:rsidR="0046353B" w:rsidRDefault="0046353B" w:rsidP="0046353B">
      <w:pPr>
        <w:pStyle w:val="ListParagraph"/>
        <w:numPr>
          <w:ilvl w:val="0"/>
          <w:numId w:val="42"/>
        </w:numPr>
        <w:spacing w:before="120"/>
        <w:outlineLvl w:val="0"/>
      </w:pPr>
      <w:r>
        <w:t xml:space="preserve">Observations that lead to a determination that there are no fundamental reasons why standards development could not go forward </w:t>
      </w:r>
    </w:p>
    <w:p w:rsidR="0046353B" w:rsidRDefault="0046353B" w:rsidP="0046353B">
      <w:pPr>
        <w:pStyle w:val="ListParagraph"/>
        <w:numPr>
          <w:ilvl w:val="0"/>
          <w:numId w:val="42"/>
        </w:numPr>
        <w:spacing w:before="120"/>
        <w:outlineLvl w:val="0"/>
      </w:pPr>
      <w:r>
        <w:t>If there is fundamental disagreements for standards development, they are to be highlighted for consideration</w:t>
      </w:r>
    </w:p>
    <w:p w:rsidR="005B5BC3" w:rsidRDefault="0046353B" w:rsidP="005B5BC3">
      <w:pPr>
        <w:spacing w:before="120"/>
        <w:outlineLvl w:val="0"/>
      </w:pPr>
      <w:r>
        <w:t xml:space="preserve">If there are other characterizations of the standards related observations, we can raise them in comments before the June 8 meeting for discussion, or during the meeting itself.  It is our hope that we can discuss this work paper and begin to more fully complete at the June 8 GEH Committee meeting in Baltimore.  </w:t>
      </w:r>
      <w:r w:rsidR="005B5BC3">
        <w:t xml:space="preserve">This work paper represents simply a first cut to help the committee be more efficient as we begin to develop the recommendations to be put in front of the Board of Directors in September. </w:t>
      </w:r>
      <w:bookmarkStart w:id="4" w:name="_GoBack"/>
      <w:bookmarkEnd w:id="4"/>
    </w:p>
    <w:bookmarkEnd w:id="0"/>
    <w:bookmarkEnd w:id="1"/>
    <w:bookmarkEnd w:id="2"/>
    <w:bookmarkEnd w:id="3"/>
    <w:p w:rsidR="005B5BC3" w:rsidRDefault="005B5BC3">
      <w:pPr>
        <w:sectPr w:rsidR="005B5BC3" w:rsidSect="005A7C65">
          <w:headerReference w:type="default" r:id="rId9"/>
          <w:footerReference w:type="default" r:id="rId10"/>
          <w:pgSz w:w="12240" w:h="15840" w:code="1"/>
          <w:pgMar w:top="1440" w:right="1440" w:bottom="1440" w:left="1440" w:header="720" w:footer="720" w:gutter="0"/>
          <w:cols w:space="720"/>
          <w:docGrid w:linePitch="360"/>
        </w:sectPr>
      </w:pPr>
    </w:p>
    <w:p w:rsidR="005B5BC3" w:rsidRPr="005B5BC3" w:rsidRDefault="005B5BC3" w:rsidP="006414C4">
      <w:pPr>
        <w:spacing w:before="120" w:after="240"/>
        <w:rPr>
          <w:b/>
        </w:rPr>
      </w:pPr>
      <w:r w:rsidRPr="005B5BC3">
        <w:rPr>
          <w:b/>
        </w:rPr>
        <w:lastRenderedPageBreak/>
        <w:t>OPENING STATEMENT ITEMS:</w:t>
      </w:r>
    </w:p>
    <w:p w:rsidR="005B5BC3" w:rsidRDefault="005B5BC3" w:rsidP="00946EE3">
      <w:pPr>
        <w:pStyle w:val="ListParagraph"/>
        <w:numPr>
          <w:ilvl w:val="0"/>
          <w:numId w:val="43"/>
        </w:numPr>
        <w:spacing w:before="120" w:after="120"/>
        <w:ind w:left="360"/>
        <w:contextualSpacing w:val="0"/>
      </w:pPr>
      <w:r>
        <w:t xml:space="preserve">We are not trying to solve all GEH </w:t>
      </w:r>
      <w:r w:rsidR="009A7461">
        <w:t>issue</w:t>
      </w:r>
      <w:r>
        <w:t xml:space="preserve">s with standards. </w:t>
      </w:r>
    </w:p>
    <w:p w:rsidR="005B5BC3" w:rsidRDefault="005B5BC3" w:rsidP="00946EE3">
      <w:pPr>
        <w:pStyle w:val="ListParagraph"/>
        <w:numPr>
          <w:ilvl w:val="0"/>
          <w:numId w:val="43"/>
        </w:numPr>
        <w:tabs>
          <w:tab w:val="left" w:pos="720"/>
        </w:tabs>
        <w:spacing w:before="120" w:after="120"/>
        <w:contextualSpacing w:val="0"/>
      </w:pPr>
      <w:r>
        <w:t>Should additional capacity be needed</w:t>
      </w:r>
      <w:r w:rsidR="00A64104">
        <w:t>,</w:t>
      </w:r>
      <w:r>
        <w:t xml:space="preserve">  standards will not build that capacity.</w:t>
      </w:r>
    </w:p>
    <w:p w:rsidR="005B5BC3" w:rsidRDefault="006414C4" w:rsidP="00946EE3">
      <w:pPr>
        <w:pStyle w:val="ListParagraph"/>
        <w:numPr>
          <w:ilvl w:val="0"/>
          <w:numId w:val="43"/>
        </w:numPr>
        <w:tabs>
          <w:tab w:val="left" w:pos="720"/>
        </w:tabs>
        <w:spacing w:before="120" w:after="120"/>
        <w:contextualSpacing w:val="0"/>
      </w:pPr>
      <w:r>
        <w:t xml:space="preserve">If </w:t>
      </w:r>
      <w:r w:rsidR="005B5BC3">
        <w:t xml:space="preserve"> regional arrangements </w:t>
      </w:r>
      <w:r w:rsidR="003F2FED">
        <w:t xml:space="preserve">did </w:t>
      </w:r>
      <w:r w:rsidR="005B5BC3">
        <w:t xml:space="preserve">not lend themselves to </w:t>
      </w:r>
      <w:r>
        <w:t xml:space="preserve">the </w:t>
      </w:r>
      <w:r w:rsidR="005B5BC3">
        <w:t xml:space="preserve">broader uniformity </w:t>
      </w:r>
      <w:r>
        <w:t>provided when creating standards</w:t>
      </w:r>
      <w:r w:rsidR="00946EE3">
        <w:t xml:space="preserve"> </w:t>
      </w:r>
      <w:r w:rsidR="005B5BC3">
        <w:t xml:space="preserve">with regional </w:t>
      </w:r>
      <w:r w:rsidR="003F2FED">
        <w:t>differentiation</w:t>
      </w:r>
      <w:r w:rsidR="00A64104">
        <w:t xml:space="preserve">, </w:t>
      </w:r>
      <w:r w:rsidR="005B5BC3">
        <w:t xml:space="preserve"> standards would not be </w:t>
      </w:r>
      <w:r w:rsidR="003F2FED">
        <w:t>appropriate.</w:t>
      </w:r>
    </w:p>
    <w:p w:rsidR="005B5BC3" w:rsidRDefault="005B5BC3" w:rsidP="00946EE3">
      <w:pPr>
        <w:pStyle w:val="ListParagraph"/>
        <w:numPr>
          <w:ilvl w:val="0"/>
          <w:numId w:val="43"/>
        </w:numPr>
        <w:tabs>
          <w:tab w:val="left" w:pos="720"/>
        </w:tabs>
        <w:spacing w:before="120" w:after="120"/>
        <w:contextualSpacing w:val="0"/>
      </w:pPr>
      <w:r>
        <w:t>When policy clarifications are needed or new policy would be helpful in addressing GEH issues</w:t>
      </w:r>
      <w:r w:rsidR="00A64104">
        <w:t xml:space="preserve">. </w:t>
      </w:r>
      <w:r>
        <w:t xml:space="preserve"> </w:t>
      </w:r>
      <w:r w:rsidR="003F2FED">
        <w:t>these do</w:t>
      </w:r>
      <w:r>
        <w:t xml:space="preserve"> not necessarily imply that standards development </w:t>
      </w:r>
      <w:r w:rsidR="003F2FED">
        <w:t xml:space="preserve">would </w:t>
      </w:r>
      <w:r>
        <w:t>follow.</w:t>
      </w:r>
    </w:p>
    <w:p w:rsidR="005B5BC3" w:rsidRDefault="003F2FED" w:rsidP="00946EE3">
      <w:pPr>
        <w:pStyle w:val="ListParagraph"/>
        <w:numPr>
          <w:ilvl w:val="0"/>
          <w:numId w:val="43"/>
        </w:numPr>
        <w:spacing w:before="120" w:after="120"/>
        <w:ind w:left="360"/>
        <w:contextualSpacing w:val="0"/>
      </w:pPr>
      <w:r>
        <w:t>O</w:t>
      </w:r>
      <w:r w:rsidR="005B5BC3">
        <w:t xml:space="preserve">bservations identified as either primarily or secondarily related to standards development were done so because </w:t>
      </w:r>
      <w:r>
        <w:t>the committee found no</w:t>
      </w:r>
      <w:r w:rsidR="005B5BC3">
        <w:t xml:space="preserve"> </w:t>
      </w:r>
      <w:r w:rsidR="0075732D">
        <w:t xml:space="preserve">fundamental </w:t>
      </w:r>
      <w:r w:rsidR="005B5BC3">
        <w:t xml:space="preserve">reasons </w:t>
      </w:r>
      <w:r w:rsidR="0075732D">
        <w:t xml:space="preserve">why the industry should not consider </w:t>
      </w:r>
      <w:r>
        <w:t xml:space="preserve">developing </w:t>
      </w:r>
      <w:r w:rsidR="0075732D">
        <w:t xml:space="preserve">standards to </w:t>
      </w:r>
      <w:r>
        <w:t xml:space="preserve">assist </w:t>
      </w:r>
      <w:r w:rsidR="0075732D">
        <w:t>the market in addressing GEH issues.</w:t>
      </w:r>
    </w:p>
    <w:p w:rsidR="0075732D" w:rsidRDefault="00A64104" w:rsidP="00946EE3">
      <w:pPr>
        <w:pStyle w:val="ListParagraph"/>
        <w:numPr>
          <w:ilvl w:val="0"/>
          <w:numId w:val="43"/>
        </w:numPr>
        <w:spacing w:before="120" w:after="120"/>
        <w:ind w:left="360"/>
        <w:contextualSpacing w:val="0"/>
      </w:pPr>
      <w:r>
        <w:t xml:space="preserve">Where </w:t>
      </w:r>
      <w:r w:rsidR="0075732D">
        <w:t xml:space="preserve">the committee </w:t>
      </w:r>
      <w:r>
        <w:t xml:space="preserve">has </w:t>
      </w:r>
      <w:r w:rsidR="003F2FED">
        <w:t>found</w:t>
      </w:r>
      <w:r w:rsidR="0075732D">
        <w:t xml:space="preserve"> </w:t>
      </w:r>
      <w:r w:rsidR="003F2FED">
        <w:t xml:space="preserve">fundamental reasons </w:t>
      </w:r>
      <w:r w:rsidR="0075732D">
        <w:t xml:space="preserve">why standards should not be developed, </w:t>
      </w:r>
      <w:r>
        <w:t xml:space="preserve"> </w:t>
      </w:r>
      <w:r w:rsidR="0075732D">
        <w:t xml:space="preserve">they will be </w:t>
      </w:r>
      <w:r w:rsidR="003F2FED">
        <w:t>so stated</w:t>
      </w:r>
      <w:r w:rsidR="0075732D">
        <w:t xml:space="preserve">. </w:t>
      </w:r>
    </w:p>
    <w:p w:rsidR="005B5BC3" w:rsidRDefault="00946EE3" w:rsidP="006414C4">
      <w:pPr>
        <w:keepNext/>
        <w:spacing w:before="360" w:after="240"/>
        <w:rPr>
          <w:b/>
        </w:rPr>
      </w:pPr>
      <w:r>
        <w:rPr>
          <w:b/>
        </w:rPr>
        <w:t>RECOMMENDATIONS</w:t>
      </w:r>
      <w:r w:rsidRPr="0075732D">
        <w:rPr>
          <w:b/>
        </w:rPr>
        <w:t xml:space="preserve"> </w:t>
      </w:r>
      <w:r w:rsidR="0075732D" w:rsidRPr="0075732D">
        <w:rPr>
          <w:b/>
        </w:rPr>
        <w:t>THAT COULD LEAD TO STANDARDS DEVELOPMENT:</w:t>
      </w:r>
    </w:p>
    <w:p w:rsidR="0075732D" w:rsidRPr="00946EE3" w:rsidRDefault="00946EE3" w:rsidP="006414C4">
      <w:pPr>
        <w:pStyle w:val="ListParagraph"/>
        <w:keepNext/>
        <w:spacing w:before="360"/>
        <w:ind w:left="360" w:hanging="360"/>
      </w:pPr>
      <w:r>
        <w:t>1.</w:t>
      </w:r>
      <w:r>
        <w:tab/>
      </w:r>
      <w:r w:rsidR="007D1C03">
        <w:t>Greater flexibility in scheduling gas transportation services and related requirements may lead to standards development or revisions of existing standards and should be considered by the NAESB organization</w:t>
      </w:r>
      <w:r>
        <w:t>.</w:t>
      </w:r>
    </w:p>
    <w:p w:rsidR="00946EE3" w:rsidRDefault="00946EE3" w:rsidP="007D1C03">
      <w:pPr>
        <w:pStyle w:val="ListParagraph"/>
        <w:numPr>
          <w:ilvl w:val="0"/>
          <w:numId w:val="47"/>
        </w:numPr>
        <w:spacing w:before="120"/>
        <w:ind w:left="720"/>
        <w:contextualSpacing w:val="0"/>
      </w:pPr>
      <w:r>
        <w:t xml:space="preserve">This recommendation incorporates observations  noted for:  1.1, </w:t>
      </w:r>
      <w:r w:rsidR="007D1C03">
        <w:t>1.2, 1.3</w:t>
      </w:r>
      <w:r w:rsidR="000545EF">
        <w:t xml:space="preserve">, </w:t>
      </w:r>
      <w:r w:rsidR="007D1C03">
        <w:t>1.4</w:t>
      </w:r>
      <w:r w:rsidR="000545EF">
        <w:t>, 1.6, 1.7, 1.8, 1.10, 1.11</w:t>
      </w:r>
      <w:r w:rsidR="008A0A0E">
        <w:t>, 2.15</w:t>
      </w:r>
    </w:p>
    <w:p w:rsidR="00946EE3" w:rsidRDefault="00946EE3" w:rsidP="00946EE3">
      <w:pPr>
        <w:pStyle w:val="ListParagraph"/>
        <w:numPr>
          <w:ilvl w:val="0"/>
          <w:numId w:val="47"/>
        </w:numPr>
        <w:spacing w:before="120" w:after="120"/>
        <w:ind w:left="720"/>
        <w:contextualSpacing w:val="0"/>
      </w:pPr>
      <w:r>
        <w:t xml:space="preserve">The recommendation is linked to similar </w:t>
      </w:r>
      <w:r w:rsidR="007D1C03">
        <w:t xml:space="preserve">NAESB </w:t>
      </w:r>
      <w:r>
        <w:t>standards that</w:t>
      </w:r>
      <w:r w:rsidR="007D1C03">
        <w:t xml:space="preserve"> have been defined for intraday scheduling, </w:t>
      </w:r>
      <w:r w:rsidR="006414C4">
        <w:t xml:space="preserve">scheduling and confirmations, and </w:t>
      </w:r>
      <w:r w:rsidR="007D1C03">
        <w:t>bumping rules</w:t>
      </w:r>
      <w:r w:rsidR="006414C4">
        <w:t>.</w:t>
      </w:r>
      <w:r w:rsidR="007D1C03">
        <w:t xml:space="preserve">  Those standards may require changes if standards development for this item in undertaken.</w:t>
      </w:r>
    </w:p>
    <w:p w:rsidR="00F53C49" w:rsidRDefault="00F53C49" w:rsidP="00946EE3">
      <w:pPr>
        <w:pStyle w:val="ListParagraph"/>
        <w:numPr>
          <w:ilvl w:val="0"/>
          <w:numId w:val="47"/>
        </w:numPr>
        <w:spacing w:before="120" w:after="120"/>
        <w:ind w:left="720"/>
        <w:contextualSpacing w:val="0"/>
      </w:pPr>
      <w:r>
        <w:t>Fundamental reasons why standards development in this area should be undertaken:</w:t>
      </w:r>
    </w:p>
    <w:p w:rsidR="00F53C49" w:rsidRDefault="00DC6648" w:rsidP="00840991">
      <w:pPr>
        <w:pStyle w:val="ListParagraph"/>
        <w:numPr>
          <w:ilvl w:val="0"/>
          <w:numId w:val="47"/>
        </w:numPr>
        <w:tabs>
          <w:tab w:val="left" w:pos="1080"/>
        </w:tabs>
        <w:spacing w:before="120" w:after="120"/>
        <w:ind w:left="1080"/>
        <w:contextualSpacing w:val="0"/>
        <w:jc w:val="both"/>
      </w:pPr>
      <w:r>
        <w:t xml:space="preserve">This recommendation is linked to Recommendation 2 in identifying ways to improve the gas-electric interface to ensure </w:t>
      </w:r>
      <w:r w:rsidR="00032EE7">
        <w:t xml:space="preserve">daily </w:t>
      </w:r>
      <w:r>
        <w:t xml:space="preserve">gas availability for generation in the most reliable, </w:t>
      </w:r>
      <w:r w:rsidR="00032EE7">
        <w:t xml:space="preserve"> </w:t>
      </w:r>
      <w:r>
        <w:t>economica</w:t>
      </w:r>
      <w:r w:rsidR="00032EE7">
        <w:t>lly rational</w:t>
      </w:r>
      <w:r w:rsidR="00F53C49">
        <w:t xml:space="preserve"> </w:t>
      </w:r>
      <w:r w:rsidR="00032EE7">
        <w:t>way</w:t>
      </w:r>
      <w:r>
        <w:t xml:space="preserve"> to </w:t>
      </w:r>
      <w:r w:rsidR="000F7B41">
        <w:t>benefit</w:t>
      </w:r>
      <w:r>
        <w:t xml:space="preserve"> the largest </w:t>
      </w:r>
      <w:r w:rsidR="002236D8">
        <w:t>number</w:t>
      </w:r>
      <w:r>
        <w:t xml:space="preserve"> of </w:t>
      </w:r>
      <w:r w:rsidR="00032EE7">
        <w:t>c</w:t>
      </w:r>
      <w:r>
        <w:t>ommerc</w:t>
      </w:r>
      <w:r w:rsidR="002236D8">
        <w:t>i</w:t>
      </w:r>
      <w:r>
        <w:t>al participants.  In this instance,</w:t>
      </w:r>
      <w:r w:rsidR="00032EE7">
        <w:t xml:space="preserve"> </w:t>
      </w:r>
      <w:r>
        <w:t>it is recommended that the existing rules governing the scheduling and holding of pipeline capacity be revised to allow</w:t>
      </w:r>
      <w:r w:rsidR="00F53C49">
        <w:t xml:space="preserve"> for more flexible intraday nominations without penalties to enable a </w:t>
      </w:r>
      <w:r w:rsidR="00D13A38">
        <w:t>superior</w:t>
      </w:r>
      <w:r w:rsidR="00F53C49">
        <w:t xml:space="preserve"> allocation of available capacity to generation</w:t>
      </w:r>
      <w:r w:rsidR="00032EE7">
        <w:t xml:space="preserve"> customers </w:t>
      </w:r>
      <w:r w:rsidR="00F53C49">
        <w:t>dependent upon gas takes to meet their</w:t>
      </w:r>
      <w:r w:rsidR="00032EE7">
        <w:t xml:space="preserve"> daily</w:t>
      </w:r>
      <w:r w:rsidR="00F53C49">
        <w:t xml:space="preserve"> delivery requirements. </w:t>
      </w:r>
      <w:r w:rsidR="00032EE7">
        <w:t>This goes hand in hand with the need to revise the</w:t>
      </w:r>
      <w:r w:rsidR="00D13A38">
        <w:t xml:space="preserve"> pipeline capacity and</w:t>
      </w:r>
      <w:r w:rsidR="00032EE7">
        <w:t xml:space="preserve"> market clearing</w:t>
      </w:r>
      <w:r w:rsidR="00D13A38">
        <w:t xml:space="preserve"> </w:t>
      </w:r>
      <w:r w:rsidR="00032EE7">
        <w:t xml:space="preserve"> timelines to harmonize the gas-electric interface.</w:t>
      </w:r>
      <w:r>
        <w:t xml:space="preserve">  </w:t>
      </w:r>
    </w:p>
    <w:p w:rsidR="00840991" w:rsidRDefault="00840991" w:rsidP="00840991">
      <w:pPr>
        <w:pStyle w:val="ListParagraph"/>
        <w:numPr>
          <w:ilvl w:val="0"/>
          <w:numId w:val="47"/>
        </w:numPr>
        <w:tabs>
          <w:tab w:val="left" w:pos="1080"/>
        </w:tabs>
        <w:spacing w:before="120" w:after="120"/>
        <w:ind w:left="1080"/>
        <w:contextualSpacing w:val="0"/>
        <w:jc w:val="both"/>
      </w:pPr>
    </w:p>
    <w:p w:rsidR="007D1C03" w:rsidRDefault="007D1C03" w:rsidP="00946EE3">
      <w:pPr>
        <w:pStyle w:val="ListParagraph"/>
        <w:numPr>
          <w:ilvl w:val="0"/>
          <w:numId w:val="47"/>
        </w:numPr>
        <w:spacing w:before="120" w:after="120"/>
        <w:ind w:left="720"/>
        <w:contextualSpacing w:val="0"/>
      </w:pPr>
      <w:r>
        <w:t>Fundamental reasons why standards development in this area should not be undertaken:</w:t>
      </w:r>
    </w:p>
    <w:p w:rsidR="007D1C03" w:rsidRDefault="00840991" w:rsidP="007D1C03">
      <w:pPr>
        <w:pStyle w:val="ListParagraph"/>
        <w:numPr>
          <w:ilvl w:val="1"/>
          <w:numId w:val="47"/>
        </w:numPr>
        <w:spacing w:before="120" w:after="120"/>
        <w:ind w:left="1080"/>
        <w:contextualSpacing w:val="0"/>
      </w:pPr>
      <w:r>
        <w:t xml:space="preserve"> </w:t>
      </w:r>
    </w:p>
    <w:p w:rsidR="00840991" w:rsidRPr="00946EE3" w:rsidRDefault="00840991" w:rsidP="007D1C03">
      <w:pPr>
        <w:pStyle w:val="ListParagraph"/>
        <w:numPr>
          <w:ilvl w:val="1"/>
          <w:numId w:val="47"/>
        </w:numPr>
        <w:spacing w:before="120" w:after="120"/>
        <w:ind w:left="1080"/>
        <w:contextualSpacing w:val="0"/>
      </w:pPr>
    </w:p>
    <w:p w:rsidR="0075732D" w:rsidRDefault="009A7461" w:rsidP="007D1C03">
      <w:pPr>
        <w:pStyle w:val="ListParagraph"/>
        <w:numPr>
          <w:ilvl w:val="1"/>
          <w:numId w:val="47"/>
        </w:numPr>
        <w:tabs>
          <w:tab w:val="left" w:pos="720"/>
        </w:tabs>
        <w:ind w:left="720"/>
      </w:pPr>
      <w:r>
        <w:t>Cautionary considerations to be taken into account if standards development is to be pursued:</w:t>
      </w:r>
    </w:p>
    <w:p w:rsidR="009A7461" w:rsidRPr="009A7461" w:rsidRDefault="009A7461" w:rsidP="009A7461">
      <w:pPr>
        <w:pStyle w:val="ListParagraph"/>
        <w:numPr>
          <w:ilvl w:val="1"/>
          <w:numId w:val="47"/>
        </w:numPr>
        <w:tabs>
          <w:tab w:val="left" w:pos="1080"/>
        </w:tabs>
        <w:spacing w:before="120"/>
        <w:ind w:left="1080"/>
        <w:contextualSpacing w:val="0"/>
      </w:pPr>
    </w:p>
    <w:p w:rsidR="009A7461" w:rsidRPr="00946EE3" w:rsidRDefault="009A7461" w:rsidP="006414C4">
      <w:pPr>
        <w:pStyle w:val="ListParagraph"/>
        <w:keepNext/>
        <w:spacing w:before="360"/>
        <w:ind w:left="360" w:hanging="360"/>
        <w:contextualSpacing w:val="0"/>
      </w:pPr>
      <w:r>
        <w:lastRenderedPageBreak/>
        <w:t>2.</w:t>
      </w:r>
      <w:r>
        <w:tab/>
        <w:t xml:space="preserve">Market clearing times for natural gas and electricity </w:t>
      </w:r>
      <w:r w:rsidR="000545EF">
        <w:t>sh</w:t>
      </w:r>
      <w:r>
        <w:t>ould be considered and modifications incorporated into standards</w:t>
      </w:r>
      <w:r w:rsidR="000545EF">
        <w:t xml:space="preserve"> to support at a minimum </w:t>
      </w:r>
      <w:r>
        <w:t xml:space="preserve">additional communications </w:t>
      </w:r>
      <w:r w:rsidR="000545EF">
        <w:t>between the two markets, and possibly changes in timelines for the markets.</w:t>
      </w:r>
    </w:p>
    <w:p w:rsidR="009A7461" w:rsidRDefault="009A7461" w:rsidP="009A7461">
      <w:pPr>
        <w:pStyle w:val="ListParagraph"/>
        <w:numPr>
          <w:ilvl w:val="0"/>
          <w:numId w:val="47"/>
        </w:numPr>
        <w:spacing w:before="120"/>
        <w:ind w:left="720"/>
        <w:contextualSpacing w:val="0"/>
      </w:pPr>
      <w:r>
        <w:t>This recommendation incorporates observations  noted for:  1.5</w:t>
      </w:r>
      <w:r w:rsidR="000545EF">
        <w:t>, 1.6</w:t>
      </w:r>
      <w:r w:rsidR="008A0A0E">
        <w:t>, 2.15</w:t>
      </w:r>
    </w:p>
    <w:p w:rsidR="009A7461" w:rsidRDefault="009A7461" w:rsidP="009A7461">
      <w:pPr>
        <w:pStyle w:val="ListParagraph"/>
        <w:numPr>
          <w:ilvl w:val="0"/>
          <w:numId w:val="47"/>
        </w:numPr>
        <w:spacing w:before="120" w:after="120"/>
        <w:ind w:left="720"/>
        <w:contextualSpacing w:val="0"/>
      </w:pPr>
      <w:r>
        <w:t xml:space="preserve">The recommendation is linked to similar NAESB standards that have been defined for </w:t>
      </w:r>
      <w:r w:rsidR="000545EF">
        <w:t>natural gas timelines</w:t>
      </w:r>
      <w:r w:rsidR="006414C4">
        <w:t xml:space="preserve"> --</w:t>
      </w:r>
      <w:r w:rsidR="000545EF">
        <w:t xml:space="preserve"> which could impact capacity release program timelines, </w:t>
      </w:r>
      <w:r w:rsidR="006414C4">
        <w:t xml:space="preserve">and </w:t>
      </w:r>
      <w:r w:rsidR="000545EF">
        <w:t>communications between pipeline operators and generator facility operators</w:t>
      </w:r>
      <w:r w:rsidR="006414C4">
        <w:t>.</w:t>
      </w:r>
      <w:r w:rsidR="000545EF">
        <w:t xml:space="preserve"> </w:t>
      </w:r>
      <w:r w:rsidR="00B26E0F">
        <w:t xml:space="preserve"> </w:t>
      </w:r>
      <w:r>
        <w:t>Those standards may require changes if standards development for this item in undertaken.</w:t>
      </w:r>
    </w:p>
    <w:p w:rsidR="000F7B41" w:rsidRDefault="000F7B41" w:rsidP="000F7B41">
      <w:pPr>
        <w:pStyle w:val="ListParagraph"/>
        <w:numPr>
          <w:ilvl w:val="0"/>
          <w:numId w:val="47"/>
        </w:numPr>
        <w:spacing w:before="120" w:after="120"/>
        <w:ind w:left="720"/>
        <w:contextualSpacing w:val="0"/>
      </w:pPr>
      <w:r>
        <w:t>Fundamental reasons why standards development in this area should be undertaken:</w:t>
      </w:r>
    </w:p>
    <w:p w:rsidR="000F7B41" w:rsidRDefault="003636AF" w:rsidP="00840991">
      <w:pPr>
        <w:pStyle w:val="ListParagraph"/>
        <w:numPr>
          <w:ilvl w:val="0"/>
          <w:numId w:val="47"/>
        </w:numPr>
        <w:tabs>
          <w:tab w:val="left" w:pos="1080"/>
        </w:tabs>
        <w:spacing w:before="120" w:after="120"/>
        <w:ind w:left="1080"/>
        <w:contextualSpacing w:val="0"/>
        <w:jc w:val="both"/>
      </w:pPr>
      <w:r>
        <w:t xml:space="preserve">This recommendation is linked to Recommendation 1 above. </w:t>
      </w:r>
      <w:r w:rsidR="000F7B41">
        <w:t xml:space="preserve">The </w:t>
      </w:r>
      <w:r w:rsidR="000C0325">
        <w:t>unsynchronized</w:t>
      </w:r>
      <w:r w:rsidR="005666C6">
        <w:t xml:space="preserve"> timelines</w:t>
      </w:r>
      <w:r w:rsidR="000F7B41">
        <w:t xml:space="preserve"> between the nomination</w:t>
      </w:r>
      <w:r w:rsidR="000C0325">
        <w:t xml:space="preserve"> periods</w:t>
      </w:r>
      <w:r w:rsidR="000F7B41">
        <w:t xml:space="preserve"> </w:t>
      </w:r>
      <w:r w:rsidR="000C0325">
        <w:t>for</w:t>
      </w:r>
      <w:r w:rsidR="000F7B41">
        <w:t xml:space="preserve"> </w:t>
      </w:r>
      <w:r w:rsidR="005666C6">
        <w:t xml:space="preserve">pipeline </w:t>
      </w:r>
      <w:r w:rsidR="000F7B41">
        <w:t>capacity</w:t>
      </w:r>
      <w:r w:rsidR="005666C6">
        <w:t>, on the one hand, and the market clearing times for power dispatch</w:t>
      </w:r>
      <w:r>
        <w:t xml:space="preserve"> in organized markets</w:t>
      </w:r>
      <w:r w:rsidR="005666C6">
        <w:t xml:space="preserve">, on the other, are well known. If both </w:t>
      </w:r>
      <w:r w:rsidR="000C0325">
        <w:t xml:space="preserve">the gas and electricity  </w:t>
      </w:r>
      <w:r w:rsidR="005666C6">
        <w:t xml:space="preserve">sectors </w:t>
      </w:r>
      <w:r w:rsidR="000C0325">
        <w:t xml:space="preserve">want to ensure </w:t>
      </w:r>
      <w:r w:rsidR="005666C6">
        <w:t xml:space="preserve">power reliability in a scenario of </w:t>
      </w:r>
      <w:r w:rsidR="005479BC">
        <w:t>significantly</w:t>
      </w:r>
      <w:r>
        <w:t xml:space="preserve"> </w:t>
      </w:r>
      <w:r w:rsidR="005666C6">
        <w:t>higher gas dependency for power generation, this matter must be addressed to seek solutions broadly acceptable to as many commercial participants as possible</w:t>
      </w:r>
      <w:r w:rsidR="000C0325">
        <w:t>, and to inquire whether standards should be developed.</w:t>
      </w:r>
      <w:r w:rsidR="005666C6">
        <w:t xml:space="preserve">    </w:t>
      </w:r>
      <w:r w:rsidR="000F7B41">
        <w:t xml:space="preserve">  </w:t>
      </w:r>
    </w:p>
    <w:p w:rsidR="009A7461" w:rsidRDefault="009A7461" w:rsidP="009A7461">
      <w:pPr>
        <w:pStyle w:val="ListParagraph"/>
        <w:numPr>
          <w:ilvl w:val="0"/>
          <w:numId w:val="47"/>
        </w:numPr>
        <w:spacing w:before="120" w:after="120"/>
        <w:ind w:left="720"/>
        <w:contextualSpacing w:val="0"/>
      </w:pPr>
      <w:r>
        <w:t>Fundamental reasons why standards development in this area should not be undertaken:</w:t>
      </w:r>
    </w:p>
    <w:p w:rsidR="009A7461" w:rsidRDefault="00840991" w:rsidP="009A7461">
      <w:pPr>
        <w:pStyle w:val="ListParagraph"/>
        <w:numPr>
          <w:ilvl w:val="1"/>
          <w:numId w:val="47"/>
        </w:numPr>
        <w:spacing w:before="120" w:after="120"/>
        <w:ind w:left="1080"/>
        <w:contextualSpacing w:val="0"/>
      </w:pPr>
      <w:r>
        <w:t xml:space="preserve"> </w:t>
      </w:r>
    </w:p>
    <w:p w:rsidR="00840991" w:rsidRPr="00946EE3" w:rsidRDefault="00840991" w:rsidP="009A7461">
      <w:pPr>
        <w:pStyle w:val="ListParagraph"/>
        <w:numPr>
          <w:ilvl w:val="1"/>
          <w:numId w:val="47"/>
        </w:numPr>
        <w:spacing w:before="120" w:after="120"/>
        <w:ind w:left="1080"/>
        <w:contextualSpacing w:val="0"/>
      </w:pPr>
    </w:p>
    <w:p w:rsidR="009A7461" w:rsidRDefault="009A7461" w:rsidP="006414C4">
      <w:pPr>
        <w:pStyle w:val="ListParagraph"/>
        <w:keepNext/>
        <w:numPr>
          <w:ilvl w:val="1"/>
          <w:numId w:val="47"/>
        </w:numPr>
        <w:tabs>
          <w:tab w:val="left" w:pos="720"/>
        </w:tabs>
        <w:ind w:left="720"/>
      </w:pPr>
      <w:r>
        <w:t>Cautionary considerations to be taken into account if standards development is to be pursued:</w:t>
      </w:r>
    </w:p>
    <w:p w:rsidR="009A7461" w:rsidRPr="009A7461" w:rsidRDefault="009A7461" w:rsidP="009A7461">
      <w:pPr>
        <w:pStyle w:val="ListParagraph"/>
        <w:numPr>
          <w:ilvl w:val="1"/>
          <w:numId w:val="47"/>
        </w:numPr>
        <w:tabs>
          <w:tab w:val="left" w:pos="1080"/>
        </w:tabs>
        <w:spacing w:before="120"/>
        <w:ind w:left="1080"/>
        <w:contextualSpacing w:val="0"/>
      </w:pPr>
    </w:p>
    <w:p w:rsidR="009A7461" w:rsidRPr="00946EE3" w:rsidRDefault="009A7461" w:rsidP="006414C4">
      <w:pPr>
        <w:pStyle w:val="ListParagraph"/>
        <w:keepNext/>
        <w:spacing w:before="360"/>
        <w:ind w:left="360" w:hanging="360"/>
        <w:contextualSpacing w:val="0"/>
      </w:pPr>
      <w:r>
        <w:t>3..</w:t>
      </w:r>
      <w:r>
        <w:tab/>
      </w:r>
      <w:r w:rsidR="000545EF">
        <w:t xml:space="preserve">Transparency reporting </w:t>
      </w:r>
      <w:r w:rsidR="000864D6">
        <w:t xml:space="preserve">and posting of information </w:t>
      </w:r>
      <w:r w:rsidR="000545EF">
        <w:t xml:space="preserve">should be considered for standards development to assist in addressing GEH issues </w:t>
      </w:r>
      <w:r w:rsidR="008A0A0E">
        <w:t>related to</w:t>
      </w:r>
      <w:r w:rsidR="006414C4">
        <w:t xml:space="preserve"> </w:t>
      </w:r>
      <w:r w:rsidR="000864D6">
        <w:t>(1)</w:t>
      </w:r>
      <w:r w:rsidR="008A0A0E">
        <w:t xml:space="preserve"> the status of  generation and pipeline capacity, </w:t>
      </w:r>
      <w:r w:rsidR="000864D6">
        <w:t xml:space="preserve">(2) </w:t>
      </w:r>
      <w:r w:rsidR="008A0A0E">
        <w:t>posting of scheduling and capacity information by major non-interstate natural gas pipelines,</w:t>
      </w:r>
      <w:r w:rsidR="000864D6">
        <w:t>(3)</w:t>
      </w:r>
      <w:r w:rsidR="008A0A0E">
        <w:t>access to critical infrastructure information needed b</w:t>
      </w:r>
      <w:r w:rsidR="000864D6">
        <w:t xml:space="preserve">y electric service providers in </w:t>
      </w:r>
      <w:r w:rsidR="008A0A0E">
        <w:t xml:space="preserve">curtailment conditions including </w:t>
      </w:r>
      <w:r w:rsidR="000864D6">
        <w:t>information on gas fired generators</w:t>
      </w:r>
      <w:r w:rsidR="008A0A0E">
        <w:t xml:space="preserve">, </w:t>
      </w:r>
      <w:r w:rsidR="000864D6">
        <w:t xml:space="preserve">(4) support of decision enabling tools related to contingency response and day-of-service operations, </w:t>
      </w:r>
      <w:r w:rsidR="006414C4">
        <w:t xml:space="preserve">and </w:t>
      </w:r>
      <w:r w:rsidR="000864D6">
        <w:t>(5) the creation of an information clearinghouse similar to functions provided by ISOs and RTOs for those entities that are not represented in ISO and RTO footprints</w:t>
      </w:r>
      <w:r w:rsidR="006414C4">
        <w:t>.</w:t>
      </w:r>
    </w:p>
    <w:p w:rsidR="009A7461" w:rsidRDefault="009A7461" w:rsidP="009A7461">
      <w:pPr>
        <w:pStyle w:val="ListParagraph"/>
        <w:numPr>
          <w:ilvl w:val="0"/>
          <w:numId w:val="47"/>
        </w:numPr>
        <w:spacing w:before="120"/>
        <w:ind w:left="720"/>
        <w:contextualSpacing w:val="0"/>
      </w:pPr>
      <w:r>
        <w:t>This recommendation incorporates observations  noted for:  1.</w:t>
      </w:r>
      <w:r w:rsidR="000545EF">
        <w:t xml:space="preserve">12, </w:t>
      </w:r>
      <w:r w:rsidR="008A0A0E">
        <w:t>3.3, 3.4, 3.5</w:t>
      </w:r>
      <w:r w:rsidR="000864D6">
        <w:t>, 4.1, 4.4, 4.6</w:t>
      </w:r>
      <w:r w:rsidR="006414C4">
        <w:t>, 4.7</w:t>
      </w:r>
    </w:p>
    <w:p w:rsidR="009A7461" w:rsidRDefault="009A7461" w:rsidP="009A7461">
      <w:pPr>
        <w:pStyle w:val="ListParagraph"/>
        <w:numPr>
          <w:ilvl w:val="0"/>
          <w:numId w:val="47"/>
        </w:numPr>
        <w:spacing w:before="120" w:after="120"/>
        <w:ind w:left="720"/>
        <w:contextualSpacing w:val="0"/>
      </w:pPr>
      <w:r>
        <w:t xml:space="preserve">The recommendation is linked to similar NAESB standards that have been defined for NAESB </w:t>
      </w:r>
      <w:r w:rsidR="00E3024B">
        <w:t>for  scheduling and for communications between pipeline operators and generation facility operators.</w:t>
      </w:r>
      <w:r>
        <w:t xml:space="preserve">  Those standards may require changes if standards development for this item in undertaken.</w:t>
      </w:r>
    </w:p>
    <w:p w:rsidR="003636AF" w:rsidRDefault="003636AF" w:rsidP="003636AF">
      <w:pPr>
        <w:pStyle w:val="ListParagraph"/>
        <w:numPr>
          <w:ilvl w:val="0"/>
          <w:numId w:val="47"/>
        </w:numPr>
        <w:spacing w:before="120" w:after="120"/>
        <w:ind w:left="720"/>
        <w:contextualSpacing w:val="0"/>
      </w:pPr>
      <w:r>
        <w:t>Fundamental reasons why standards development in this area should be undertaken:</w:t>
      </w:r>
    </w:p>
    <w:p w:rsidR="00840991" w:rsidRDefault="003636AF" w:rsidP="00840991">
      <w:pPr>
        <w:pStyle w:val="ListParagraph"/>
        <w:numPr>
          <w:ilvl w:val="0"/>
          <w:numId w:val="47"/>
        </w:numPr>
        <w:tabs>
          <w:tab w:val="left" w:pos="1080"/>
        </w:tabs>
        <w:spacing w:before="120" w:after="120"/>
        <w:ind w:left="1080"/>
        <w:contextualSpacing w:val="0"/>
        <w:jc w:val="both"/>
      </w:pPr>
      <w:r>
        <w:t>This recommendation addresses the need for improved</w:t>
      </w:r>
      <w:r w:rsidR="003318A5">
        <w:t xml:space="preserve"> </w:t>
      </w:r>
      <w:r>
        <w:t xml:space="preserve">communications between the gas and electricity sectors to attain a higher degree of situational awareness to address instances of unforeseen capacity </w:t>
      </w:r>
      <w:r w:rsidR="005479BC">
        <w:t>constraints</w:t>
      </w:r>
      <w:r>
        <w:t xml:space="preserve"> or emergency conditions.  It also is intended to ensure a higher quality of information for all commercial participants whether or not they participate in organized power markets.  </w:t>
      </w:r>
      <w:r w:rsidR="00C26A7E">
        <w:t xml:space="preserve">While this recommendation </w:t>
      </w:r>
      <w:r>
        <w:t>build</w:t>
      </w:r>
      <w:r w:rsidR="00C26A7E">
        <w:t>s</w:t>
      </w:r>
      <w:r>
        <w:t xml:space="preserve"> upon</w:t>
      </w:r>
      <w:r w:rsidR="00C26A7E">
        <w:t xml:space="preserve"> Recommendations 1 and 2</w:t>
      </w:r>
      <w:r>
        <w:t>,</w:t>
      </w:r>
      <w:r w:rsidR="00C26A7E">
        <w:t xml:space="preserve"> it is no</w:t>
      </w:r>
      <w:r>
        <w:t xml:space="preserve">t dependent </w:t>
      </w:r>
      <w:r w:rsidR="00C26A7E">
        <w:t>upon their adoption, and can be considered separately on its own merits for purposes of standards development.</w:t>
      </w:r>
      <w:r>
        <w:t xml:space="preserve">  </w:t>
      </w:r>
      <w:r w:rsidR="00840991">
        <w:t xml:space="preserve"> </w:t>
      </w:r>
    </w:p>
    <w:p w:rsidR="003636AF" w:rsidRDefault="00840991" w:rsidP="00840991">
      <w:pPr>
        <w:pStyle w:val="ListParagraph"/>
        <w:numPr>
          <w:ilvl w:val="0"/>
          <w:numId w:val="47"/>
        </w:numPr>
        <w:tabs>
          <w:tab w:val="left" w:pos="990"/>
        </w:tabs>
        <w:spacing w:before="120" w:after="120"/>
        <w:ind w:left="720" w:firstLine="0"/>
        <w:contextualSpacing w:val="0"/>
        <w:jc w:val="both"/>
      </w:pPr>
      <w:r>
        <w:t xml:space="preserve"> </w:t>
      </w:r>
      <w:r w:rsidR="003636AF">
        <w:t xml:space="preserve"> </w:t>
      </w:r>
    </w:p>
    <w:p w:rsidR="009A7461" w:rsidRDefault="009A7461" w:rsidP="009A7461">
      <w:pPr>
        <w:pStyle w:val="ListParagraph"/>
        <w:numPr>
          <w:ilvl w:val="0"/>
          <w:numId w:val="47"/>
        </w:numPr>
        <w:spacing w:before="120" w:after="120"/>
        <w:ind w:left="720"/>
        <w:contextualSpacing w:val="0"/>
      </w:pPr>
      <w:r>
        <w:lastRenderedPageBreak/>
        <w:t>Fundamental reasons why standards development in this area should not be undertaken:</w:t>
      </w:r>
    </w:p>
    <w:p w:rsidR="009A7461" w:rsidRPr="00946EE3" w:rsidRDefault="009A7461" w:rsidP="009A7461">
      <w:pPr>
        <w:pStyle w:val="ListParagraph"/>
        <w:numPr>
          <w:ilvl w:val="1"/>
          <w:numId w:val="47"/>
        </w:numPr>
        <w:spacing w:before="120" w:after="120"/>
        <w:ind w:left="1080"/>
        <w:contextualSpacing w:val="0"/>
      </w:pPr>
    </w:p>
    <w:p w:rsidR="009A7461" w:rsidRDefault="009A7461" w:rsidP="009A7461">
      <w:pPr>
        <w:pStyle w:val="ListParagraph"/>
        <w:numPr>
          <w:ilvl w:val="1"/>
          <w:numId w:val="47"/>
        </w:numPr>
        <w:tabs>
          <w:tab w:val="left" w:pos="720"/>
        </w:tabs>
        <w:ind w:left="720"/>
      </w:pPr>
      <w:r>
        <w:t>Cautionary considerations to be taken into account if standards development is to be pursued:</w:t>
      </w:r>
    </w:p>
    <w:p w:rsidR="009A7461" w:rsidRPr="009A7461" w:rsidRDefault="009A7461" w:rsidP="009A7461">
      <w:pPr>
        <w:pStyle w:val="ListParagraph"/>
        <w:numPr>
          <w:ilvl w:val="1"/>
          <w:numId w:val="47"/>
        </w:numPr>
        <w:tabs>
          <w:tab w:val="left" w:pos="1080"/>
        </w:tabs>
        <w:spacing w:before="120"/>
        <w:ind w:left="1080"/>
        <w:contextualSpacing w:val="0"/>
      </w:pPr>
    </w:p>
    <w:p w:rsidR="009A7461" w:rsidRPr="00946EE3" w:rsidRDefault="009A7461" w:rsidP="006414C4">
      <w:pPr>
        <w:pStyle w:val="ListParagraph"/>
        <w:spacing w:before="360"/>
        <w:ind w:left="360" w:hanging="360"/>
        <w:contextualSpacing w:val="0"/>
      </w:pPr>
      <w:r>
        <w:t>4.</w:t>
      </w:r>
      <w:r>
        <w:tab/>
      </w:r>
      <w:r w:rsidR="006414C4">
        <w:t>NAESB communications protocol standards and s</w:t>
      </w:r>
      <w:r w:rsidR="000864D6">
        <w:t>ecurity standards should be reviewed to ensure they are robust enough to support additional transparency</w:t>
      </w:r>
      <w:r w:rsidR="00E3024B">
        <w:t xml:space="preserve"> reporting and postings, and</w:t>
      </w:r>
      <w:r w:rsidR="000864D6">
        <w:t xml:space="preserve"> requirements identified to ensure that confidentiality is maintained</w:t>
      </w:r>
      <w:r>
        <w:t>.</w:t>
      </w:r>
    </w:p>
    <w:p w:rsidR="009A7461" w:rsidRDefault="009A7461" w:rsidP="009A7461">
      <w:pPr>
        <w:pStyle w:val="ListParagraph"/>
        <w:numPr>
          <w:ilvl w:val="0"/>
          <w:numId w:val="47"/>
        </w:numPr>
        <w:spacing w:before="120"/>
        <w:ind w:left="720"/>
        <w:contextualSpacing w:val="0"/>
      </w:pPr>
      <w:r>
        <w:t xml:space="preserve">This recommendation incorporates observations  noted for:  </w:t>
      </w:r>
      <w:r w:rsidR="000864D6">
        <w:t>4.0</w:t>
      </w:r>
      <w:r w:rsidR="006414C4">
        <w:t>, 4.8</w:t>
      </w:r>
    </w:p>
    <w:p w:rsidR="009A7461" w:rsidRDefault="009A7461" w:rsidP="009A7461">
      <w:pPr>
        <w:pStyle w:val="ListParagraph"/>
        <w:numPr>
          <w:ilvl w:val="0"/>
          <w:numId w:val="47"/>
        </w:numPr>
        <w:spacing w:before="120" w:after="120"/>
        <w:ind w:left="720"/>
        <w:contextualSpacing w:val="0"/>
      </w:pPr>
      <w:r>
        <w:t xml:space="preserve">The recommendation is linked to similar NAESB standards that have been defined for NAESB </w:t>
      </w:r>
      <w:r w:rsidR="006414C4">
        <w:t>s</w:t>
      </w:r>
      <w:r w:rsidR="00E3024B">
        <w:t xml:space="preserve">ecurity standards </w:t>
      </w:r>
      <w:r w:rsidR="006414C4">
        <w:t>and communication protocol standards.</w:t>
      </w:r>
      <w:r>
        <w:t xml:space="preserve">  Those standards may require changes if standards development for this item in undertaken.</w:t>
      </w:r>
    </w:p>
    <w:p w:rsidR="00C26A7E" w:rsidRDefault="00C26A7E" w:rsidP="00C26A7E">
      <w:pPr>
        <w:pStyle w:val="ListParagraph"/>
        <w:numPr>
          <w:ilvl w:val="0"/>
          <w:numId w:val="47"/>
        </w:numPr>
        <w:spacing w:before="120" w:after="120"/>
        <w:ind w:left="720"/>
        <w:contextualSpacing w:val="0"/>
      </w:pPr>
      <w:r>
        <w:t>Fundamental reasons why standards development in this area should be undertaken:</w:t>
      </w:r>
    </w:p>
    <w:p w:rsidR="00C26A7E" w:rsidRDefault="003318A5" w:rsidP="00840991">
      <w:pPr>
        <w:pStyle w:val="ListParagraph"/>
        <w:numPr>
          <w:ilvl w:val="0"/>
          <w:numId w:val="47"/>
        </w:numPr>
        <w:tabs>
          <w:tab w:val="left" w:pos="1080"/>
        </w:tabs>
        <w:spacing w:before="120" w:after="120"/>
        <w:ind w:left="1080"/>
        <w:contextualSpacing w:val="0"/>
        <w:jc w:val="both"/>
      </w:pPr>
      <w:r>
        <w:t xml:space="preserve">This recommendation is intended to </w:t>
      </w:r>
      <w:r w:rsidR="005479BC">
        <w:t>complement</w:t>
      </w:r>
      <w:r>
        <w:t xml:space="preserve"> the need for openness and transparency, with the possibility of creating a formalized structure of communications between the electricity and gas sectors.  At the same time, this need for formalized, open communications needs to be tempered with adherence to the legal requirements </w:t>
      </w:r>
      <w:r w:rsidR="00C87773">
        <w:t>prohibiting</w:t>
      </w:r>
      <w:r>
        <w:t xml:space="preserve"> anticompetitive conduct, </w:t>
      </w:r>
      <w:r w:rsidR="00C87773">
        <w:t>and</w:t>
      </w:r>
      <w:r>
        <w:t xml:space="preserve"> </w:t>
      </w:r>
      <w:r w:rsidR="00C87773">
        <w:t>refraining from placing</w:t>
      </w:r>
      <w:r>
        <w:t xml:space="preserve"> into the public domain information that could </w:t>
      </w:r>
      <w:r w:rsidR="005479BC">
        <w:t>jeopardize</w:t>
      </w:r>
      <w:r>
        <w:t xml:space="preserve"> the </w:t>
      </w:r>
      <w:r w:rsidR="005479BC">
        <w:t xml:space="preserve">safety and </w:t>
      </w:r>
      <w:r>
        <w:t xml:space="preserve">security of the system.  </w:t>
      </w:r>
    </w:p>
    <w:p w:rsidR="009A7461" w:rsidRDefault="009A7461" w:rsidP="009A7461">
      <w:pPr>
        <w:pStyle w:val="ListParagraph"/>
        <w:numPr>
          <w:ilvl w:val="0"/>
          <w:numId w:val="47"/>
        </w:numPr>
        <w:spacing w:before="120" w:after="120"/>
        <w:ind w:left="720"/>
        <w:contextualSpacing w:val="0"/>
      </w:pPr>
      <w:r>
        <w:t>Fundamental reasons why standards development in this area should not be undertaken:</w:t>
      </w:r>
    </w:p>
    <w:p w:rsidR="009A7461" w:rsidRPr="00946EE3" w:rsidRDefault="009A7461" w:rsidP="009A7461">
      <w:pPr>
        <w:pStyle w:val="ListParagraph"/>
        <w:numPr>
          <w:ilvl w:val="1"/>
          <w:numId w:val="47"/>
        </w:numPr>
        <w:spacing w:before="120" w:after="120"/>
        <w:ind w:left="1080"/>
        <w:contextualSpacing w:val="0"/>
      </w:pPr>
    </w:p>
    <w:p w:rsidR="009A7461" w:rsidRDefault="009A7461" w:rsidP="009A7461">
      <w:pPr>
        <w:pStyle w:val="ListParagraph"/>
        <w:numPr>
          <w:ilvl w:val="1"/>
          <w:numId w:val="47"/>
        </w:numPr>
        <w:tabs>
          <w:tab w:val="left" w:pos="720"/>
        </w:tabs>
        <w:ind w:left="720"/>
      </w:pPr>
      <w:r>
        <w:t>Cautionary considerations to be taken into account if standards development is to be pursued:</w:t>
      </w:r>
    </w:p>
    <w:p w:rsidR="009A7461" w:rsidRPr="009A7461" w:rsidRDefault="009A7461" w:rsidP="009A7461">
      <w:pPr>
        <w:pStyle w:val="ListParagraph"/>
        <w:numPr>
          <w:ilvl w:val="1"/>
          <w:numId w:val="47"/>
        </w:numPr>
        <w:tabs>
          <w:tab w:val="left" w:pos="1080"/>
        </w:tabs>
        <w:spacing w:before="120"/>
        <w:ind w:left="1080"/>
        <w:contextualSpacing w:val="0"/>
      </w:pPr>
    </w:p>
    <w:p w:rsidR="000864D6" w:rsidRPr="00946EE3" w:rsidRDefault="000864D6" w:rsidP="006414C4">
      <w:pPr>
        <w:pStyle w:val="ListParagraph"/>
        <w:spacing w:before="360"/>
        <w:ind w:left="360" w:hanging="360"/>
        <w:contextualSpacing w:val="0"/>
      </w:pPr>
      <w:r>
        <w:t>5.</w:t>
      </w:r>
      <w:r>
        <w:tab/>
      </w:r>
      <w:r w:rsidRPr="000864D6">
        <w:t xml:space="preserve">Nuclear Power Plant Communications (Report 16, Nuclear Plant Interface Coordination – Standard NUC-001-2, NERC, April 2010, http://www.nerc.com/files/NUC-001-2.pdf) </w:t>
      </w:r>
      <w:r>
        <w:t>should be reviewed to determine if the communications standards currently supported by NAESB should be amended  to support a more formal structure.</w:t>
      </w:r>
    </w:p>
    <w:p w:rsidR="000864D6" w:rsidRDefault="000864D6" w:rsidP="000864D6">
      <w:pPr>
        <w:pStyle w:val="ListParagraph"/>
        <w:numPr>
          <w:ilvl w:val="0"/>
          <w:numId w:val="47"/>
        </w:numPr>
        <w:spacing w:before="120"/>
        <w:ind w:left="720"/>
        <w:contextualSpacing w:val="0"/>
      </w:pPr>
      <w:r>
        <w:t>This recommendation incorporates observations  noted for:  4.2</w:t>
      </w:r>
    </w:p>
    <w:p w:rsidR="000864D6" w:rsidRDefault="000864D6" w:rsidP="000864D6">
      <w:pPr>
        <w:pStyle w:val="ListParagraph"/>
        <w:numPr>
          <w:ilvl w:val="0"/>
          <w:numId w:val="47"/>
        </w:numPr>
        <w:spacing w:before="120" w:after="120"/>
        <w:ind w:left="720"/>
        <w:contextualSpacing w:val="0"/>
      </w:pPr>
      <w:r>
        <w:t>The recommendation is linked to similar NAESB standards that have been defined for communications between generation facility operators and pipeline operators.   Those standards may require changes if standards development for this item in undertaken.</w:t>
      </w:r>
    </w:p>
    <w:p w:rsidR="003318A5" w:rsidRDefault="003318A5" w:rsidP="003318A5">
      <w:pPr>
        <w:pStyle w:val="ListParagraph"/>
        <w:numPr>
          <w:ilvl w:val="0"/>
          <w:numId w:val="47"/>
        </w:numPr>
        <w:spacing w:before="120" w:after="120"/>
        <w:ind w:left="720"/>
        <w:contextualSpacing w:val="0"/>
      </w:pPr>
      <w:r>
        <w:t>Fundamental reasons why standards development in this area should be undertaken:</w:t>
      </w:r>
    </w:p>
    <w:p w:rsidR="003318A5" w:rsidRDefault="003318A5" w:rsidP="00840991">
      <w:pPr>
        <w:pStyle w:val="ListParagraph"/>
        <w:numPr>
          <w:ilvl w:val="0"/>
          <w:numId w:val="47"/>
        </w:numPr>
        <w:spacing w:before="120" w:after="120"/>
        <w:ind w:left="720"/>
        <w:contextualSpacing w:val="0"/>
        <w:jc w:val="both"/>
      </w:pPr>
      <w:r>
        <w:t xml:space="preserve">This recommendation is intended to provide a useful reference point for purposes of </w:t>
      </w:r>
      <w:r w:rsidR="005479BC">
        <w:t xml:space="preserve">acting on Recommendation 4 above.  The nuclear plant communications standards involve operation of much larger capital intensive infrastructure with a significant security component.  Nonetheless, their implementation history should be reviewed for purposes of deciding what type of formalized communications protocols NAESB should consider. </w:t>
      </w:r>
      <w:r>
        <w:t xml:space="preserve"> </w:t>
      </w:r>
    </w:p>
    <w:p w:rsidR="000864D6" w:rsidRDefault="000864D6" w:rsidP="006414C4">
      <w:pPr>
        <w:pStyle w:val="ListParagraph"/>
        <w:keepNext/>
        <w:numPr>
          <w:ilvl w:val="0"/>
          <w:numId w:val="47"/>
        </w:numPr>
        <w:spacing w:before="120" w:after="120"/>
        <w:ind w:left="720"/>
        <w:contextualSpacing w:val="0"/>
      </w:pPr>
      <w:r>
        <w:t>Fundamental reasons why standards development in this area should not be undertaken:</w:t>
      </w:r>
    </w:p>
    <w:p w:rsidR="000864D6" w:rsidRPr="00946EE3" w:rsidRDefault="000864D6" w:rsidP="000864D6">
      <w:pPr>
        <w:pStyle w:val="ListParagraph"/>
        <w:numPr>
          <w:ilvl w:val="1"/>
          <w:numId w:val="47"/>
        </w:numPr>
        <w:spacing w:before="120" w:after="120"/>
        <w:ind w:left="1080"/>
        <w:contextualSpacing w:val="0"/>
      </w:pPr>
    </w:p>
    <w:p w:rsidR="000864D6" w:rsidRDefault="000864D6" w:rsidP="000864D6">
      <w:pPr>
        <w:pStyle w:val="ListParagraph"/>
        <w:numPr>
          <w:ilvl w:val="1"/>
          <w:numId w:val="47"/>
        </w:numPr>
        <w:tabs>
          <w:tab w:val="left" w:pos="720"/>
        </w:tabs>
        <w:ind w:left="720"/>
      </w:pPr>
      <w:r>
        <w:lastRenderedPageBreak/>
        <w:t>Cautionary considerations to be taken into account if standards development is to be pursued:</w:t>
      </w:r>
    </w:p>
    <w:p w:rsidR="000864D6" w:rsidRPr="009A7461" w:rsidRDefault="000864D6" w:rsidP="000864D6">
      <w:pPr>
        <w:pStyle w:val="ListParagraph"/>
        <w:numPr>
          <w:ilvl w:val="1"/>
          <w:numId w:val="47"/>
        </w:numPr>
        <w:tabs>
          <w:tab w:val="left" w:pos="1080"/>
        </w:tabs>
        <w:spacing w:before="120"/>
        <w:ind w:left="1080"/>
        <w:contextualSpacing w:val="0"/>
      </w:pPr>
    </w:p>
    <w:p w:rsidR="0075732D" w:rsidRDefault="0075732D">
      <w:pPr>
        <w:rPr>
          <w:b/>
        </w:rPr>
      </w:pPr>
    </w:p>
    <w:p w:rsidR="0075732D" w:rsidRDefault="0075732D">
      <w:pPr>
        <w:rPr>
          <w:b/>
        </w:rPr>
        <w:sectPr w:rsidR="0075732D" w:rsidSect="005A7C65">
          <w:headerReference w:type="default" r:id="rId11"/>
          <w:pgSz w:w="12240" w:h="15840" w:code="1"/>
          <w:pgMar w:top="1440" w:right="1440" w:bottom="1440" w:left="1440" w:header="720" w:footer="720" w:gutter="0"/>
          <w:cols w:space="720"/>
          <w:docGrid w:linePitch="360"/>
        </w:sectPr>
      </w:pPr>
    </w:p>
    <w:p w:rsidR="00946EE3" w:rsidRDefault="0075732D" w:rsidP="00946EE3">
      <w:pPr>
        <w:spacing w:before="120"/>
        <w:outlineLvl w:val="0"/>
        <w:rPr>
          <w:b/>
        </w:rPr>
      </w:pPr>
      <w:r w:rsidRPr="00946EE3">
        <w:rPr>
          <w:b/>
        </w:rPr>
        <w:lastRenderedPageBreak/>
        <w:t>Below please find the list of observations where if noted in green indicate that they are primary, and in yellow indicate that they are secondary for standards related issues that could lead to standards development.</w:t>
      </w:r>
      <w:r w:rsidR="00946EE3" w:rsidRPr="00946EE3">
        <w:rPr>
          <w:b/>
        </w:rPr>
        <w:t xml:space="preserve">  These observations have been consolidated, and reviewed in regard to </w:t>
      </w:r>
    </w:p>
    <w:p w:rsidR="00946EE3" w:rsidRDefault="00946EE3" w:rsidP="00946EE3">
      <w:pPr>
        <w:pStyle w:val="ListParagraph"/>
        <w:numPr>
          <w:ilvl w:val="0"/>
          <w:numId w:val="45"/>
        </w:numPr>
        <w:spacing w:before="120"/>
        <w:outlineLvl w:val="0"/>
      </w:pPr>
      <w:r>
        <w:t>Relationship to other existing standards</w:t>
      </w:r>
    </w:p>
    <w:p w:rsidR="00946EE3" w:rsidRDefault="00946EE3" w:rsidP="00946EE3">
      <w:pPr>
        <w:pStyle w:val="ListParagraph"/>
        <w:numPr>
          <w:ilvl w:val="0"/>
          <w:numId w:val="42"/>
        </w:numPr>
        <w:spacing w:before="120"/>
        <w:outlineLvl w:val="0"/>
      </w:pPr>
      <w:r>
        <w:t xml:space="preserve">Observations that lead to a determination that there are no fundamental reasons why standards development could not go forward </w:t>
      </w:r>
    </w:p>
    <w:p w:rsidR="00946EE3" w:rsidRDefault="00946EE3" w:rsidP="00946EE3">
      <w:pPr>
        <w:pStyle w:val="ListParagraph"/>
        <w:numPr>
          <w:ilvl w:val="0"/>
          <w:numId w:val="42"/>
        </w:numPr>
        <w:spacing w:before="120"/>
        <w:outlineLvl w:val="0"/>
      </w:pPr>
      <w:r>
        <w:t>If there is fundamental disagreements for standards development, they are to be highlighted for consideration</w:t>
      </w:r>
    </w:p>
    <w:p w:rsidR="0075732D" w:rsidRDefault="0075732D">
      <w:pPr>
        <w:rPr>
          <w:b/>
        </w:rPr>
      </w:pPr>
    </w:p>
    <w:tbl>
      <w:tblPr>
        <w:tblW w:w="13065" w:type="dxa"/>
        <w:tblInd w:w="93" w:type="dxa"/>
        <w:tblLook w:val="04A0" w:firstRow="1" w:lastRow="0" w:firstColumn="1" w:lastColumn="0" w:noHBand="0" w:noVBand="1"/>
      </w:tblPr>
      <w:tblGrid>
        <w:gridCol w:w="417"/>
        <w:gridCol w:w="519"/>
        <w:gridCol w:w="6639"/>
        <w:gridCol w:w="810"/>
        <w:gridCol w:w="1299"/>
        <w:gridCol w:w="1095"/>
        <w:gridCol w:w="1116"/>
        <w:gridCol w:w="1170"/>
      </w:tblGrid>
      <w:tr w:rsidR="0075732D" w:rsidRPr="0075732D" w:rsidTr="000864D6">
        <w:trPr>
          <w:trHeight w:val="750"/>
          <w:tblHeader/>
        </w:trPr>
        <w:tc>
          <w:tcPr>
            <w:tcW w:w="417" w:type="dxa"/>
            <w:tcBorders>
              <w:top w:val="single" w:sz="4" w:space="0" w:color="auto"/>
              <w:left w:val="nil"/>
              <w:bottom w:val="single" w:sz="4" w:space="0" w:color="auto"/>
              <w:right w:val="nil"/>
            </w:tcBorders>
            <w:shd w:val="clear" w:color="000000" w:fill="DDD9C3"/>
            <w:vAlign w:val="bottom"/>
            <w:hideMark/>
          </w:tcPr>
          <w:p w:rsidR="0075732D" w:rsidRPr="0075732D" w:rsidRDefault="0075732D" w:rsidP="000864D6">
            <w:pPr>
              <w:spacing w:before="120" w:after="120"/>
              <w:jc w:val="center"/>
              <w:rPr>
                <w:color w:val="000000"/>
              </w:rPr>
            </w:pPr>
            <w:r w:rsidRPr="0075732D">
              <w:rPr>
                <w:color w:val="000000"/>
              </w:rPr>
              <w:t> </w:t>
            </w:r>
          </w:p>
        </w:tc>
        <w:tc>
          <w:tcPr>
            <w:tcW w:w="519" w:type="dxa"/>
            <w:tcBorders>
              <w:top w:val="single" w:sz="4" w:space="0" w:color="auto"/>
              <w:left w:val="nil"/>
              <w:bottom w:val="single" w:sz="4" w:space="0" w:color="auto"/>
              <w:right w:val="nil"/>
            </w:tcBorders>
            <w:shd w:val="clear" w:color="000000" w:fill="DDD9C3"/>
            <w:vAlign w:val="bottom"/>
            <w:hideMark/>
          </w:tcPr>
          <w:p w:rsidR="0075732D" w:rsidRPr="0075732D" w:rsidRDefault="0075732D" w:rsidP="000864D6">
            <w:pPr>
              <w:spacing w:before="120" w:after="120"/>
              <w:jc w:val="center"/>
              <w:rPr>
                <w:color w:val="000000"/>
              </w:rPr>
            </w:pPr>
            <w:r w:rsidRPr="0075732D">
              <w:rPr>
                <w:color w:val="000000"/>
              </w:rPr>
              <w:t> </w:t>
            </w:r>
          </w:p>
        </w:tc>
        <w:tc>
          <w:tcPr>
            <w:tcW w:w="6639" w:type="dxa"/>
            <w:tcBorders>
              <w:top w:val="single" w:sz="4" w:space="0" w:color="auto"/>
              <w:left w:val="nil"/>
              <w:bottom w:val="single" w:sz="4" w:space="0" w:color="auto"/>
              <w:right w:val="nil"/>
            </w:tcBorders>
            <w:shd w:val="clear" w:color="000000" w:fill="DDD9C3"/>
            <w:hideMark/>
          </w:tcPr>
          <w:p w:rsidR="0075732D" w:rsidRPr="0075732D" w:rsidRDefault="0075732D" w:rsidP="007D1C03">
            <w:pPr>
              <w:spacing w:before="120" w:after="120"/>
              <w:rPr>
                <w:b/>
                <w:bCs/>
                <w:color w:val="000000"/>
              </w:rPr>
            </w:pPr>
            <w:r w:rsidRPr="0075732D">
              <w:rPr>
                <w:b/>
                <w:bCs/>
                <w:color w:val="000000"/>
              </w:rPr>
              <w:t>STANDARDS - PRIMARY and SECONDARY</w:t>
            </w:r>
            <w:r w:rsidR="007D1C03">
              <w:rPr>
                <w:b/>
                <w:bCs/>
                <w:color w:val="000000"/>
              </w:rPr>
              <w:t xml:space="preserve"> </w:t>
            </w:r>
            <w:r w:rsidRPr="0075732D">
              <w:rPr>
                <w:b/>
                <w:bCs/>
                <w:color w:val="000000"/>
              </w:rPr>
              <w:t>CORE ISSUES &amp; OBSERVATIONS</w:t>
            </w:r>
          </w:p>
        </w:tc>
        <w:tc>
          <w:tcPr>
            <w:tcW w:w="810" w:type="dxa"/>
            <w:tcBorders>
              <w:top w:val="single" w:sz="4" w:space="0" w:color="auto"/>
              <w:left w:val="nil"/>
              <w:bottom w:val="single" w:sz="4" w:space="0" w:color="auto"/>
              <w:right w:val="nil"/>
            </w:tcBorders>
            <w:shd w:val="clear" w:color="000000" w:fill="DDD9C3"/>
            <w:noWrap/>
            <w:vAlign w:val="bottom"/>
            <w:hideMark/>
          </w:tcPr>
          <w:p w:rsidR="0075732D" w:rsidRPr="0075732D" w:rsidRDefault="0075732D" w:rsidP="000864D6">
            <w:pPr>
              <w:spacing w:before="120" w:after="120"/>
              <w:rPr>
                <w:color w:val="000000"/>
              </w:rPr>
            </w:pPr>
            <w:r w:rsidRPr="0075732D">
              <w:rPr>
                <w:color w:val="000000"/>
              </w:rPr>
              <w:t>Policy</w:t>
            </w:r>
          </w:p>
        </w:tc>
        <w:tc>
          <w:tcPr>
            <w:tcW w:w="1299" w:type="dxa"/>
            <w:tcBorders>
              <w:top w:val="single" w:sz="4" w:space="0" w:color="auto"/>
              <w:left w:val="nil"/>
              <w:bottom w:val="single" w:sz="4" w:space="0" w:color="auto"/>
              <w:right w:val="single" w:sz="24" w:space="0" w:color="auto"/>
            </w:tcBorders>
            <w:shd w:val="clear" w:color="000000" w:fill="DDD9C3"/>
            <w:noWrap/>
            <w:vAlign w:val="bottom"/>
            <w:hideMark/>
          </w:tcPr>
          <w:p w:rsidR="0075732D" w:rsidRPr="0075732D" w:rsidRDefault="0075732D" w:rsidP="000864D6">
            <w:pPr>
              <w:spacing w:before="120" w:after="120"/>
              <w:rPr>
                <w:color w:val="000000"/>
              </w:rPr>
            </w:pPr>
            <w:r w:rsidRPr="0075732D">
              <w:rPr>
                <w:color w:val="000000"/>
              </w:rPr>
              <w:t>Commercial</w:t>
            </w:r>
          </w:p>
        </w:tc>
        <w:tc>
          <w:tcPr>
            <w:tcW w:w="1095" w:type="dxa"/>
            <w:tcBorders>
              <w:top w:val="single" w:sz="4" w:space="0" w:color="auto"/>
              <w:left w:val="single" w:sz="24" w:space="0" w:color="auto"/>
              <w:bottom w:val="single" w:sz="4" w:space="0" w:color="auto"/>
              <w:right w:val="nil"/>
            </w:tcBorders>
            <w:shd w:val="clear" w:color="000000" w:fill="DDD9C3"/>
            <w:vAlign w:val="bottom"/>
            <w:hideMark/>
          </w:tcPr>
          <w:p w:rsidR="0075732D" w:rsidRPr="0075732D" w:rsidRDefault="0075732D" w:rsidP="000864D6">
            <w:pPr>
              <w:spacing w:before="120" w:after="120"/>
              <w:jc w:val="center"/>
              <w:rPr>
                <w:b/>
                <w:bCs/>
                <w:color w:val="000000"/>
              </w:rPr>
            </w:pPr>
            <w:r w:rsidRPr="0075732D">
              <w:rPr>
                <w:b/>
                <w:bCs/>
                <w:color w:val="000000"/>
              </w:rPr>
              <w:t>Standards</w:t>
            </w:r>
            <w:r w:rsidRPr="0075732D">
              <w:rPr>
                <w:b/>
                <w:bCs/>
                <w:color w:val="000000"/>
              </w:rPr>
              <w:br/>
              <w:t>Primary</w:t>
            </w:r>
          </w:p>
        </w:tc>
        <w:tc>
          <w:tcPr>
            <w:tcW w:w="1116" w:type="dxa"/>
            <w:tcBorders>
              <w:top w:val="single" w:sz="4" w:space="0" w:color="auto"/>
              <w:left w:val="nil"/>
              <w:bottom w:val="single" w:sz="4" w:space="0" w:color="auto"/>
              <w:right w:val="single" w:sz="24" w:space="0" w:color="auto"/>
            </w:tcBorders>
            <w:shd w:val="clear" w:color="000000" w:fill="DDD9C3"/>
            <w:vAlign w:val="bottom"/>
            <w:hideMark/>
          </w:tcPr>
          <w:p w:rsidR="0075732D" w:rsidRPr="0075732D" w:rsidRDefault="0075732D" w:rsidP="000864D6">
            <w:pPr>
              <w:spacing w:before="120" w:after="120"/>
              <w:jc w:val="center"/>
              <w:rPr>
                <w:b/>
                <w:bCs/>
                <w:color w:val="000000"/>
              </w:rPr>
            </w:pPr>
            <w:r w:rsidRPr="0075732D">
              <w:rPr>
                <w:b/>
                <w:bCs/>
                <w:color w:val="000000"/>
              </w:rPr>
              <w:t>Standards</w:t>
            </w:r>
            <w:r w:rsidRPr="0075732D">
              <w:rPr>
                <w:b/>
                <w:bCs/>
                <w:color w:val="000000"/>
              </w:rPr>
              <w:br/>
              <w:t>Secondary</w:t>
            </w:r>
          </w:p>
        </w:tc>
        <w:tc>
          <w:tcPr>
            <w:tcW w:w="1170" w:type="dxa"/>
            <w:tcBorders>
              <w:top w:val="single" w:sz="4" w:space="0" w:color="auto"/>
              <w:left w:val="single" w:sz="24" w:space="0" w:color="auto"/>
              <w:bottom w:val="single" w:sz="4" w:space="0" w:color="auto"/>
              <w:right w:val="nil"/>
            </w:tcBorders>
            <w:shd w:val="clear" w:color="000000" w:fill="DDD9C3"/>
            <w:noWrap/>
            <w:vAlign w:val="bottom"/>
            <w:hideMark/>
          </w:tcPr>
          <w:p w:rsidR="0075732D" w:rsidRPr="0075732D" w:rsidRDefault="0075732D" w:rsidP="000864D6">
            <w:pPr>
              <w:spacing w:before="120" w:after="120"/>
              <w:jc w:val="center"/>
              <w:rPr>
                <w:color w:val="000000"/>
              </w:rPr>
            </w:pPr>
            <w:r w:rsidRPr="0075732D">
              <w:rPr>
                <w:color w:val="000000"/>
              </w:rPr>
              <w:t>Comment</w:t>
            </w:r>
          </w:p>
        </w:tc>
      </w:tr>
      <w:tr w:rsidR="0075732D" w:rsidRPr="0075732D" w:rsidTr="007D1C03">
        <w:trPr>
          <w:trHeight w:val="1575"/>
        </w:trPr>
        <w:tc>
          <w:tcPr>
            <w:tcW w:w="7575" w:type="dxa"/>
            <w:gridSpan w:val="3"/>
            <w:tcBorders>
              <w:top w:val="single" w:sz="4" w:space="0" w:color="auto"/>
              <w:left w:val="single" w:sz="4" w:space="0" w:color="auto"/>
              <w:bottom w:val="single" w:sz="4" w:space="0" w:color="auto"/>
              <w:right w:val="nil"/>
            </w:tcBorders>
            <w:shd w:val="clear" w:color="auto" w:fill="auto"/>
            <w:hideMark/>
          </w:tcPr>
          <w:p w:rsidR="0075732D" w:rsidRPr="0075732D" w:rsidRDefault="0075732D" w:rsidP="007D1C03">
            <w:pPr>
              <w:spacing w:before="120" w:after="120"/>
              <w:rPr>
                <w:color w:val="000000"/>
              </w:rPr>
            </w:pPr>
            <w:r w:rsidRPr="0075732D">
              <w:rPr>
                <w:color w:val="000000"/>
              </w:rPr>
              <w:t>1.  OBSERVATIONS AND CORE ISSUES AS OF APRIL 24, 2012:</w:t>
            </w:r>
            <w:r w:rsidRPr="0075732D">
              <w:rPr>
                <w:color w:val="000000"/>
              </w:rPr>
              <w:br/>
              <w:t>• Scheduling and other inconsistencies in the interactions of the two markets impact the effectiveness of providing gas and electric service.</w:t>
            </w:r>
            <w:r w:rsidRPr="0075732D">
              <w:rPr>
                <w:color w:val="000000"/>
              </w:rPr>
              <w:br/>
              <w:t>• Core issue: Should NAESB examine:</w:t>
            </w:r>
            <w:r w:rsidRPr="0075732D">
              <w:rPr>
                <w:color w:val="000000"/>
              </w:rPr>
              <w:br/>
              <w:t>• The gas &amp; electric scheduling timelines to create more certainty and flexibility in scheduling, recognizing that providing flexibility in one area may take away flexibility in another?</w:t>
            </w:r>
          </w:p>
        </w:tc>
        <w:tc>
          <w:tcPr>
            <w:tcW w:w="810" w:type="dxa"/>
            <w:tcBorders>
              <w:top w:val="single" w:sz="4" w:space="0" w:color="auto"/>
              <w:left w:val="nil"/>
              <w:bottom w:val="single" w:sz="4" w:space="0" w:color="auto"/>
              <w:right w:val="nil"/>
            </w:tcBorders>
            <w:shd w:val="clear" w:color="auto" w:fill="auto"/>
            <w:noWrap/>
            <w:hideMark/>
          </w:tcPr>
          <w:p w:rsidR="0075732D" w:rsidRPr="0075732D" w:rsidRDefault="0075732D" w:rsidP="007D1C03">
            <w:pPr>
              <w:spacing w:before="120" w:after="120"/>
              <w:rPr>
                <w:color w:val="000000"/>
              </w:rPr>
            </w:pPr>
            <w:r w:rsidRPr="0075732D">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rPr>
                <w:color w:val="000000"/>
              </w:rPr>
            </w:pPr>
            <w:r w:rsidRPr="0075732D">
              <w:rPr>
                <w:color w:val="000000"/>
              </w:rPr>
              <w:t> </w:t>
            </w:r>
          </w:p>
        </w:tc>
        <w:tc>
          <w:tcPr>
            <w:tcW w:w="1095" w:type="dxa"/>
            <w:tcBorders>
              <w:top w:val="single" w:sz="4" w:space="0" w:color="auto"/>
              <w:left w:val="single" w:sz="24" w:space="0" w:color="auto"/>
              <w:bottom w:val="single" w:sz="4" w:space="0" w:color="auto"/>
              <w:right w:val="nil"/>
            </w:tcBorders>
            <w:shd w:val="clear" w:color="auto" w:fill="auto"/>
            <w:hideMark/>
          </w:tcPr>
          <w:p w:rsidR="0075732D" w:rsidRPr="0075732D" w:rsidRDefault="0075732D" w:rsidP="007D1C03">
            <w:pPr>
              <w:spacing w:before="120" w:after="120"/>
              <w:rPr>
                <w:color w:val="000000"/>
              </w:rPr>
            </w:pPr>
            <w:r w:rsidRPr="0075732D">
              <w:rPr>
                <w:color w:val="000000"/>
              </w:rPr>
              <w:t> </w:t>
            </w:r>
          </w:p>
        </w:tc>
        <w:tc>
          <w:tcPr>
            <w:tcW w:w="1116" w:type="dxa"/>
            <w:tcBorders>
              <w:top w:val="single" w:sz="4" w:space="0" w:color="auto"/>
              <w:left w:val="nil"/>
              <w:bottom w:val="single" w:sz="4" w:space="0" w:color="auto"/>
              <w:right w:val="single" w:sz="24" w:space="0" w:color="auto"/>
            </w:tcBorders>
            <w:shd w:val="clear" w:color="auto" w:fill="auto"/>
            <w:hideMark/>
          </w:tcPr>
          <w:p w:rsidR="0075732D" w:rsidRPr="0075732D" w:rsidRDefault="0075732D" w:rsidP="007D1C03">
            <w:pPr>
              <w:spacing w:before="120" w:after="120"/>
              <w:rPr>
                <w:color w:val="000000"/>
              </w:rPr>
            </w:pPr>
            <w:r w:rsidRPr="0075732D">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rPr>
                <w:color w:val="000000"/>
              </w:rPr>
            </w:pPr>
            <w:r w:rsidRPr="0075732D">
              <w:rPr>
                <w:color w:val="000000"/>
              </w:rPr>
              <w:t> </w:t>
            </w:r>
          </w:p>
        </w:tc>
      </w:tr>
      <w:tr w:rsidR="0075732D" w:rsidRPr="0075732D" w:rsidTr="007D1C03">
        <w:trPr>
          <w:trHeight w:val="510"/>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10</w:t>
            </w:r>
          </w:p>
        </w:tc>
        <w:tc>
          <w:tcPr>
            <w:tcW w:w="1299" w:type="dxa"/>
            <w:tcBorders>
              <w:top w:val="nil"/>
              <w:left w:val="nil"/>
              <w:bottom w:val="single" w:sz="4" w:space="0" w:color="auto"/>
              <w:right w:val="single" w:sz="2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14</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22</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5</w:t>
            </w:r>
          </w:p>
        </w:tc>
      </w:tr>
      <w:tr w:rsidR="0075732D" w:rsidRPr="0075732D" w:rsidTr="007D1C0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2</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15</w:t>
            </w:r>
          </w:p>
        </w:tc>
        <w:tc>
          <w:tcPr>
            <w:tcW w:w="1299" w:type="dxa"/>
            <w:tcBorders>
              <w:top w:val="nil"/>
              <w:left w:val="nil"/>
              <w:bottom w:val="single" w:sz="4" w:space="0" w:color="auto"/>
              <w:right w:val="single" w:sz="2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19</w:t>
            </w:r>
          </w:p>
        </w:tc>
        <w:tc>
          <w:tcPr>
            <w:tcW w:w="1095"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17</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3</w:t>
            </w:r>
          </w:p>
        </w:tc>
      </w:tr>
      <w:tr w:rsidR="0075732D" w:rsidRPr="0075732D" w:rsidTr="007D1C03">
        <w:trPr>
          <w:trHeight w:val="2040"/>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3</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12</w:t>
            </w:r>
          </w:p>
        </w:tc>
        <w:tc>
          <w:tcPr>
            <w:tcW w:w="1299" w:type="dxa"/>
            <w:tcBorders>
              <w:top w:val="nil"/>
              <w:left w:val="nil"/>
              <w:bottom w:val="single" w:sz="4" w:space="0" w:color="auto"/>
              <w:right w:val="single" w:sz="2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13</w:t>
            </w:r>
          </w:p>
        </w:tc>
        <w:tc>
          <w:tcPr>
            <w:tcW w:w="1095"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12</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12</w:t>
            </w:r>
          </w:p>
        </w:tc>
      </w:tr>
      <w:tr w:rsidR="0075732D" w:rsidRPr="0075732D" w:rsidTr="007D1C0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4</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9</w:t>
            </w:r>
          </w:p>
        </w:tc>
        <w:tc>
          <w:tcPr>
            <w:tcW w:w="1299" w:type="dxa"/>
            <w:tcBorders>
              <w:top w:val="nil"/>
              <w:left w:val="nil"/>
              <w:bottom w:val="single" w:sz="4" w:space="0" w:color="auto"/>
              <w:right w:val="single" w:sz="2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12</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21</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11</w:t>
            </w:r>
          </w:p>
        </w:tc>
      </w:tr>
      <w:tr w:rsidR="0075732D" w:rsidRPr="0075732D" w:rsidTr="007D1C03">
        <w:trPr>
          <w:trHeight w:val="1052"/>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5</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810" w:type="dxa"/>
            <w:tcBorders>
              <w:top w:val="nil"/>
              <w:left w:val="nil"/>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22</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7</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2</w:t>
            </w:r>
          </w:p>
        </w:tc>
      </w:tr>
      <w:tr w:rsidR="0075732D" w:rsidRPr="0075732D" w:rsidTr="007D1C03">
        <w:trPr>
          <w:trHeight w:val="2040"/>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6</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810" w:type="dxa"/>
            <w:tcBorders>
              <w:top w:val="nil"/>
              <w:left w:val="nil"/>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15</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23</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5</w:t>
            </w:r>
          </w:p>
        </w:tc>
      </w:tr>
      <w:tr w:rsidR="0075732D" w:rsidRPr="0075732D" w:rsidTr="007D1C03">
        <w:trPr>
          <w:trHeight w:val="323"/>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7</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810"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jc w:val="right"/>
              <w:rPr>
                <w:color w:val="000000"/>
              </w:rPr>
            </w:pPr>
            <w:r w:rsidRPr="0075732D">
              <w:rPr>
                <w:color w:val="000000"/>
              </w:rPr>
              <w:t>5</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21</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10</w:t>
            </w:r>
          </w:p>
        </w:tc>
      </w:tr>
      <w:tr w:rsidR="0075732D" w:rsidRPr="0075732D" w:rsidTr="007D1C03">
        <w:trPr>
          <w:trHeight w:val="2780"/>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8</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 xml:space="preserve">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w:t>
            </w:r>
            <w:r w:rsidRPr="0075732D">
              <w:rPr>
                <w:color w:val="000000"/>
              </w:rPr>
              <w:lastRenderedPageBreak/>
              <w:t>recent opinion issued in FERC RP11-2569-002, et al, (http://elibrary.ferc.gov/idmws/file_list.asp?accession_num=20120315-3006), provides some background for this observation.</w:t>
            </w:r>
          </w:p>
        </w:tc>
        <w:tc>
          <w:tcPr>
            <w:tcW w:w="810" w:type="dxa"/>
            <w:tcBorders>
              <w:top w:val="nil"/>
              <w:left w:val="nil"/>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lastRenderedPageBreak/>
              <w:t>13</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9</w:t>
            </w:r>
          </w:p>
        </w:tc>
      </w:tr>
      <w:tr w:rsidR="0075732D" w:rsidRPr="0075732D" w:rsidTr="007D1C03">
        <w:trPr>
          <w:trHeight w:val="1785"/>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10</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810" w:type="dxa"/>
            <w:tcBorders>
              <w:top w:val="nil"/>
              <w:left w:val="nil"/>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18</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5</w:t>
            </w:r>
          </w:p>
        </w:tc>
      </w:tr>
      <w:tr w:rsidR="0075732D" w:rsidRPr="0075732D" w:rsidTr="007D1C03">
        <w:trPr>
          <w:trHeight w:val="510"/>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11</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16</w:t>
            </w:r>
          </w:p>
        </w:tc>
        <w:tc>
          <w:tcPr>
            <w:tcW w:w="1299" w:type="dxa"/>
            <w:tcBorders>
              <w:top w:val="nil"/>
              <w:left w:val="nil"/>
              <w:bottom w:val="single" w:sz="4" w:space="0" w:color="auto"/>
              <w:right w:val="single" w:sz="2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14</w:t>
            </w:r>
          </w:p>
        </w:tc>
        <w:tc>
          <w:tcPr>
            <w:tcW w:w="1095"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14</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12</w:t>
            </w:r>
          </w:p>
        </w:tc>
      </w:tr>
      <w:tr w:rsidR="0075732D" w:rsidRPr="0075732D" w:rsidTr="007D1C03">
        <w:trPr>
          <w:trHeight w:val="765"/>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12</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 xml:space="preserve">The transparency provided through posting of scheduling and capacity information by major non-interstate natural gas pipelines could be helpful, if the </w:t>
            </w:r>
            <w:r w:rsidRPr="0075732D">
              <w:rPr>
                <w:color w:val="000000"/>
              </w:rPr>
              <w:lastRenderedPageBreak/>
              <w:t>impact of the intrastates market on the interstate market is deemed significant.</w:t>
            </w:r>
          </w:p>
        </w:tc>
        <w:tc>
          <w:tcPr>
            <w:tcW w:w="810" w:type="dxa"/>
            <w:tcBorders>
              <w:top w:val="nil"/>
              <w:left w:val="nil"/>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lastRenderedPageBreak/>
              <w:t>17</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5</w:t>
            </w:r>
          </w:p>
        </w:tc>
        <w:tc>
          <w:tcPr>
            <w:tcW w:w="1095"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14</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11</w:t>
            </w:r>
          </w:p>
        </w:tc>
      </w:tr>
      <w:tr w:rsidR="0075732D" w:rsidRPr="0075732D" w:rsidTr="007D1C03">
        <w:trPr>
          <w:trHeight w:val="300"/>
        </w:trPr>
        <w:tc>
          <w:tcPr>
            <w:tcW w:w="417" w:type="dxa"/>
            <w:tcBorders>
              <w:top w:val="nil"/>
              <w:left w:val="single" w:sz="4" w:space="0" w:color="auto"/>
              <w:bottom w:val="nil"/>
              <w:right w:val="single" w:sz="4" w:space="0" w:color="auto"/>
            </w:tcBorders>
            <w:shd w:val="clear" w:color="000000" w:fill="D8D8D8"/>
            <w:noWrap/>
            <w:hideMark/>
          </w:tcPr>
          <w:p w:rsidR="0075732D" w:rsidRPr="0075732D" w:rsidRDefault="0075732D" w:rsidP="007D1C03">
            <w:pPr>
              <w:spacing w:before="120" w:after="120"/>
              <w:rPr>
                <w:color w:val="000000"/>
              </w:rPr>
            </w:pPr>
            <w:r w:rsidRPr="0075732D">
              <w:rPr>
                <w:color w:val="000000"/>
              </w:rPr>
              <w:lastRenderedPageBreak/>
              <w:t>1</w:t>
            </w:r>
          </w:p>
        </w:tc>
        <w:tc>
          <w:tcPr>
            <w:tcW w:w="519" w:type="dxa"/>
            <w:tcBorders>
              <w:top w:val="nil"/>
              <w:left w:val="nil"/>
              <w:bottom w:val="nil"/>
              <w:right w:val="single" w:sz="4" w:space="0" w:color="auto"/>
            </w:tcBorders>
            <w:shd w:val="clear" w:color="000000" w:fill="D8D8D8"/>
            <w:noWrap/>
            <w:hideMark/>
          </w:tcPr>
          <w:p w:rsidR="0075732D" w:rsidRPr="0075732D" w:rsidRDefault="0075732D" w:rsidP="007D1C03">
            <w:pPr>
              <w:spacing w:before="120" w:after="120"/>
              <w:rPr>
                <w:color w:val="000000"/>
              </w:rPr>
            </w:pPr>
            <w:r w:rsidRPr="0075732D">
              <w:rPr>
                <w:color w:val="000000"/>
              </w:rPr>
              <w:t>13</w:t>
            </w:r>
          </w:p>
        </w:tc>
        <w:tc>
          <w:tcPr>
            <w:tcW w:w="6639" w:type="dxa"/>
            <w:tcBorders>
              <w:top w:val="nil"/>
              <w:left w:val="nil"/>
              <w:bottom w:val="nil"/>
              <w:right w:val="single" w:sz="4" w:space="0" w:color="auto"/>
            </w:tcBorders>
            <w:shd w:val="clear" w:color="000000" w:fill="D8D8D8"/>
            <w:hideMark/>
          </w:tcPr>
          <w:p w:rsidR="0075732D" w:rsidRPr="0075732D" w:rsidRDefault="0075732D" w:rsidP="007D1C03">
            <w:pPr>
              <w:spacing w:before="120" w:after="120"/>
              <w:rPr>
                <w:color w:val="000000"/>
              </w:rPr>
            </w:pPr>
            <w:r w:rsidRPr="0075732D">
              <w:rPr>
                <w:color w:val="000000"/>
              </w:rPr>
              <w:t>Deleted.  Added to Observation 1-8.</w:t>
            </w:r>
          </w:p>
        </w:tc>
        <w:tc>
          <w:tcPr>
            <w:tcW w:w="810" w:type="dxa"/>
            <w:tcBorders>
              <w:top w:val="nil"/>
              <w:left w:val="nil"/>
              <w:bottom w:val="nil"/>
              <w:right w:val="single" w:sz="4" w:space="0" w:color="auto"/>
            </w:tcBorders>
            <w:shd w:val="clear" w:color="000000" w:fill="D8D8D8"/>
            <w:noWrap/>
            <w:hideMark/>
          </w:tcPr>
          <w:p w:rsidR="0075732D" w:rsidRPr="0075732D" w:rsidRDefault="0075732D" w:rsidP="007D1C03">
            <w:pPr>
              <w:spacing w:before="120" w:after="120"/>
              <w:jc w:val="right"/>
              <w:rPr>
                <w:color w:val="000000"/>
              </w:rPr>
            </w:pPr>
            <w:r w:rsidRPr="0075732D">
              <w:rPr>
                <w:color w:val="000000"/>
              </w:rPr>
              <w:t> </w:t>
            </w:r>
          </w:p>
        </w:tc>
        <w:tc>
          <w:tcPr>
            <w:tcW w:w="1299" w:type="dxa"/>
            <w:tcBorders>
              <w:top w:val="nil"/>
              <w:left w:val="nil"/>
              <w:bottom w:val="nil"/>
              <w:right w:val="single" w:sz="24" w:space="0" w:color="auto"/>
            </w:tcBorders>
            <w:shd w:val="clear" w:color="000000" w:fill="D8D8D8"/>
            <w:noWrap/>
            <w:hideMark/>
          </w:tcPr>
          <w:p w:rsidR="0075732D" w:rsidRPr="0075732D" w:rsidRDefault="0075732D" w:rsidP="007D1C03">
            <w:pPr>
              <w:spacing w:before="120" w:after="120"/>
              <w:jc w:val="right"/>
              <w:rPr>
                <w:color w:val="000000"/>
              </w:rPr>
            </w:pPr>
            <w:r w:rsidRPr="0075732D">
              <w:rPr>
                <w:color w:val="000000"/>
              </w:rPr>
              <w:t> </w:t>
            </w:r>
          </w:p>
        </w:tc>
        <w:tc>
          <w:tcPr>
            <w:tcW w:w="1095" w:type="dxa"/>
            <w:tcBorders>
              <w:top w:val="nil"/>
              <w:left w:val="single" w:sz="24" w:space="0" w:color="auto"/>
              <w:bottom w:val="nil"/>
              <w:right w:val="single" w:sz="4" w:space="0" w:color="auto"/>
            </w:tcBorders>
            <w:shd w:val="clear" w:color="000000" w:fill="D8D8D8"/>
            <w:noWrap/>
            <w:hideMark/>
          </w:tcPr>
          <w:p w:rsidR="0075732D" w:rsidRPr="0075732D" w:rsidRDefault="0075732D" w:rsidP="007D1C03">
            <w:pPr>
              <w:spacing w:before="120" w:after="120"/>
              <w:jc w:val="right"/>
              <w:rPr>
                <w:color w:val="000000"/>
              </w:rPr>
            </w:pPr>
            <w:r w:rsidRPr="0075732D">
              <w:rPr>
                <w:color w:val="000000"/>
              </w:rPr>
              <w:t> </w:t>
            </w:r>
          </w:p>
        </w:tc>
        <w:tc>
          <w:tcPr>
            <w:tcW w:w="1116" w:type="dxa"/>
            <w:tcBorders>
              <w:top w:val="nil"/>
              <w:left w:val="nil"/>
              <w:bottom w:val="nil"/>
              <w:right w:val="single" w:sz="24" w:space="0" w:color="auto"/>
            </w:tcBorders>
            <w:shd w:val="clear" w:color="000000" w:fill="D8D8D8"/>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nil"/>
              <w:right w:val="single" w:sz="4" w:space="0" w:color="auto"/>
            </w:tcBorders>
            <w:shd w:val="clear" w:color="000000" w:fill="D8D8D8"/>
            <w:noWrap/>
            <w:hideMark/>
          </w:tcPr>
          <w:p w:rsidR="0075732D" w:rsidRPr="0075732D" w:rsidRDefault="0075732D" w:rsidP="007D1C03">
            <w:pPr>
              <w:spacing w:before="120" w:after="120"/>
              <w:jc w:val="right"/>
              <w:rPr>
                <w:color w:val="000000"/>
              </w:rPr>
            </w:pPr>
            <w:r w:rsidRPr="0075732D">
              <w:rPr>
                <w:color w:val="000000"/>
              </w:rPr>
              <w:t> </w:t>
            </w:r>
          </w:p>
        </w:tc>
      </w:tr>
      <w:tr w:rsidR="0075732D" w:rsidRPr="0075732D" w:rsidTr="007D1C03">
        <w:trPr>
          <w:trHeight w:val="2400"/>
        </w:trPr>
        <w:tc>
          <w:tcPr>
            <w:tcW w:w="7575" w:type="dxa"/>
            <w:gridSpan w:val="3"/>
            <w:tcBorders>
              <w:top w:val="single" w:sz="4" w:space="0" w:color="auto"/>
              <w:left w:val="single" w:sz="4" w:space="0" w:color="auto"/>
              <w:bottom w:val="single" w:sz="4" w:space="0" w:color="auto"/>
              <w:right w:val="nil"/>
            </w:tcBorders>
            <w:shd w:val="clear" w:color="auto" w:fill="auto"/>
            <w:hideMark/>
          </w:tcPr>
          <w:p w:rsidR="0075732D" w:rsidRPr="0075732D" w:rsidRDefault="0075732D" w:rsidP="007D1C03">
            <w:pPr>
              <w:spacing w:before="120" w:after="120"/>
              <w:rPr>
                <w:color w:val="000000"/>
              </w:rPr>
            </w:pPr>
            <w:r w:rsidRPr="0075732D">
              <w:rPr>
                <w:color w:val="000000"/>
              </w:rPr>
              <w:t>2.  Observations and Core Issues as of April 24, 2012:</w:t>
            </w:r>
            <w:r w:rsidRPr="0075732D">
              <w:rPr>
                <w:color w:val="000000"/>
              </w:rPr>
              <w:br/>
              <w:t>Capacity issues including the availability and determination to use firm and interruptible capacity to support load requirements is a core issue in the interdependencies of the two markets, for both the day of and the day-ahead markets.</w:t>
            </w:r>
            <w:r w:rsidRPr="0075732D">
              <w:rPr>
                <w:color w:val="000000"/>
              </w:rPr>
              <w:br/>
              <w:t>Core Issue: Recognizing the interdependency of the gas and electric markets in both the day of and day ahead operations, should NAESB examine:</w:t>
            </w:r>
            <w:r w:rsidRPr="0075732D">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sidRPr="0075732D">
              <w:rPr>
                <w:color w:val="000000"/>
              </w:rPr>
              <w:br/>
              <w:t>• the structure of communications to make for a better utilization of existing infrastructure and capacity.</w:t>
            </w:r>
          </w:p>
        </w:tc>
        <w:tc>
          <w:tcPr>
            <w:tcW w:w="810" w:type="dxa"/>
            <w:tcBorders>
              <w:top w:val="single" w:sz="4" w:space="0" w:color="auto"/>
              <w:left w:val="nil"/>
              <w:bottom w:val="single" w:sz="4" w:space="0" w:color="auto"/>
              <w:right w:val="nil"/>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095" w:type="dxa"/>
            <w:tcBorders>
              <w:top w:val="single" w:sz="4" w:space="0" w:color="auto"/>
              <w:left w:val="single" w:sz="24" w:space="0" w:color="auto"/>
              <w:bottom w:val="single" w:sz="4" w:space="0" w:color="auto"/>
              <w:right w:val="nil"/>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16" w:type="dxa"/>
            <w:tcBorders>
              <w:top w:val="single" w:sz="4" w:space="0" w:color="auto"/>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r>
      <w:tr w:rsidR="0075732D" w:rsidRPr="0075732D" w:rsidTr="007D1C03">
        <w:trPr>
          <w:trHeight w:val="2295"/>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15</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 xml:space="preserve">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w:t>
            </w:r>
            <w:r w:rsidRPr="0075732D">
              <w:rPr>
                <w:color w:val="000000"/>
              </w:rPr>
              <w:lastRenderedPageBreak/>
              <w:t>point of constraint.</w:t>
            </w:r>
          </w:p>
        </w:tc>
        <w:tc>
          <w:tcPr>
            <w:tcW w:w="810" w:type="dxa"/>
            <w:tcBorders>
              <w:top w:val="nil"/>
              <w:left w:val="nil"/>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lastRenderedPageBreak/>
              <w:t>8</w:t>
            </w:r>
          </w:p>
        </w:tc>
        <w:tc>
          <w:tcPr>
            <w:tcW w:w="1299" w:type="dxa"/>
            <w:tcBorders>
              <w:top w:val="nil"/>
              <w:left w:val="nil"/>
              <w:bottom w:val="single" w:sz="4" w:space="0" w:color="auto"/>
              <w:right w:val="single" w:sz="2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31</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0</w:t>
            </w:r>
          </w:p>
        </w:tc>
      </w:tr>
      <w:tr w:rsidR="0075732D" w:rsidRPr="0075732D" w:rsidTr="007D1C03">
        <w:trPr>
          <w:trHeight w:val="1545"/>
        </w:trPr>
        <w:tc>
          <w:tcPr>
            <w:tcW w:w="7575" w:type="dxa"/>
            <w:gridSpan w:val="3"/>
            <w:tcBorders>
              <w:top w:val="single" w:sz="4" w:space="0" w:color="auto"/>
              <w:left w:val="single" w:sz="4" w:space="0" w:color="auto"/>
              <w:bottom w:val="single" w:sz="4" w:space="0" w:color="auto"/>
              <w:right w:val="nil"/>
            </w:tcBorders>
            <w:shd w:val="clear" w:color="auto" w:fill="auto"/>
            <w:hideMark/>
          </w:tcPr>
          <w:p w:rsidR="0075732D" w:rsidRPr="0075732D" w:rsidRDefault="0075732D" w:rsidP="007D1C03">
            <w:pPr>
              <w:spacing w:before="120" w:after="120"/>
              <w:rPr>
                <w:color w:val="000000"/>
              </w:rPr>
            </w:pPr>
            <w:r w:rsidRPr="0075732D">
              <w:rPr>
                <w:color w:val="000000"/>
              </w:rPr>
              <w:lastRenderedPageBreak/>
              <w:t>3. Curtailment policies and practices are components of the interdependency of the two markets that impacts harmonization.  Curtailment is interruption of service that has been scheduled.</w:t>
            </w:r>
            <w:r w:rsidRPr="0075732D">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810" w:type="dxa"/>
            <w:tcBorders>
              <w:top w:val="single" w:sz="4" w:space="0" w:color="auto"/>
              <w:left w:val="nil"/>
              <w:bottom w:val="single" w:sz="4" w:space="0" w:color="auto"/>
              <w:right w:val="nil"/>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095" w:type="dxa"/>
            <w:tcBorders>
              <w:top w:val="single" w:sz="4" w:space="0" w:color="auto"/>
              <w:left w:val="single" w:sz="24" w:space="0" w:color="auto"/>
              <w:bottom w:val="single" w:sz="4" w:space="0" w:color="auto"/>
              <w:right w:val="nil"/>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16" w:type="dxa"/>
            <w:tcBorders>
              <w:top w:val="single" w:sz="4" w:space="0" w:color="auto"/>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r>
      <w:tr w:rsidR="0075732D" w:rsidRPr="0075732D" w:rsidTr="007D1C03">
        <w:trPr>
          <w:trHeight w:val="4202"/>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lastRenderedPageBreak/>
              <w:t>3</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3</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sidRPr="0075732D">
              <w:rPr>
                <w:color w:val="00000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sidRPr="0075732D">
              <w:rPr>
                <w:color w:val="000000"/>
              </w:rPr>
              <w:br/>
              <w:t>Nonetheless, public disclosure of information of this type could have unintended anti-competitive inter-fuel impacts.</w:t>
            </w:r>
          </w:p>
        </w:tc>
        <w:tc>
          <w:tcPr>
            <w:tcW w:w="810" w:type="dxa"/>
            <w:tcBorders>
              <w:top w:val="nil"/>
              <w:left w:val="nil"/>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19</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26</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4</w:t>
            </w:r>
          </w:p>
        </w:tc>
      </w:tr>
      <w:tr w:rsidR="0075732D" w:rsidRPr="0075732D" w:rsidTr="007D1C03">
        <w:trPr>
          <w:trHeight w:val="323"/>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4</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 xml:space="preserve">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w:t>
            </w:r>
            <w:r w:rsidRPr="0075732D">
              <w:rPr>
                <w:color w:val="000000"/>
              </w:rPr>
              <w:lastRenderedPageBreak/>
              <w:t>management/control would be helpful.</w:t>
            </w:r>
          </w:p>
        </w:tc>
        <w:tc>
          <w:tcPr>
            <w:tcW w:w="810" w:type="dxa"/>
            <w:tcBorders>
              <w:top w:val="nil"/>
              <w:left w:val="nil"/>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lastRenderedPageBreak/>
              <w:t>20</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21</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5</w:t>
            </w:r>
          </w:p>
        </w:tc>
      </w:tr>
      <w:tr w:rsidR="0075732D" w:rsidRPr="0075732D" w:rsidTr="007D1C0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lastRenderedPageBreak/>
              <w:t>3</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5</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810" w:type="dxa"/>
            <w:tcBorders>
              <w:top w:val="nil"/>
              <w:left w:val="nil"/>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14</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22</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8</w:t>
            </w:r>
          </w:p>
        </w:tc>
      </w:tr>
      <w:tr w:rsidR="0075732D" w:rsidRPr="0075732D" w:rsidTr="007D1C03">
        <w:trPr>
          <w:trHeight w:val="1095"/>
        </w:trPr>
        <w:tc>
          <w:tcPr>
            <w:tcW w:w="7575" w:type="dxa"/>
            <w:gridSpan w:val="3"/>
            <w:tcBorders>
              <w:top w:val="single" w:sz="4" w:space="0" w:color="auto"/>
              <w:left w:val="single" w:sz="4" w:space="0" w:color="auto"/>
              <w:bottom w:val="single" w:sz="4" w:space="0" w:color="auto"/>
              <w:right w:val="nil"/>
            </w:tcBorders>
            <w:shd w:val="clear" w:color="auto" w:fill="auto"/>
            <w:hideMark/>
          </w:tcPr>
          <w:p w:rsidR="0075732D" w:rsidRPr="0075732D" w:rsidRDefault="0075732D" w:rsidP="007D1C03">
            <w:pPr>
              <w:spacing w:before="120" w:after="120"/>
              <w:rPr>
                <w:color w:val="000000"/>
              </w:rPr>
            </w:pPr>
            <w:r w:rsidRPr="0075732D">
              <w:rPr>
                <w:color w:val="000000"/>
              </w:rPr>
              <w:t>4.  Additional and more formal structure for communications of the parties in the gas and electric markets is needed, particularly for unanticipated demand situations.</w:t>
            </w:r>
            <w:r w:rsidRPr="0075732D">
              <w:rPr>
                <w:color w:val="000000"/>
              </w:rPr>
              <w:br/>
              <w:t>Core Issue: Should NAESB examine a more comprehensive approach to communications between the two markets and among participants in each of the markets as the communications impact the interdependency of the markets?</w:t>
            </w:r>
          </w:p>
        </w:tc>
        <w:tc>
          <w:tcPr>
            <w:tcW w:w="810" w:type="dxa"/>
            <w:tcBorders>
              <w:top w:val="single" w:sz="4" w:space="0" w:color="auto"/>
              <w:left w:val="nil"/>
              <w:bottom w:val="single" w:sz="4" w:space="0" w:color="auto"/>
              <w:right w:val="nil"/>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095" w:type="dxa"/>
            <w:tcBorders>
              <w:top w:val="single" w:sz="4" w:space="0" w:color="auto"/>
              <w:left w:val="single" w:sz="24" w:space="0" w:color="auto"/>
              <w:bottom w:val="single" w:sz="4" w:space="0" w:color="auto"/>
              <w:right w:val="nil"/>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16" w:type="dxa"/>
            <w:tcBorders>
              <w:top w:val="single" w:sz="4" w:space="0" w:color="auto"/>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r>
      <w:tr w:rsidR="0075732D" w:rsidRPr="0075732D" w:rsidTr="007D1C03">
        <w:trPr>
          <w:trHeight w:val="1275"/>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0</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810" w:type="dxa"/>
            <w:tcBorders>
              <w:top w:val="nil"/>
              <w:left w:val="nil"/>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22</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23</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7</w:t>
            </w:r>
          </w:p>
        </w:tc>
      </w:tr>
      <w:tr w:rsidR="0075732D" w:rsidRPr="0075732D" w:rsidTr="007D1C03">
        <w:trPr>
          <w:trHeight w:val="510"/>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1</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Communication and associated procedures may support the development of decision enabling tools with respect to day-of service, that may support efforts for contingency response.</w:t>
            </w:r>
          </w:p>
        </w:tc>
        <w:tc>
          <w:tcPr>
            <w:tcW w:w="810" w:type="dxa"/>
            <w:tcBorders>
              <w:top w:val="nil"/>
              <w:left w:val="nil"/>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4</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9</w:t>
            </w:r>
          </w:p>
        </w:tc>
      </w:tr>
      <w:tr w:rsidR="0075732D" w:rsidRPr="0075732D" w:rsidTr="007D1C03">
        <w:trPr>
          <w:trHeight w:val="765"/>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2</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Nuclear Power Plant Communications (Report 16, Nuclear Plant Interface Coordination – Standard NUC-001-2, NERC, April 2010, http://www.nerc.com/files/NUC-001-2.pdf) could be used as a template for a more formal structure for communications.</w:t>
            </w:r>
          </w:p>
        </w:tc>
        <w:tc>
          <w:tcPr>
            <w:tcW w:w="810" w:type="dxa"/>
            <w:tcBorders>
              <w:top w:val="nil"/>
              <w:left w:val="nil"/>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8</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1</w:t>
            </w:r>
          </w:p>
        </w:tc>
        <w:tc>
          <w:tcPr>
            <w:tcW w:w="1095" w:type="dxa"/>
            <w:tcBorders>
              <w:top w:val="nil"/>
              <w:left w:val="single" w:sz="24" w:space="0" w:color="auto"/>
              <w:bottom w:val="nil"/>
              <w:right w:val="nil"/>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16" w:type="dxa"/>
            <w:tcBorders>
              <w:top w:val="nil"/>
              <w:left w:val="single" w:sz="4" w:space="0" w:color="auto"/>
              <w:bottom w:val="single" w:sz="4" w:space="0" w:color="auto"/>
              <w:right w:val="single" w:sz="2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13</w:t>
            </w:r>
          </w:p>
        </w:tc>
        <w:tc>
          <w:tcPr>
            <w:tcW w:w="1170"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19</w:t>
            </w:r>
          </w:p>
        </w:tc>
      </w:tr>
      <w:tr w:rsidR="0075732D" w:rsidRPr="0075732D" w:rsidTr="007D1C03">
        <w:trPr>
          <w:trHeight w:val="818"/>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lastRenderedPageBreak/>
              <w:t>4</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4</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810" w:type="dxa"/>
            <w:tcBorders>
              <w:top w:val="nil"/>
              <w:left w:val="nil"/>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14</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10</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19</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7</w:t>
            </w:r>
          </w:p>
        </w:tc>
      </w:tr>
      <w:tr w:rsidR="0075732D" w:rsidRPr="0075732D" w:rsidTr="007D1C03">
        <w:trPr>
          <w:trHeight w:val="1530"/>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5</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810" w:type="dxa"/>
            <w:tcBorders>
              <w:top w:val="nil"/>
              <w:left w:val="nil"/>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13</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28</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3</w:t>
            </w:r>
          </w:p>
        </w:tc>
      </w:tr>
      <w:tr w:rsidR="0075732D" w:rsidRPr="0075732D" w:rsidTr="007D1C0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6</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810" w:type="dxa"/>
            <w:tcBorders>
              <w:top w:val="nil"/>
              <w:left w:val="nil"/>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5</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19</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15</w:t>
            </w:r>
          </w:p>
        </w:tc>
      </w:tr>
      <w:tr w:rsidR="0075732D" w:rsidRPr="0075732D" w:rsidTr="007D1C0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7</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810" w:type="dxa"/>
            <w:tcBorders>
              <w:top w:val="nil"/>
              <w:left w:val="nil"/>
              <w:bottom w:val="single" w:sz="4" w:space="0" w:color="auto"/>
              <w:right w:val="single" w:sz="4" w:space="0" w:color="auto"/>
            </w:tcBorders>
            <w:shd w:val="clear" w:color="000000" w:fill="FFFF00"/>
            <w:noWrap/>
            <w:hideMark/>
          </w:tcPr>
          <w:p w:rsidR="0075732D" w:rsidRPr="0075732D" w:rsidRDefault="0075732D" w:rsidP="007D1C03">
            <w:pPr>
              <w:spacing w:before="120" w:after="120"/>
              <w:jc w:val="right"/>
              <w:rPr>
                <w:color w:val="000000"/>
              </w:rPr>
            </w:pPr>
            <w:r w:rsidRPr="0075732D">
              <w:rPr>
                <w:color w:val="000000"/>
              </w:rPr>
              <w:t>19</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27</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3</w:t>
            </w:r>
          </w:p>
        </w:tc>
      </w:tr>
      <w:tr w:rsidR="0075732D" w:rsidRPr="0075732D" w:rsidTr="007D1C03">
        <w:trPr>
          <w:trHeight w:val="323"/>
        </w:trPr>
        <w:tc>
          <w:tcPr>
            <w:tcW w:w="417" w:type="dxa"/>
            <w:tcBorders>
              <w:top w:val="nil"/>
              <w:left w:val="single" w:sz="4" w:space="0" w:color="auto"/>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rPr>
                <w:color w:val="000000"/>
              </w:rPr>
            </w:pPr>
            <w:r w:rsidRPr="0075732D">
              <w:rPr>
                <w:color w:val="000000"/>
              </w:rPr>
              <w:t>8</w:t>
            </w:r>
          </w:p>
        </w:tc>
        <w:tc>
          <w:tcPr>
            <w:tcW w:w="6639" w:type="dxa"/>
            <w:tcBorders>
              <w:top w:val="nil"/>
              <w:left w:val="nil"/>
              <w:bottom w:val="single" w:sz="4" w:space="0" w:color="auto"/>
              <w:right w:val="single" w:sz="4" w:space="0" w:color="auto"/>
            </w:tcBorders>
            <w:shd w:val="clear" w:color="000000" w:fill="EEECE1"/>
            <w:hideMark/>
          </w:tcPr>
          <w:p w:rsidR="0075732D" w:rsidRPr="0075732D" w:rsidRDefault="0075732D" w:rsidP="007D1C03">
            <w:pPr>
              <w:spacing w:before="120" w:after="120"/>
              <w:rPr>
                <w:color w:val="000000"/>
              </w:rPr>
            </w:pPr>
            <w:r w:rsidRPr="0075732D">
              <w:rPr>
                <w:color w:val="000000"/>
              </w:rPr>
              <w:t>Communications protocols may reflect the technology that was common when the protocols were adopted such that both now need updating in order to support provision of greater flexibility.</w:t>
            </w:r>
          </w:p>
        </w:tc>
        <w:tc>
          <w:tcPr>
            <w:tcW w:w="810" w:type="dxa"/>
            <w:tcBorders>
              <w:top w:val="nil"/>
              <w:left w:val="nil"/>
              <w:bottom w:val="single" w:sz="4" w:space="0" w:color="auto"/>
              <w:right w:val="single" w:sz="4" w:space="0" w:color="auto"/>
            </w:tcBorders>
            <w:shd w:val="clear" w:color="000000" w:fill="EEECE1"/>
            <w:noWrap/>
            <w:hideMark/>
          </w:tcPr>
          <w:p w:rsidR="0075732D" w:rsidRPr="0075732D" w:rsidRDefault="0075732D" w:rsidP="007D1C03">
            <w:pPr>
              <w:spacing w:before="120" w:after="120"/>
              <w:jc w:val="right"/>
              <w:rPr>
                <w:color w:val="000000"/>
              </w:rPr>
            </w:pPr>
            <w:r w:rsidRPr="0075732D">
              <w:rPr>
                <w:color w:val="000000"/>
              </w:rPr>
              <w:t>3</w:t>
            </w:r>
          </w:p>
        </w:tc>
        <w:tc>
          <w:tcPr>
            <w:tcW w:w="1299"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75732D" w:rsidRPr="0075732D" w:rsidRDefault="0075732D" w:rsidP="007D1C03">
            <w:pPr>
              <w:spacing w:before="120" w:after="120"/>
              <w:jc w:val="right"/>
              <w:rPr>
                <w:color w:val="000000"/>
              </w:rPr>
            </w:pPr>
            <w:r w:rsidRPr="0075732D">
              <w:rPr>
                <w:color w:val="000000"/>
              </w:rPr>
              <w:t>29</w:t>
            </w:r>
          </w:p>
        </w:tc>
        <w:tc>
          <w:tcPr>
            <w:tcW w:w="1116" w:type="dxa"/>
            <w:tcBorders>
              <w:top w:val="nil"/>
              <w:left w:val="nil"/>
              <w:bottom w:val="single" w:sz="4" w:space="0" w:color="auto"/>
              <w:right w:val="single" w:sz="2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75732D" w:rsidRPr="0075732D" w:rsidRDefault="0075732D" w:rsidP="007D1C03">
            <w:pPr>
              <w:spacing w:before="120" w:after="120"/>
              <w:jc w:val="right"/>
              <w:rPr>
                <w:color w:val="000000"/>
              </w:rPr>
            </w:pPr>
            <w:r w:rsidRPr="0075732D">
              <w:rPr>
                <w:color w:val="000000"/>
              </w:rPr>
              <w:t>8</w:t>
            </w:r>
          </w:p>
        </w:tc>
      </w:tr>
    </w:tbl>
    <w:p w:rsidR="0075732D" w:rsidRPr="0075732D" w:rsidRDefault="0075732D">
      <w:pPr>
        <w:rPr>
          <w:b/>
        </w:rPr>
      </w:pPr>
    </w:p>
    <w:sectPr w:rsidR="0075732D" w:rsidRPr="0075732D" w:rsidSect="0075732D">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6FA" w:rsidRDefault="005276FA">
      <w:r>
        <w:separator/>
      </w:r>
    </w:p>
  </w:endnote>
  <w:endnote w:type="continuationSeparator" w:id="0">
    <w:p w:rsidR="005276FA" w:rsidRDefault="0052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Arabic Typeset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A5" w:rsidRDefault="003318A5" w:rsidP="0046353B">
    <w:pPr>
      <w:pStyle w:val="Footer"/>
      <w:pBdr>
        <w:top w:val="single" w:sz="4" w:space="1" w:color="auto"/>
      </w:pBdr>
      <w:jc w:val="right"/>
    </w:pPr>
    <w:r>
      <w:t>NAESB Gas-Electric Harmonization Committee Work Paper, June 1, 2012</w:t>
    </w:r>
  </w:p>
  <w:p w:rsidR="003318A5" w:rsidRDefault="003318A5" w:rsidP="005A7C65">
    <w:pPr>
      <w:pStyle w:val="Footer"/>
      <w:jc w:val="right"/>
    </w:pPr>
    <w:r>
      <w:t xml:space="preserve">Page </w:t>
    </w:r>
    <w:r w:rsidR="005276FA">
      <w:fldChar w:fldCharType="begin"/>
    </w:r>
    <w:r w:rsidR="005276FA">
      <w:instrText xml:space="preserve"> PAGE   \* MERGEFORMAT </w:instrText>
    </w:r>
    <w:r w:rsidR="005276FA">
      <w:fldChar w:fldCharType="separate"/>
    </w:r>
    <w:r w:rsidR="00840991">
      <w:rPr>
        <w:noProof/>
      </w:rPr>
      <w:t>1</w:t>
    </w:r>
    <w:r w:rsidR="005276FA">
      <w:rPr>
        <w:noProof/>
      </w:rPr>
      <w:fldChar w:fldCharType="end"/>
    </w:r>
    <w:r>
      <w:fldChar w:fldCharType="begin"/>
    </w:r>
    <w:r w:rsidR="005276FA">
      <w:fldChar w:fldCharType="begin"/>
    </w:r>
    <w:r w:rsidR="005276FA">
      <w:instrText xml:space="preserve"> PAGE   \* MERGEFORMAT </w:instrText>
    </w:r>
    <w:r w:rsidR="005276FA">
      <w:fldChar w:fldCharType="separate"/>
    </w:r>
    <w:r w:rsidR="00840991">
      <w:rPr>
        <w:noProof/>
      </w:rPr>
      <w:instrText>1</w:instrText>
    </w:r>
    <w:r w:rsidR="005276FA">
      <w:rPr>
        <w:noProof/>
      </w:rPr>
      <w:fldChar w:fldCharType="end"/>
    </w:r>
    <w:r>
      <w:fldChar w:fldCharType="end"/>
    </w:r>
    <w:r>
      <w:t xml:space="preserve"> of </w:t>
    </w:r>
    <w:r w:rsidR="005276FA">
      <w:fldChar w:fldCharType="begin"/>
    </w:r>
    <w:r w:rsidR="005276FA">
      <w:instrText xml:space="preserve"> NUMPAGES  </w:instrText>
    </w:r>
    <w:r w:rsidR="005276FA">
      <w:fldChar w:fldCharType="separate"/>
    </w:r>
    <w:r w:rsidR="00840991">
      <w:rPr>
        <w:noProof/>
      </w:rPr>
      <w:t>15</w:t>
    </w:r>
    <w:r w:rsidR="005276F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6FA" w:rsidRDefault="005276FA">
      <w:r>
        <w:separator/>
      </w:r>
    </w:p>
  </w:footnote>
  <w:footnote w:type="continuationSeparator" w:id="0">
    <w:p w:rsidR="005276FA" w:rsidRDefault="00527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A5" w:rsidRDefault="00840991">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875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A5" w:rsidRDefault="003318A5"/>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3318A5" w:rsidRDefault="003318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3318A5" w:rsidRDefault="003318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3318A5" w:rsidRDefault="003318A5">
    <w:pPr>
      <w:pStyle w:val="Header"/>
      <w:tabs>
        <w:tab w:val="left" w:pos="680"/>
        <w:tab w:val="right" w:pos="9810"/>
      </w:tabs>
      <w:spacing w:before="60"/>
      <w:ind w:left="1800"/>
      <w:jc w:val="right"/>
    </w:pPr>
    <w:r>
      <w:t xml:space="preserve">1301 Fannin, </w:t>
    </w:r>
    <w:smartTag w:uri="urn:schemas-microsoft-com:office:smarttags" w:element="address">
      <w:smartTag w:uri="urn:schemas-microsoft-com:office:smarttags" w:element="Street">
        <w:r>
          <w:t>Suite</w:t>
        </w:r>
      </w:smartTag>
      <w:r>
        <w:t xml:space="preserve"> 2350</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3318A5" w:rsidRDefault="003318A5">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E-mail: naesb@naesb.org</w:t>
    </w:r>
  </w:p>
  <w:p w:rsidR="003318A5" w:rsidRDefault="003318A5">
    <w:pPr>
      <w:pStyle w:val="Header"/>
      <w:pBdr>
        <w:bottom w:val="single" w:sz="18" w:space="1" w:color="auto"/>
      </w:pBdr>
      <w:ind w:left="1800" w:hanging="1800"/>
      <w:jc w:val="right"/>
    </w:pPr>
    <w:r>
      <w:tab/>
      <w:t xml:space="preserve">Home Page: </w:t>
    </w:r>
    <w:hyperlink r:id="rId3" w:history="1">
      <w:r>
        <w:rPr>
          <w:rStyle w:val="Hyperlink"/>
        </w:rPr>
        <w:t>www.naesb.org</w:t>
      </w:r>
    </w:hyperlink>
  </w:p>
  <w:p w:rsidR="003318A5" w:rsidRDefault="003318A5">
    <w:pPr>
      <w:pStyle w:val="Header"/>
      <w:jc w:val="right"/>
      <w:rPr>
        <w:b/>
        <w:cap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A5" w:rsidRDefault="00840991">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60800"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A5" w:rsidRDefault="003318A5"/>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3318A5" w:rsidRDefault="003318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3318A5" w:rsidRDefault="003318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3318A5" w:rsidRDefault="003318A5">
    <w:pPr>
      <w:pStyle w:val="Header"/>
      <w:tabs>
        <w:tab w:val="left" w:pos="680"/>
        <w:tab w:val="right" w:pos="9810"/>
      </w:tabs>
      <w:spacing w:before="60"/>
      <w:ind w:left="1800"/>
      <w:jc w:val="right"/>
    </w:pPr>
    <w:r>
      <w:t xml:space="preserve">1301 Fannin, </w:t>
    </w:r>
    <w:smartTag w:uri="urn:schemas-microsoft-com:office:smarttags" w:element="address">
      <w:smartTag w:uri="urn:schemas-microsoft-com:office:smarttags" w:element="Street">
        <w:r>
          <w:t>Suite</w:t>
        </w:r>
      </w:smartTag>
      <w:r>
        <w:t xml:space="preserve"> 2350</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3318A5" w:rsidRDefault="003318A5">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E-mail: naesb@naesb.org</w:t>
    </w:r>
  </w:p>
  <w:p w:rsidR="003318A5" w:rsidRDefault="003318A5">
    <w:pPr>
      <w:pStyle w:val="Header"/>
      <w:pBdr>
        <w:bottom w:val="single" w:sz="18" w:space="1" w:color="auto"/>
      </w:pBdr>
      <w:ind w:left="1800" w:hanging="1800"/>
      <w:jc w:val="right"/>
    </w:pPr>
    <w:r>
      <w:tab/>
      <w:t xml:space="preserve">Home Page: </w:t>
    </w:r>
    <w:hyperlink r:id="rId3" w:history="1">
      <w:r>
        <w:rPr>
          <w:rStyle w:val="Hyperlink"/>
        </w:rPr>
        <w:t>www.naesb.org</w:t>
      </w:r>
    </w:hyperlink>
  </w:p>
  <w:p w:rsidR="003318A5" w:rsidRDefault="003318A5" w:rsidP="005B5BC3">
    <w:pPr>
      <w:spacing w:before="120"/>
      <w:jc w:val="right"/>
      <w:outlineLvl w:val="0"/>
    </w:pPr>
    <w:r>
      <w:t>NAESB Work Paper – GEH Committee Analysis for Standards Related Activities</w:t>
    </w:r>
  </w:p>
  <w:p w:rsidR="003318A5" w:rsidRDefault="003318A5" w:rsidP="005B5BC3">
    <w:pPr>
      <w:spacing w:after="240"/>
      <w:jc w:val="right"/>
      <w:outlineLvl w:val="0"/>
    </w:pPr>
    <w:r>
      <w:t>Draft – June 1,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170"/>
    <w:multiLevelType w:val="hybridMultilevel"/>
    <w:tmpl w:val="56D0DA3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343519C"/>
    <w:multiLevelType w:val="hybridMultilevel"/>
    <w:tmpl w:val="4516B226"/>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tentative="1">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3">
    <w:nsid w:val="06A80E24"/>
    <w:multiLevelType w:val="hybridMultilevel"/>
    <w:tmpl w:val="6E7AD1DC"/>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CF55157"/>
    <w:multiLevelType w:val="hybridMultilevel"/>
    <w:tmpl w:val="5B727BD6"/>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5">
    <w:nsid w:val="0DB51CA2"/>
    <w:multiLevelType w:val="hybridMultilevel"/>
    <w:tmpl w:val="41BADB7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7111383"/>
    <w:multiLevelType w:val="hybridMultilevel"/>
    <w:tmpl w:val="67FA45CC"/>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7">
    <w:nsid w:val="194F1C1E"/>
    <w:multiLevelType w:val="hybridMultilevel"/>
    <w:tmpl w:val="D78A6FC2"/>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BE85B97"/>
    <w:multiLevelType w:val="hybridMultilevel"/>
    <w:tmpl w:val="1466F3C0"/>
    <w:lvl w:ilvl="0" w:tplc="CCE28A98">
      <w:start w:val="4"/>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1E6550E1"/>
    <w:multiLevelType w:val="hybridMultilevel"/>
    <w:tmpl w:val="198EC08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435144"/>
    <w:multiLevelType w:val="hybridMultilevel"/>
    <w:tmpl w:val="EE7CA302"/>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nsid w:val="22F53EFB"/>
    <w:multiLevelType w:val="hybridMultilevel"/>
    <w:tmpl w:val="B28AC3DE"/>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2">
    <w:nsid w:val="25113639"/>
    <w:multiLevelType w:val="hybridMultilevel"/>
    <w:tmpl w:val="F35C94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FA79F2"/>
    <w:multiLevelType w:val="hybridMultilevel"/>
    <w:tmpl w:val="AB8455D6"/>
    <w:lvl w:ilvl="0" w:tplc="FF82B3F8">
      <w:start w:val="1"/>
      <w:numFmt w:val="bullet"/>
      <w:lvlText w:val=""/>
      <w:lvlJc w:val="left"/>
      <w:pPr>
        <w:tabs>
          <w:tab w:val="num" w:pos="872"/>
        </w:tabs>
        <w:ind w:left="1088" w:firstLine="0"/>
      </w:pPr>
      <w:rPr>
        <w:rFonts w:ascii="Symbol" w:hAnsi="Symbol" w:hint="default"/>
        <w:sz w:val="16"/>
        <w:szCs w:val="16"/>
      </w:rPr>
    </w:lvl>
    <w:lvl w:ilvl="1" w:tplc="9426F802">
      <w:start w:val="1"/>
      <w:numFmt w:val="bullet"/>
      <w:lvlText w:val=""/>
      <w:lvlJc w:val="left"/>
      <w:pPr>
        <w:tabs>
          <w:tab w:val="num" w:pos="1368"/>
        </w:tabs>
        <w:ind w:left="1368" w:hanging="288"/>
      </w:pPr>
      <w:rPr>
        <w:rFonts w:ascii="Symbol" w:hAnsi="Symbol"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BA7B31"/>
    <w:multiLevelType w:val="hybridMultilevel"/>
    <w:tmpl w:val="153AC700"/>
    <w:lvl w:ilvl="0" w:tplc="0409000B">
      <w:start w:val="1"/>
      <w:numFmt w:val="bullet"/>
      <w:lvlText w:val=""/>
      <w:lvlJc w:val="left"/>
      <w:pPr>
        <w:tabs>
          <w:tab w:val="num" w:pos="3238"/>
        </w:tabs>
        <w:ind w:left="3238" w:hanging="360"/>
      </w:pPr>
      <w:rPr>
        <w:rFonts w:ascii="Wingdings" w:hAnsi="Wingdings" w:hint="default"/>
      </w:rPr>
    </w:lvl>
    <w:lvl w:ilvl="1" w:tplc="04090003" w:tentative="1">
      <w:start w:val="1"/>
      <w:numFmt w:val="bullet"/>
      <w:lvlText w:val="o"/>
      <w:lvlJc w:val="left"/>
      <w:pPr>
        <w:tabs>
          <w:tab w:val="num" w:pos="3958"/>
        </w:tabs>
        <w:ind w:left="3958" w:hanging="360"/>
      </w:pPr>
      <w:rPr>
        <w:rFonts w:ascii="Courier New" w:hAnsi="Courier New" w:cs="Courier New" w:hint="default"/>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6">
    <w:nsid w:val="2A8F6BFE"/>
    <w:multiLevelType w:val="hybridMultilevel"/>
    <w:tmpl w:val="A3F0B8FE"/>
    <w:lvl w:ilvl="0" w:tplc="6F242688">
      <w:start w:val="1"/>
      <w:numFmt w:val="decimal"/>
      <w:lvlText w:val="%1."/>
      <w:lvlJc w:val="left"/>
      <w:pPr>
        <w:ind w:left="2160" w:hanging="720"/>
      </w:pPr>
      <w:rPr>
        <w:rFonts w:hint="default"/>
        <w:sz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B84372"/>
    <w:multiLevelType w:val="hybridMultilevel"/>
    <w:tmpl w:val="4E78A9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2C051A"/>
    <w:multiLevelType w:val="hybridMultilevel"/>
    <w:tmpl w:val="AB9AB942"/>
    <w:lvl w:ilvl="0" w:tplc="A7CCDC0C">
      <w:start w:val="10"/>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43197C"/>
    <w:multiLevelType w:val="hybridMultilevel"/>
    <w:tmpl w:val="B6EC187A"/>
    <w:lvl w:ilvl="0" w:tplc="FF82B3F8">
      <w:start w:val="1"/>
      <w:numFmt w:val="bullet"/>
      <w:lvlText w:val=""/>
      <w:lvlJc w:val="left"/>
      <w:pPr>
        <w:tabs>
          <w:tab w:val="num" w:pos="1944"/>
        </w:tabs>
        <w:ind w:left="2160" w:firstLine="0"/>
      </w:pPr>
      <w:rPr>
        <w:rFonts w:ascii="Symbol" w:hAnsi="Symbol" w:hint="default"/>
        <w:sz w:val="16"/>
        <w:szCs w:val="16"/>
      </w:rPr>
    </w:lvl>
    <w:lvl w:ilvl="1" w:tplc="04090003">
      <w:start w:val="1"/>
      <w:numFmt w:val="bullet"/>
      <w:lvlText w:val="o"/>
      <w:lvlJc w:val="left"/>
      <w:pPr>
        <w:tabs>
          <w:tab w:val="num" w:pos="2512"/>
        </w:tabs>
        <w:ind w:left="2512" w:hanging="360"/>
      </w:pPr>
      <w:rPr>
        <w:rFonts w:ascii="Courier New" w:hAnsi="Courier New" w:cs="Courier New" w:hint="default"/>
      </w:rPr>
    </w:lvl>
    <w:lvl w:ilvl="2" w:tplc="04090005">
      <w:start w:val="1"/>
      <w:numFmt w:val="bullet"/>
      <w:lvlText w:val=""/>
      <w:lvlJc w:val="left"/>
      <w:pPr>
        <w:tabs>
          <w:tab w:val="num" w:pos="3232"/>
        </w:tabs>
        <w:ind w:left="3232" w:hanging="360"/>
      </w:pPr>
      <w:rPr>
        <w:rFonts w:ascii="Wingdings" w:hAnsi="Wingdings" w:hint="default"/>
      </w:rPr>
    </w:lvl>
    <w:lvl w:ilvl="3" w:tplc="04090001">
      <w:start w:val="1"/>
      <w:numFmt w:val="bullet"/>
      <w:lvlText w:val=""/>
      <w:lvlJc w:val="left"/>
      <w:pPr>
        <w:tabs>
          <w:tab w:val="num" w:pos="3952"/>
        </w:tabs>
        <w:ind w:left="3952" w:hanging="360"/>
      </w:pPr>
      <w:rPr>
        <w:rFonts w:ascii="Symbol" w:hAnsi="Symbol" w:hint="default"/>
      </w:rPr>
    </w:lvl>
    <w:lvl w:ilvl="4" w:tplc="04090003" w:tentative="1">
      <w:start w:val="1"/>
      <w:numFmt w:val="bullet"/>
      <w:lvlText w:val="o"/>
      <w:lvlJc w:val="left"/>
      <w:pPr>
        <w:tabs>
          <w:tab w:val="num" w:pos="4672"/>
        </w:tabs>
        <w:ind w:left="4672" w:hanging="360"/>
      </w:pPr>
      <w:rPr>
        <w:rFonts w:ascii="Courier New" w:hAnsi="Courier New" w:cs="Courier New" w:hint="default"/>
      </w:rPr>
    </w:lvl>
    <w:lvl w:ilvl="5" w:tplc="04090005" w:tentative="1">
      <w:start w:val="1"/>
      <w:numFmt w:val="bullet"/>
      <w:lvlText w:val=""/>
      <w:lvlJc w:val="left"/>
      <w:pPr>
        <w:tabs>
          <w:tab w:val="num" w:pos="5392"/>
        </w:tabs>
        <w:ind w:left="5392" w:hanging="360"/>
      </w:pPr>
      <w:rPr>
        <w:rFonts w:ascii="Wingdings" w:hAnsi="Wingdings" w:hint="default"/>
      </w:rPr>
    </w:lvl>
    <w:lvl w:ilvl="6" w:tplc="04090001" w:tentative="1">
      <w:start w:val="1"/>
      <w:numFmt w:val="bullet"/>
      <w:lvlText w:val=""/>
      <w:lvlJc w:val="left"/>
      <w:pPr>
        <w:tabs>
          <w:tab w:val="num" w:pos="6112"/>
        </w:tabs>
        <w:ind w:left="6112" w:hanging="360"/>
      </w:pPr>
      <w:rPr>
        <w:rFonts w:ascii="Symbol" w:hAnsi="Symbol" w:hint="default"/>
      </w:rPr>
    </w:lvl>
    <w:lvl w:ilvl="7" w:tplc="04090003" w:tentative="1">
      <w:start w:val="1"/>
      <w:numFmt w:val="bullet"/>
      <w:lvlText w:val="o"/>
      <w:lvlJc w:val="left"/>
      <w:pPr>
        <w:tabs>
          <w:tab w:val="num" w:pos="6832"/>
        </w:tabs>
        <w:ind w:left="6832" w:hanging="360"/>
      </w:pPr>
      <w:rPr>
        <w:rFonts w:ascii="Courier New" w:hAnsi="Courier New" w:cs="Courier New" w:hint="default"/>
      </w:rPr>
    </w:lvl>
    <w:lvl w:ilvl="8" w:tplc="04090005" w:tentative="1">
      <w:start w:val="1"/>
      <w:numFmt w:val="bullet"/>
      <w:lvlText w:val=""/>
      <w:lvlJc w:val="left"/>
      <w:pPr>
        <w:tabs>
          <w:tab w:val="num" w:pos="7552"/>
        </w:tabs>
        <w:ind w:left="7552" w:hanging="360"/>
      </w:pPr>
      <w:rPr>
        <w:rFonts w:ascii="Wingdings" w:hAnsi="Wingdings" w:hint="default"/>
      </w:rPr>
    </w:lvl>
  </w:abstractNum>
  <w:abstractNum w:abstractNumId="20">
    <w:nsid w:val="3B073DD5"/>
    <w:multiLevelType w:val="hybridMultilevel"/>
    <w:tmpl w:val="93165F28"/>
    <w:lvl w:ilvl="0" w:tplc="CCE28A98">
      <w:start w:val="4"/>
      <w:numFmt w:val="decimal"/>
      <w:lvlText w:val="%1."/>
      <w:lvlJc w:val="left"/>
      <w:pPr>
        <w:tabs>
          <w:tab w:val="num" w:pos="2520"/>
        </w:tabs>
        <w:ind w:left="2520" w:hanging="360"/>
      </w:pPr>
      <w:rPr>
        <w:rFonts w:hint="default"/>
      </w:rPr>
    </w:lvl>
    <w:lvl w:ilvl="1" w:tplc="F8461EE0">
      <w:start w:val="6"/>
      <w:numFmt w:val="decimal"/>
      <w:lvlText w:val="%2."/>
      <w:lvlJc w:val="left"/>
      <w:pPr>
        <w:tabs>
          <w:tab w:val="num" w:pos="1440"/>
        </w:tabs>
        <w:ind w:left="1440" w:hanging="360"/>
      </w:pPr>
      <w:rPr>
        <w:rFonts w:hint="default"/>
        <w:color w:val="000000"/>
      </w:rPr>
    </w:lvl>
    <w:lvl w:ilvl="2" w:tplc="A7CCDC0C">
      <w:start w:val="10"/>
      <w:numFmt w:val="decimal"/>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B9248F"/>
    <w:multiLevelType w:val="multilevel"/>
    <w:tmpl w:val="57A23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D1200A"/>
    <w:multiLevelType w:val="hybridMultilevel"/>
    <w:tmpl w:val="BD4A4F3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D048CA"/>
    <w:multiLevelType w:val="hybridMultilevel"/>
    <w:tmpl w:val="57A23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34788A"/>
    <w:multiLevelType w:val="hybridMultilevel"/>
    <w:tmpl w:val="65AAC9BA"/>
    <w:lvl w:ilvl="0" w:tplc="76B43D3A">
      <w:start w:val="1"/>
      <w:numFmt w:val="bullet"/>
      <w:lvlText w:val=""/>
      <w:lvlJc w:val="left"/>
      <w:pPr>
        <w:tabs>
          <w:tab w:val="num" w:pos="2160"/>
        </w:tabs>
        <w:ind w:left="216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444362"/>
    <w:multiLevelType w:val="hybridMultilevel"/>
    <w:tmpl w:val="7932DC0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4774EF8"/>
    <w:multiLevelType w:val="singleLevel"/>
    <w:tmpl w:val="A39884B6"/>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7">
    <w:nsid w:val="447757F6"/>
    <w:multiLevelType w:val="hybridMultilevel"/>
    <w:tmpl w:val="8230D29E"/>
    <w:lvl w:ilvl="0" w:tplc="0409000F">
      <w:start w:val="1"/>
      <w:numFmt w:val="decimal"/>
      <w:lvlText w:val="%1."/>
      <w:lvlJc w:val="left"/>
      <w:pPr>
        <w:tabs>
          <w:tab w:val="num" w:pos="2160"/>
        </w:tabs>
        <w:ind w:left="2160" w:hanging="360"/>
      </w:pPr>
      <w:rPr>
        <w:rFonts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B04738"/>
    <w:multiLevelType w:val="hybridMultilevel"/>
    <w:tmpl w:val="E2A0CE28"/>
    <w:lvl w:ilvl="0" w:tplc="85E2C9AE">
      <w:start w:val="1"/>
      <w:numFmt w:val="bullet"/>
      <w:lvlText w:val=""/>
      <w:lvlJc w:val="left"/>
      <w:pPr>
        <w:tabs>
          <w:tab w:val="num" w:pos="648"/>
        </w:tabs>
        <w:ind w:left="64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7D00AD"/>
    <w:multiLevelType w:val="hybridMultilevel"/>
    <w:tmpl w:val="349EE4A4"/>
    <w:lvl w:ilvl="0" w:tplc="85E2C9AE">
      <w:start w:val="1"/>
      <w:numFmt w:val="bullet"/>
      <w:lvlText w:val=""/>
      <w:lvlJc w:val="left"/>
      <w:pPr>
        <w:tabs>
          <w:tab w:val="num" w:pos="1728"/>
        </w:tabs>
        <w:ind w:left="1728" w:hanging="288"/>
      </w:pPr>
      <w:rPr>
        <w:rFonts w:ascii="Symbol" w:hAnsi="Symbol" w:hint="default"/>
        <w:b w:val="0"/>
        <w:i w:val="0"/>
        <w:sz w:val="18"/>
        <w:szCs w:val="18"/>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5A601F8"/>
    <w:multiLevelType w:val="hybridMultilevel"/>
    <w:tmpl w:val="46F4739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257F08"/>
    <w:multiLevelType w:val="hybridMultilevel"/>
    <w:tmpl w:val="E0D4C1E0"/>
    <w:lvl w:ilvl="0" w:tplc="76B43D3A">
      <w:start w:val="1"/>
      <w:numFmt w:val="bullet"/>
      <w:lvlText w:val=""/>
      <w:lvlJc w:val="left"/>
      <w:pPr>
        <w:tabs>
          <w:tab w:val="num" w:pos="2160"/>
        </w:tabs>
        <w:ind w:left="2160" w:hanging="360"/>
      </w:pPr>
      <w:rPr>
        <w:rFonts w:ascii="Symbol" w:hAnsi="Symbol" w:hint="default"/>
        <w:color w:val="auto"/>
        <w:sz w:val="20"/>
      </w:rPr>
    </w:lvl>
    <w:lvl w:ilvl="1" w:tplc="1D5CCEA4">
      <w:start w:val="3"/>
      <w:numFmt w:val="decimal"/>
      <w:lvlText w:val="%2."/>
      <w:lvlJc w:val="left"/>
      <w:pPr>
        <w:tabs>
          <w:tab w:val="num" w:pos="2520"/>
        </w:tabs>
        <w:ind w:left="2520" w:hanging="720"/>
      </w:pPr>
      <w:rPr>
        <w:rFonts w:hint="default"/>
        <w:color w:val="auto"/>
        <w:sz w:val="24"/>
      </w:rPr>
    </w:lvl>
    <w:lvl w:ilvl="2" w:tplc="1D5CCEA4">
      <w:start w:val="3"/>
      <w:numFmt w:val="decimal"/>
      <w:lvlText w:val="%3."/>
      <w:lvlJc w:val="left"/>
      <w:pPr>
        <w:tabs>
          <w:tab w:val="num" w:pos="3240"/>
        </w:tabs>
        <w:ind w:left="3240" w:hanging="720"/>
      </w:pPr>
      <w:rPr>
        <w:rFonts w:hint="default"/>
        <w:color w:val="auto"/>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BD5482D"/>
    <w:multiLevelType w:val="hybridMultilevel"/>
    <w:tmpl w:val="12E8BB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C61152"/>
    <w:multiLevelType w:val="hybridMultilevel"/>
    <w:tmpl w:val="AC20F3F2"/>
    <w:lvl w:ilvl="0" w:tplc="2F52E8D4">
      <w:start w:val="2"/>
      <w:numFmt w:val="decimal"/>
      <w:lvlText w:val="%1."/>
      <w:lvlJc w:val="left"/>
      <w:pPr>
        <w:tabs>
          <w:tab w:val="num" w:pos="2160"/>
        </w:tabs>
        <w:ind w:left="2160" w:hanging="720"/>
      </w:pPr>
      <w:rPr>
        <w:rFonts w:hint="default"/>
        <w:b w:val="0"/>
        <w:i w:val="0"/>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CA04DF"/>
    <w:multiLevelType w:val="hybridMultilevel"/>
    <w:tmpl w:val="162637FC"/>
    <w:lvl w:ilvl="0" w:tplc="FF82B3F8">
      <w:start w:val="1"/>
      <w:numFmt w:val="bullet"/>
      <w:lvlText w:val=""/>
      <w:lvlJc w:val="left"/>
      <w:pPr>
        <w:tabs>
          <w:tab w:val="num" w:pos="1224"/>
        </w:tabs>
        <w:ind w:left="1440" w:firstLine="0"/>
      </w:pPr>
      <w:rPr>
        <w:rFonts w:ascii="Symbol" w:hAnsi="Symbol" w:hint="default"/>
        <w:b w:val="0"/>
        <w:i w:val="0"/>
        <w:sz w:val="16"/>
        <w:szCs w:val="16"/>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65C169E2"/>
    <w:multiLevelType w:val="multilevel"/>
    <w:tmpl w:val="E2A0CE28"/>
    <w:lvl w:ilvl="0">
      <w:start w:val="1"/>
      <w:numFmt w:val="bullet"/>
      <w:lvlText w:val=""/>
      <w:lvlJc w:val="left"/>
      <w:pPr>
        <w:tabs>
          <w:tab w:val="num" w:pos="648"/>
        </w:tabs>
        <w:ind w:left="648" w:hanging="288"/>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66006A20"/>
    <w:multiLevelType w:val="hybridMultilevel"/>
    <w:tmpl w:val="030E93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66B5C58"/>
    <w:multiLevelType w:val="hybridMultilevel"/>
    <w:tmpl w:val="94FE7CDE"/>
    <w:lvl w:ilvl="0" w:tplc="76B43D3A">
      <w:start w:val="1"/>
      <w:numFmt w:val="bullet"/>
      <w:lvlText w:val=""/>
      <w:lvlJc w:val="left"/>
      <w:pPr>
        <w:tabs>
          <w:tab w:val="num" w:pos="1800"/>
        </w:tabs>
        <w:ind w:left="1800" w:hanging="360"/>
      </w:pPr>
      <w:rPr>
        <w:rFonts w:ascii="Symbol" w:hAnsi="Symbol" w:hint="default"/>
        <w:color w:val="auto"/>
        <w:sz w:val="20"/>
      </w:rPr>
    </w:lvl>
    <w:lvl w:ilvl="1" w:tplc="059A2BCC">
      <w:start w:val="4"/>
      <w:numFmt w:val="decimal"/>
      <w:lvlText w:val="%2."/>
      <w:lvlJc w:val="left"/>
      <w:pPr>
        <w:tabs>
          <w:tab w:val="num" w:pos="2880"/>
        </w:tabs>
        <w:ind w:left="2880" w:hanging="720"/>
      </w:pPr>
      <w:rPr>
        <w:rFonts w:hint="default"/>
        <w:color w:val="auto"/>
        <w:sz w:val="18"/>
      </w:rPr>
    </w:lvl>
    <w:lvl w:ilvl="2" w:tplc="B964E506">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67B31E60"/>
    <w:multiLevelType w:val="multilevel"/>
    <w:tmpl w:val="76725790"/>
    <w:lvl w:ilvl="0">
      <w:start w:val="4"/>
      <w:numFmt w:val="decimal"/>
      <w:lvlText w:val="%1."/>
      <w:lvlJc w:val="left"/>
      <w:pPr>
        <w:tabs>
          <w:tab w:val="num" w:pos="2520"/>
        </w:tabs>
        <w:ind w:left="2520" w:hanging="360"/>
      </w:pPr>
      <w:rPr>
        <w:rFonts w:hint="default"/>
      </w:rPr>
    </w:lvl>
    <w:lvl w:ilvl="1">
      <w:start w:val="5"/>
      <w:numFmt w:val="decimal"/>
      <w:lvlText w:val="%2."/>
      <w:lvlJc w:val="left"/>
      <w:pPr>
        <w:tabs>
          <w:tab w:val="num" w:pos="1440"/>
        </w:tabs>
        <w:ind w:left="1440" w:hanging="360"/>
      </w:pPr>
      <w:rPr>
        <w:rFonts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8665BF9"/>
    <w:multiLevelType w:val="hybridMultilevel"/>
    <w:tmpl w:val="E83A8D84"/>
    <w:lvl w:ilvl="0" w:tplc="04090001">
      <w:start w:val="1"/>
      <w:numFmt w:val="bullet"/>
      <w:lvlText w:val=""/>
      <w:lvlJc w:val="left"/>
      <w:pPr>
        <w:tabs>
          <w:tab w:val="num" w:pos="720"/>
        </w:tabs>
        <w:ind w:left="720" w:hanging="360"/>
      </w:pPr>
      <w:rPr>
        <w:rFonts w:ascii="Symbol" w:hAnsi="Symbol" w:hint="default"/>
      </w:rPr>
    </w:lvl>
    <w:lvl w:ilvl="1" w:tplc="195AF24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B358B2"/>
    <w:multiLevelType w:val="hybridMultilevel"/>
    <w:tmpl w:val="E15AC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0B51279"/>
    <w:multiLevelType w:val="hybridMultilevel"/>
    <w:tmpl w:val="CBB21DE0"/>
    <w:lvl w:ilvl="0" w:tplc="059A2BCC">
      <w:start w:val="4"/>
      <w:numFmt w:val="decimal"/>
      <w:lvlText w:val="%1."/>
      <w:lvlJc w:val="left"/>
      <w:pPr>
        <w:tabs>
          <w:tab w:val="num" w:pos="2520"/>
        </w:tabs>
        <w:ind w:left="2520" w:hanging="72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C56A22"/>
    <w:multiLevelType w:val="hybridMultilevel"/>
    <w:tmpl w:val="857680EC"/>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73A01CB0"/>
    <w:multiLevelType w:val="hybridMultilevel"/>
    <w:tmpl w:val="685AE10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4"/>
  </w:num>
  <w:num w:numId="3">
    <w:abstractNumId w:val="32"/>
  </w:num>
  <w:num w:numId="4">
    <w:abstractNumId w:val="35"/>
  </w:num>
  <w:num w:numId="5">
    <w:abstractNumId w:val="40"/>
  </w:num>
  <w:num w:numId="6">
    <w:abstractNumId w:val="44"/>
  </w:num>
  <w:num w:numId="7">
    <w:abstractNumId w:val="15"/>
  </w:num>
  <w:num w:numId="8">
    <w:abstractNumId w:val="27"/>
  </w:num>
  <w:num w:numId="9">
    <w:abstractNumId w:val="23"/>
  </w:num>
  <w:num w:numId="10">
    <w:abstractNumId w:val="21"/>
  </w:num>
  <w:num w:numId="11">
    <w:abstractNumId w:val="20"/>
  </w:num>
  <w:num w:numId="12">
    <w:abstractNumId w:val="8"/>
  </w:num>
  <w:num w:numId="13">
    <w:abstractNumId w:val="41"/>
  </w:num>
  <w:num w:numId="14">
    <w:abstractNumId w:val="11"/>
  </w:num>
  <w:num w:numId="15">
    <w:abstractNumId w:val="4"/>
  </w:num>
  <w:num w:numId="16">
    <w:abstractNumId w:val="6"/>
  </w:num>
  <w:num w:numId="17">
    <w:abstractNumId w:val="7"/>
  </w:num>
  <w:num w:numId="18">
    <w:abstractNumId w:val="0"/>
  </w:num>
  <w:num w:numId="19">
    <w:abstractNumId w:val="25"/>
  </w:num>
  <w:num w:numId="20">
    <w:abstractNumId w:val="18"/>
  </w:num>
  <w:num w:numId="21">
    <w:abstractNumId w:val="3"/>
  </w:num>
  <w:num w:numId="22">
    <w:abstractNumId w:val="12"/>
  </w:num>
  <w:num w:numId="23">
    <w:abstractNumId w:val="28"/>
  </w:num>
  <w:num w:numId="24">
    <w:abstractNumId w:val="38"/>
  </w:num>
  <w:num w:numId="25">
    <w:abstractNumId w:val="22"/>
  </w:num>
  <w:num w:numId="26">
    <w:abstractNumId w:val="10"/>
  </w:num>
  <w:num w:numId="27">
    <w:abstractNumId w:val="9"/>
  </w:num>
  <w:num w:numId="28">
    <w:abstractNumId w:val="33"/>
  </w:num>
  <w:num w:numId="29">
    <w:abstractNumId w:val="30"/>
  </w:num>
  <w:num w:numId="30">
    <w:abstractNumId w:val="2"/>
  </w:num>
  <w:num w:numId="31">
    <w:abstractNumId w:val="26"/>
  </w:num>
  <w:num w:numId="32">
    <w:abstractNumId w:val="19"/>
  </w:num>
  <w:num w:numId="33">
    <w:abstractNumId w:val="37"/>
  </w:num>
  <w:num w:numId="34">
    <w:abstractNumId w:val="46"/>
  </w:num>
  <w:num w:numId="35">
    <w:abstractNumId w:val="17"/>
  </w:num>
  <w:num w:numId="36">
    <w:abstractNumId w:val="13"/>
  </w:num>
  <w:num w:numId="37">
    <w:abstractNumId w:val="43"/>
  </w:num>
  <w:num w:numId="38">
    <w:abstractNumId w:val="5"/>
  </w:num>
  <w:num w:numId="39">
    <w:abstractNumId w:val="16"/>
  </w:num>
  <w:num w:numId="40">
    <w:abstractNumId w:val="45"/>
  </w:num>
  <w:num w:numId="41">
    <w:abstractNumId w:val="1"/>
  </w:num>
  <w:num w:numId="42">
    <w:abstractNumId w:val="36"/>
  </w:num>
  <w:num w:numId="43">
    <w:abstractNumId w:val="14"/>
  </w:num>
  <w:num w:numId="44">
    <w:abstractNumId w:val="39"/>
    <w:lvlOverride w:ilvl="0"/>
    <w:lvlOverride w:ilvl="1">
      <w:startOverride w:val="1"/>
    </w:lvlOverride>
    <w:lvlOverride w:ilvl="2"/>
    <w:lvlOverride w:ilvl="3"/>
    <w:lvlOverride w:ilvl="4"/>
    <w:lvlOverride w:ilvl="5"/>
    <w:lvlOverride w:ilvl="6"/>
    <w:lvlOverride w:ilvl="7"/>
    <w:lvlOverride w:ilvl="8"/>
  </w:num>
  <w:num w:numId="45">
    <w:abstractNumId w:val="34"/>
  </w:num>
  <w:num w:numId="46">
    <w:abstractNumId w:val="31"/>
  </w:num>
  <w:num w:numId="4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65"/>
    <w:rsid w:val="00032EE7"/>
    <w:rsid w:val="000545EF"/>
    <w:rsid w:val="000864D6"/>
    <w:rsid w:val="000C0325"/>
    <w:rsid w:val="000F7B41"/>
    <w:rsid w:val="002236D8"/>
    <w:rsid w:val="003318A5"/>
    <w:rsid w:val="003636AF"/>
    <w:rsid w:val="003F2FED"/>
    <w:rsid w:val="0046353B"/>
    <w:rsid w:val="005276FA"/>
    <w:rsid w:val="005479BC"/>
    <w:rsid w:val="005666C6"/>
    <w:rsid w:val="00587B2A"/>
    <w:rsid w:val="005A7C65"/>
    <w:rsid w:val="005B5BC3"/>
    <w:rsid w:val="006414C4"/>
    <w:rsid w:val="0075732D"/>
    <w:rsid w:val="007D1C03"/>
    <w:rsid w:val="00840991"/>
    <w:rsid w:val="00890E06"/>
    <w:rsid w:val="008A0A0E"/>
    <w:rsid w:val="008A4E89"/>
    <w:rsid w:val="00946EE3"/>
    <w:rsid w:val="009A7461"/>
    <w:rsid w:val="009D28AB"/>
    <w:rsid w:val="00A03142"/>
    <w:rsid w:val="00A176FB"/>
    <w:rsid w:val="00A64104"/>
    <w:rsid w:val="00B26E0F"/>
    <w:rsid w:val="00BF6F2A"/>
    <w:rsid w:val="00C26A7E"/>
    <w:rsid w:val="00C87773"/>
    <w:rsid w:val="00D13A38"/>
    <w:rsid w:val="00DC6648"/>
    <w:rsid w:val="00E3024B"/>
    <w:rsid w:val="00F5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4635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463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84623">
      <w:bodyDiv w:val="1"/>
      <w:marLeft w:val="0"/>
      <w:marRight w:val="0"/>
      <w:marTop w:val="0"/>
      <w:marBottom w:val="0"/>
      <w:divBdr>
        <w:top w:val="none" w:sz="0" w:space="0" w:color="auto"/>
        <w:left w:val="none" w:sz="0" w:space="0" w:color="auto"/>
        <w:bottom w:val="none" w:sz="0" w:space="0" w:color="auto"/>
        <w:right w:val="none" w:sz="0" w:space="0" w:color="auto"/>
      </w:divBdr>
    </w:div>
    <w:div w:id="285089649">
      <w:bodyDiv w:val="1"/>
      <w:marLeft w:val="0"/>
      <w:marRight w:val="0"/>
      <w:marTop w:val="0"/>
      <w:marBottom w:val="0"/>
      <w:divBdr>
        <w:top w:val="none" w:sz="0" w:space="0" w:color="auto"/>
        <w:left w:val="none" w:sz="0" w:space="0" w:color="auto"/>
        <w:bottom w:val="none" w:sz="0" w:space="0" w:color="auto"/>
        <w:right w:val="none" w:sz="0" w:space="0" w:color="auto"/>
      </w:divBdr>
    </w:div>
    <w:div w:id="476193762">
      <w:bodyDiv w:val="1"/>
      <w:marLeft w:val="0"/>
      <w:marRight w:val="0"/>
      <w:marTop w:val="0"/>
      <w:marBottom w:val="0"/>
      <w:divBdr>
        <w:top w:val="none" w:sz="0" w:space="0" w:color="auto"/>
        <w:left w:val="none" w:sz="0" w:space="0" w:color="auto"/>
        <w:bottom w:val="none" w:sz="0" w:space="0" w:color="auto"/>
        <w:right w:val="none" w:sz="0" w:space="0" w:color="auto"/>
      </w:divBdr>
    </w:div>
    <w:div w:id="624195358">
      <w:bodyDiv w:val="1"/>
      <w:marLeft w:val="0"/>
      <w:marRight w:val="0"/>
      <w:marTop w:val="0"/>
      <w:marBottom w:val="0"/>
      <w:divBdr>
        <w:top w:val="none" w:sz="0" w:space="0" w:color="auto"/>
        <w:left w:val="none" w:sz="0" w:space="0" w:color="auto"/>
        <w:bottom w:val="none" w:sz="0" w:space="0" w:color="auto"/>
        <w:right w:val="none" w:sz="0" w:space="0" w:color="auto"/>
      </w:divBdr>
    </w:div>
    <w:div w:id="652106432">
      <w:bodyDiv w:val="1"/>
      <w:marLeft w:val="0"/>
      <w:marRight w:val="0"/>
      <w:marTop w:val="0"/>
      <w:marBottom w:val="0"/>
      <w:divBdr>
        <w:top w:val="none" w:sz="0" w:space="0" w:color="auto"/>
        <w:left w:val="none" w:sz="0" w:space="0" w:color="auto"/>
        <w:bottom w:val="none" w:sz="0" w:space="0" w:color="auto"/>
        <w:right w:val="none" w:sz="0" w:space="0" w:color="auto"/>
      </w:divBdr>
    </w:div>
    <w:div w:id="903224576">
      <w:bodyDiv w:val="1"/>
      <w:marLeft w:val="0"/>
      <w:marRight w:val="0"/>
      <w:marTop w:val="0"/>
      <w:marBottom w:val="0"/>
      <w:divBdr>
        <w:top w:val="none" w:sz="0" w:space="0" w:color="auto"/>
        <w:left w:val="none" w:sz="0" w:space="0" w:color="auto"/>
        <w:bottom w:val="none" w:sz="0" w:space="0" w:color="auto"/>
        <w:right w:val="none" w:sz="0" w:space="0" w:color="auto"/>
      </w:divBdr>
    </w:div>
    <w:div w:id="1038549504">
      <w:bodyDiv w:val="1"/>
      <w:marLeft w:val="0"/>
      <w:marRight w:val="0"/>
      <w:marTop w:val="0"/>
      <w:marBottom w:val="0"/>
      <w:divBdr>
        <w:top w:val="none" w:sz="0" w:space="0" w:color="auto"/>
        <w:left w:val="none" w:sz="0" w:space="0" w:color="auto"/>
        <w:bottom w:val="none" w:sz="0" w:space="0" w:color="auto"/>
        <w:right w:val="none" w:sz="0" w:space="0" w:color="auto"/>
      </w:divBdr>
    </w:div>
    <w:div w:id="1666593164">
      <w:bodyDiv w:val="1"/>
      <w:marLeft w:val="0"/>
      <w:marRight w:val="0"/>
      <w:marTop w:val="0"/>
      <w:marBottom w:val="0"/>
      <w:divBdr>
        <w:top w:val="none" w:sz="0" w:space="0" w:color="auto"/>
        <w:left w:val="none" w:sz="0" w:space="0" w:color="auto"/>
        <w:bottom w:val="none" w:sz="0" w:space="0" w:color="auto"/>
        <w:right w:val="none" w:sz="0" w:space="0" w:color="auto"/>
      </w:divBdr>
    </w:div>
    <w:div w:id="1777364207">
      <w:bodyDiv w:val="1"/>
      <w:marLeft w:val="0"/>
      <w:marRight w:val="0"/>
      <w:marTop w:val="0"/>
      <w:marBottom w:val="0"/>
      <w:divBdr>
        <w:top w:val="none" w:sz="0" w:space="0" w:color="auto"/>
        <w:left w:val="none" w:sz="0" w:space="0" w:color="auto"/>
        <w:bottom w:val="none" w:sz="0" w:space="0" w:color="auto"/>
        <w:right w:val="none" w:sz="0" w:space="0" w:color="auto"/>
      </w:divBdr>
    </w:div>
    <w:div w:id="1881473190">
      <w:bodyDiv w:val="1"/>
      <w:marLeft w:val="0"/>
      <w:marRight w:val="0"/>
      <w:marTop w:val="0"/>
      <w:marBottom w:val="0"/>
      <w:divBdr>
        <w:top w:val="none" w:sz="0" w:space="0" w:color="auto"/>
        <w:left w:val="none" w:sz="0" w:space="0" w:color="auto"/>
        <w:bottom w:val="none" w:sz="0" w:space="0" w:color="auto"/>
        <w:right w:val="none" w:sz="0" w:space="0" w:color="auto"/>
      </w:divBdr>
    </w:div>
    <w:div w:id="1908876684">
      <w:bodyDiv w:val="1"/>
      <w:marLeft w:val="0"/>
      <w:marRight w:val="0"/>
      <w:marTop w:val="0"/>
      <w:marBottom w:val="0"/>
      <w:divBdr>
        <w:top w:val="none" w:sz="0" w:space="0" w:color="auto"/>
        <w:left w:val="none" w:sz="0" w:space="0" w:color="auto"/>
        <w:bottom w:val="none" w:sz="0" w:space="0" w:color="auto"/>
        <w:right w:val="none" w:sz="0" w:space="0" w:color="auto"/>
      </w:divBdr>
    </w:div>
    <w:div w:id="1925916478">
      <w:bodyDiv w:val="1"/>
      <w:marLeft w:val="0"/>
      <w:marRight w:val="0"/>
      <w:marTop w:val="0"/>
      <w:marBottom w:val="0"/>
      <w:divBdr>
        <w:top w:val="none" w:sz="0" w:space="0" w:color="auto"/>
        <w:left w:val="none" w:sz="0" w:space="0" w:color="auto"/>
        <w:bottom w:val="none" w:sz="0" w:space="0" w:color="auto"/>
        <w:right w:val="none" w:sz="0" w:space="0" w:color="auto"/>
      </w:divBdr>
    </w:div>
    <w:div w:id="2091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2C4EE-52F3-480C-B3D0-C4E4AE17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24498</CharactersWithSpaces>
  <SharedDoc>false</SharedDoc>
  <HLinks>
    <vt:vector size="30" baseType="variant">
      <vt:variant>
        <vt:i4>6357045</vt:i4>
      </vt:variant>
      <vt:variant>
        <vt:i4>3</vt:i4>
      </vt:variant>
      <vt:variant>
        <vt:i4>0</vt:i4>
      </vt:variant>
      <vt:variant>
        <vt:i4>5</vt:i4>
      </vt:variant>
      <vt:variant>
        <vt:lpwstr>http://naesb.org/pdf4/dsmee053012w2.doc</vt:lpwstr>
      </vt:variant>
      <vt:variant>
        <vt:lpwstr/>
      </vt:variant>
      <vt:variant>
        <vt:i4>6357046</vt:i4>
      </vt:variant>
      <vt:variant>
        <vt:i4>0</vt:i4>
      </vt:variant>
      <vt:variant>
        <vt:i4>0</vt:i4>
      </vt:variant>
      <vt:variant>
        <vt:i4>5</vt:i4>
      </vt:variant>
      <vt:variant>
        <vt:lpwstr>http://naesb.org/pdf4/dsmee053012w1.doc</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2005-01-03T18:30:00Z</cp:lastPrinted>
  <dcterms:created xsi:type="dcterms:W3CDTF">2012-06-04T17:49:00Z</dcterms:created>
  <dcterms:modified xsi:type="dcterms:W3CDTF">2012-06-04T17:49:00Z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