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CA" w:rsidRPr="007914CA" w:rsidRDefault="007914CA" w:rsidP="007914CA">
      <w:pPr>
        <w:spacing w:before="60" w:after="0"/>
        <w:ind w:left="1440" w:hanging="1440"/>
        <w:jc w:val="right"/>
        <w:rPr>
          <w:rFonts w:ascii="Times New Roman" w:hAnsi="Times New Roman" w:cs="Times New Roman"/>
          <w:b/>
          <w:sz w:val="20"/>
          <w:szCs w:val="20"/>
        </w:rPr>
      </w:pPr>
      <w:proofErr w:type="gramStart"/>
      <w:r w:rsidRPr="007914CA">
        <w:rPr>
          <w:rFonts w:ascii="Times New Roman" w:hAnsi="Times New Roman" w:cs="Times New Roman"/>
          <w:b/>
          <w:sz w:val="20"/>
          <w:szCs w:val="20"/>
        </w:rPr>
        <w:t>via</w:t>
      </w:r>
      <w:proofErr w:type="gramEnd"/>
      <w:r w:rsidRPr="007914CA">
        <w:rPr>
          <w:rFonts w:ascii="Times New Roman" w:hAnsi="Times New Roman" w:cs="Times New Roman"/>
          <w:b/>
          <w:sz w:val="20"/>
          <w:szCs w:val="20"/>
        </w:rPr>
        <w:t xml:space="preserve"> </w:t>
      </w:r>
      <w:r>
        <w:rPr>
          <w:rFonts w:ascii="Times New Roman" w:hAnsi="Times New Roman" w:cs="Times New Roman"/>
          <w:b/>
          <w:sz w:val="20"/>
          <w:szCs w:val="20"/>
        </w:rPr>
        <w:t xml:space="preserve">email and </w:t>
      </w:r>
      <w:r w:rsidRPr="007914CA">
        <w:rPr>
          <w:rFonts w:ascii="Times New Roman" w:hAnsi="Times New Roman" w:cs="Times New Roman"/>
          <w:b/>
          <w:sz w:val="20"/>
          <w:szCs w:val="20"/>
        </w:rPr>
        <w:t>posting</w:t>
      </w:r>
    </w:p>
    <w:p w:rsidR="007914CA" w:rsidRPr="00022236" w:rsidRDefault="007914CA" w:rsidP="007914CA">
      <w:pPr>
        <w:spacing w:before="60" w:after="0"/>
        <w:ind w:left="1440" w:hanging="1440"/>
        <w:rPr>
          <w:rFonts w:ascii="Times New Roman" w:hAnsi="Times New Roman" w:cs="Times New Roman"/>
          <w:sz w:val="20"/>
          <w:szCs w:val="20"/>
        </w:rPr>
      </w:pPr>
      <w:r w:rsidRPr="007914CA">
        <w:rPr>
          <w:rFonts w:ascii="Times New Roman" w:hAnsi="Times New Roman" w:cs="Times New Roman"/>
          <w:b/>
          <w:sz w:val="20"/>
          <w:szCs w:val="20"/>
        </w:rPr>
        <w:t>TO:</w:t>
      </w:r>
      <w:r w:rsidRPr="007914CA">
        <w:rPr>
          <w:rFonts w:ascii="Times New Roman" w:hAnsi="Times New Roman" w:cs="Times New Roman"/>
          <w:b/>
          <w:sz w:val="20"/>
          <w:szCs w:val="20"/>
        </w:rPr>
        <w:tab/>
      </w:r>
      <w:r w:rsidRPr="00022236">
        <w:rPr>
          <w:rFonts w:ascii="Times New Roman" w:hAnsi="Times New Roman" w:cs="Times New Roman"/>
          <w:sz w:val="20"/>
          <w:szCs w:val="20"/>
        </w:rPr>
        <w:t>NAESB Board Gas-Electric Harmonization Committee Members and posting for interested industry parties</w:t>
      </w:r>
    </w:p>
    <w:p w:rsidR="007914CA" w:rsidRPr="00022236" w:rsidRDefault="007914CA" w:rsidP="007914CA">
      <w:pPr>
        <w:spacing w:before="60" w:after="0"/>
        <w:rPr>
          <w:rFonts w:ascii="Times New Roman" w:hAnsi="Times New Roman" w:cs="Times New Roman"/>
          <w:sz w:val="20"/>
          <w:szCs w:val="20"/>
        </w:rPr>
      </w:pPr>
      <w:r w:rsidRPr="00022236">
        <w:rPr>
          <w:rFonts w:ascii="Times New Roman" w:hAnsi="Times New Roman" w:cs="Times New Roman"/>
          <w:b/>
          <w:sz w:val="20"/>
          <w:szCs w:val="20"/>
        </w:rPr>
        <w:t xml:space="preserve">FROM: </w:t>
      </w:r>
      <w:r w:rsidRPr="00022236">
        <w:rPr>
          <w:rFonts w:ascii="Times New Roman" w:hAnsi="Times New Roman" w:cs="Times New Roman"/>
          <w:b/>
          <w:sz w:val="20"/>
          <w:szCs w:val="20"/>
        </w:rPr>
        <w:tab/>
      </w:r>
      <w:r w:rsidRPr="00022236">
        <w:rPr>
          <w:rFonts w:ascii="Times New Roman" w:hAnsi="Times New Roman" w:cs="Times New Roman"/>
          <w:sz w:val="20"/>
          <w:szCs w:val="20"/>
        </w:rPr>
        <w:t>Jonathan Booe</w:t>
      </w:r>
    </w:p>
    <w:p w:rsidR="007914CA" w:rsidRPr="00506050" w:rsidRDefault="007914CA" w:rsidP="007914CA">
      <w:pPr>
        <w:spacing w:before="60" w:after="0"/>
        <w:rPr>
          <w:rFonts w:ascii="Times New Roman" w:hAnsi="Times New Roman" w:cs="Times New Roman"/>
          <w:sz w:val="20"/>
          <w:szCs w:val="20"/>
          <w:highlight w:val="yellow"/>
        </w:rPr>
      </w:pPr>
      <w:r w:rsidRPr="00506050">
        <w:rPr>
          <w:rFonts w:ascii="Times New Roman" w:hAnsi="Times New Roman" w:cs="Times New Roman"/>
          <w:b/>
          <w:sz w:val="20"/>
          <w:szCs w:val="20"/>
          <w:highlight w:val="yellow"/>
        </w:rPr>
        <w:t>RE:</w:t>
      </w:r>
      <w:r w:rsidRPr="00506050">
        <w:rPr>
          <w:rFonts w:ascii="Times New Roman" w:hAnsi="Times New Roman" w:cs="Times New Roman"/>
          <w:b/>
          <w:sz w:val="20"/>
          <w:szCs w:val="20"/>
          <w:highlight w:val="yellow"/>
        </w:rPr>
        <w:tab/>
      </w:r>
      <w:r w:rsidRPr="00506050">
        <w:rPr>
          <w:rFonts w:ascii="Times New Roman" w:hAnsi="Times New Roman" w:cs="Times New Roman"/>
          <w:b/>
          <w:sz w:val="20"/>
          <w:szCs w:val="20"/>
          <w:highlight w:val="yellow"/>
        </w:rPr>
        <w:tab/>
      </w:r>
      <w:r w:rsidR="00C16DC4" w:rsidRPr="00C16DC4">
        <w:rPr>
          <w:rFonts w:ascii="Times New Roman" w:hAnsi="Times New Roman" w:cs="Times New Roman"/>
          <w:sz w:val="20"/>
          <w:szCs w:val="20"/>
          <w:highlight w:val="yellow"/>
        </w:rPr>
        <w:t>Standards</w:t>
      </w:r>
      <w:r w:rsidR="00C16DC4">
        <w:rPr>
          <w:rFonts w:ascii="Times New Roman" w:hAnsi="Times New Roman" w:cs="Times New Roman"/>
          <w:b/>
          <w:sz w:val="20"/>
          <w:szCs w:val="20"/>
          <w:highlight w:val="yellow"/>
        </w:rPr>
        <w:t xml:space="preserve"> </w:t>
      </w:r>
      <w:r w:rsidRPr="00506050">
        <w:rPr>
          <w:rFonts w:ascii="Times New Roman" w:hAnsi="Times New Roman" w:cs="Times New Roman"/>
          <w:sz w:val="20"/>
          <w:szCs w:val="20"/>
          <w:highlight w:val="yellow"/>
        </w:rPr>
        <w:t>Survey</w:t>
      </w:r>
      <w:r w:rsidR="00506050" w:rsidRPr="00506050">
        <w:rPr>
          <w:rFonts w:ascii="Times New Roman" w:hAnsi="Times New Roman" w:cs="Times New Roman"/>
          <w:sz w:val="20"/>
          <w:szCs w:val="20"/>
          <w:highlight w:val="yellow"/>
        </w:rPr>
        <w:t xml:space="preserve"> Results</w:t>
      </w:r>
    </w:p>
    <w:p w:rsidR="007914CA" w:rsidRPr="007914CA" w:rsidRDefault="007914CA" w:rsidP="007914CA">
      <w:pPr>
        <w:pBdr>
          <w:bottom w:val="single" w:sz="12" w:space="1" w:color="auto"/>
        </w:pBdr>
        <w:spacing w:before="60" w:after="0"/>
        <w:rPr>
          <w:rFonts w:ascii="Times New Roman" w:hAnsi="Times New Roman" w:cs="Times New Roman"/>
          <w:sz w:val="20"/>
          <w:szCs w:val="20"/>
        </w:rPr>
      </w:pPr>
      <w:r w:rsidRPr="00506050">
        <w:rPr>
          <w:rFonts w:ascii="Times New Roman" w:hAnsi="Times New Roman" w:cs="Times New Roman"/>
          <w:b/>
          <w:sz w:val="20"/>
          <w:szCs w:val="20"/>
          <w:highlight w:val="yellow"/>
        </w:rPr>
        <w:t>DATE:</w:t>
      </w:r>
      <w:r w:rsidRPr="00506050">
        <w:rPr>
          <w:rFonts w:ascii="Times New Roman" w:hAnsi="Times New Roman" w:cs="Times New Roman"/>
          <w:sz w:val="20"/>
          <w:szCs w:val="20"/>
          <w:highlight w:val="yellow"/>
        </w:rPr>
        <w:tab/>
      </w:r>
      <w:r w:rsidRPr="00506050">
        <w:rPr>
          <w:rFonts w:ascii="Times New Roman" w:hAnsi="Times New Roman" w:cs="Times New Roman"/>
          <w:sz w:val="20"/>
          <w:szCs w:val="20"/>
          <w:highlight w:val="yellow"/>
        </w:rPr>
        <w:tab/>
      </w:r>
      <w:r w:rsidR="00506050" w:rsidRPr="00506050">
        <w:rPr>
          <w:rFonts w:ascii="Times New Roman" w:hAnsi="Times New Roman" w:cs="Times New Roman"/>
          <w:sz w:val="20"/>
          <w:szCs w:val="20"/>
          <w:highlight w:val="yellow"/>
        </w:rPr>
        <w:t xml:space="preserve">May </w:t>
      </w:r>
      <w:r w:rsidR="006735EB">
        <w:rPr>
          <w:rFonts w:ascii="Times New Roman" w:hAnsi="Times New Roman" w:cs="Times New Roman"/>
          <w:sz w:val="20"/>
          <w:szCs w:val="20"/>
          <w:highlight w:val="yellow"/>
        </w:rPr>
        <w:t>23</w:t>
      </w:r>
      <w:r w:rsidR="00506050" w:rsidRPr="00506050">
        <w:rPr>
          <w:rFonts w:ascii="Times New Roman" w:hAnsi="Times New Roman" w:cs="Times New Roman"/>
          <w:sz w:val="20"/>
          <w:szCs w:val="20"/>
          <w:highlight w:val="yellow"/>
        </w:rPr>
        <w:t>, 2012</w:t>
      </w:r>
    </w:p>
    <w:p w:rsidR="007914CA" w:rsidRPr="007914CA" w:rsidRDefault="007914CA" w:rsidP="007914CA">
      <w:pPr>
        <w:spacing w:before="120"/>
        <w:outlineLvl w:val="2"/>
        <w:rPr>
          <w:rFonts w:ascii="Times New Roman" w:hAnsi="Times New Roman" w:cs="Times New Roman"/>
          <w:sz w:val="20"/>
          <w:szCs w:val="20"/>
        </w:rPr>
      </w:pPr>
      <w:r w:rsidRPr="007914CA">
        <w:rPr>
          <w:rFonts w:ascii="Times New Roman" w:hAnsi="Times New Roman" w:cs="Times New Roman"/>
          <w:sz w:val="20"/>
          <w:szCs w:val="20"/>
        </w:rPr>
        <w:t>Dear Gas-Electric Harmonization Committee Members,</w:t>
      </w:r>
    </w:p>
    <w:p w:rsidR="007914CA" w:rsidRPr="002A0F47" w:rsidRDefault="007914CA" w:rsidP="007914CA">
      <w:pPr>
        <w:pStyle w:val="Header"/>
        <w:tabs>
          <w:tab w:val="left" w:pos="1080"/>
        </w:tabs>
        <w:rPr>
          <w:rFonts w:ascii="Bookman Old Style" w:hAnsi="Bookman Old Style"/>
          <w:noProof/>
        </w:rPr>
      </w:pPr>
    </w:p>
    <w:p w:rsidR="007B0078" w:rsidRDefault="007B0078">
      <w:pPr>
        <w:rPr>
          <w:rFonts w:ascii="Bookman Old Style" w:hAnsi="Bookman Old Style"/>
          <w:b/>
          <w:noProof/>
        </w:rPr>
        <w:sectPr w:rsidR="007B0078" w:rsidSect="007914CA">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p>
    <w:tbl>
      <w:tblPr>
        <w:tblW w:w="14410" w:type="dxa"/>
        <w:tblInd w:w="93" w:type="dxa"/>
        <w:tblLook w:val="04A0"/>
      </w:tblPr>
      <w:tblGrid>
        <w:gridCol w:w="417"/>
        <w:gridCol w:w="519"/>
        <w:gridCol w:w="8439"/>
        <w:gridCol w:w="692"/>
        <w:gridCol w:w="1190"/>
        <w:gridCol w:w="1051"/>
        <w:gridCol w:w="1082"/>
        <w:gridCol w:w="1020"/>
      </w:tblGrid>
      <w:tr w:rsidR="00F55698" w:rsidRPr="00F55698" w:rsidTr="00F55698">
        <w:trPr>
          <w:trHeight w:val="750"/>
          <w:tblHeader/>
        </w:trPr>
        <w:tc>
          <w:tcPr>
            <w:tcW w:w="417" w:type="dxa"/>
            <w:tcBorders>
              <w:top w:val="nil"/>
              <w:left w:val="nil"/>
              <w:bottom w:val="nil"/>
              <w:right w:val="nil"/>
            </w:tcBorders>
            <w:shd w:val="clear" w:color="000000" w:fill="DDD9C3"/>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lastRenderedPageBreak/>
              <w:t> </w:t>
            </w:r>
          </w:p>
        </w:tc>
        <w:tc>
          <w:tcPr>
            <w:tcW w:w="519" w:type="dxa"/>
            <w:tcBorders>
              <w:top w:val="nil"/>
              <w:left w:val="nil"/>
              <w:bottom w:val="nil"/>
              <w:right w:val="nil"/>
            </w:tcBorders>
            <w:shd w:val="clear" w:color="000000" w:fill="DDD9C3"/>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8439" w:type="dxa"/>
            <w:tcBorders>
              <w:top w:val="nil"/>
              <w:left w:val="nil"/>
              <w:bottom w:val="nil"/>
              <w:right w:val="nil"/>
            </w:tcBorders>
            <w:shd w:val="clear" w:color="000000" w:fill="DDD9C3"/>
            <w:hideMark/>
          </w:tcPr>
          <w:p w:rsidR="00F55698" w:rsidRPr="00F55698" w:rsidRDefault="00F55698" w:rsidP="00F55698">
            <w:pPr>
              <w:spacing w:after="0" w:line="240" w:lineRule="auto"/>
              <w:rPr>
                <w:rFonts w:ascii="Calibri" w:eastAsia="Times New Roman" w:hAnsi="Calibri" w:cs="Times New Roman"/>
                <w:b/>
                <w:bCs/>
                <w:color w:val="000000"/>
                <w:sz w:val="28"/>
                <w:szCs w:val="28"/>
              </w:rPr>
            </w:pPr>
            <w:r w:rsidRPr="00F55698">
              <w:rPr>
                <w:rFonts w:ascii="Calibri" w:eastAsia="Times New Roman" w:hAnsi="Calibri" w:cs="Times New Roman"/>
                <w:b/>
                <w:bCs/>
                <w:color w:val="000000"/>
                <w:sz w:val="28"/>
                <w:szCs w:val="28"/>
              </w:rPr>
              <w:t>STANDARDS - PRIMARY and SECONDARY</w:t>
            </w:r>
            <w:r w:rsidRPr="00F55698">
              <w:rPr>
                <w:rFonts w:ascii="Calibri" w:eastAsia="Times New Roman" w:hAnsi="Calibri" w:cs="Times New Roman"/>
                <w:b/>
                <w:bCs/>
                <w:color w:val="000000"/>
                <w:sz w:val="28"/>
                <w:szCs w:val="28"/>
              </w:rPr>
              <w:br/>
              <w:t>CORE ISSUES &amp; OBSERVATIONS</w:t>
            </w:r>
          </w:p>
        </w:tc>
        <w:tc>
          <w:tcPr>
            <w:tcW w:w="692" w:type="dxa"/>
            <w:tcBorders>
              <w:top w:val="nil"/>
              <w:left w:val="nil"/>
              <w:bottom w:val="nil"/>
              <w:right w:val="nil"/>
            </w:tcBorders>
            <w:shd w:val="clear" w:color="000000" w:fill="DDD9C3"/>
            <w:noWrap/>
            <w:vAlign w:val="bottom"/>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Policy</w:t>
            </w:r>
          </w:p>
        </w:tc>
        <w:tc>
          <w:tcPr>
            <w:tcW w:w="1190" w:type="dxa"/>
            <w:tcBorders>
              <w:top w:val="nil"/>
              <w:left w:val="nil"/>
              <w:bottom w:val="nil"/>
              <w:right w:val="single" w:sz="24" w:space="0" w:color="auto"/>
            </w:tcBorders>
            <w:shd w:val="clear" w:color="000000" w:fill="DDD9C3"/>
            <w:noWrap/>
            <w:vAlign w:val="bottom"/>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Commercial</w:t>
            </w:r>
          </w:p>
        </w:tc>
        <w:tc>
          <w:tcPr>
            <w:tcW w:w="1051" w:type="dxa"/>
            <w:tcBorders>
              <w:top w:val="single" w:sz="24" w:space="0" w:color="auto"/>
              <w:left w:val="single" w:sz="24" w:space="0" w:color="auto"/>
              <w:bottom w:val="nil"/>
              <w:right w:val="nil"/>
            </w:tcBorders>
            <w:shd w:val="clear" w:color="000000" w:fill="DDD9C3"/>
            <w:vAlign w:val="bottom"/>
            <w:hideMark/>
          </w:tcPr>
          <w:p w:rsidR="00F55698" w:rsidRPr="00F55698" w:rsidRDefault="00F55698" w:rsidP="00F55698">
            <w:pPr>
              <w:spacing w:after="0" w:line="240" w:lineRule="auto"/>
              <w:jc w:val="center"/>
              <w:rPr>
                <w:rFonts w:ascii="Calibri" w:eastAsia="Times New Roman" w:hAnsi="Calibri" w:cs="Times New Roman"/>
                <w:b/>
                <w:bCs/>
                <w:color w:val="000000"/>
                <w:sz w:val="20"/>
                <w:szCs w:val="20"/>
              </w:rPr>
            </w:pPr>
            <w:r w:rsidRPr="00F55698">
              <w:rPr>
                <w:rFonts w:ascii="Calibri" w:eastAsia="Times New Roman" w:hAnsi="Calibri" w:cs="Times New Roman"/>
                <w:b/>
                <w:bCs/>
                <w:color w:val="000000"/>
                <w:sz w:val="20"/>
                <w:szCs w:val="20"/>
              </w:rPr>
              <w:t>Standards</w:t>
            </w:r>
            <w:r w:rsidRPr="00F55698">
              <w:rPr>
                <w:rFonts w:ascii="Calibri" w:eastAsia="Times New Roman" w:hAnsi="Calibri" w:cs="Times New Roman"/>
                <w:b/>
                <w:bCs/>
                <w:color w:val="000000"/>
                <w:sz w:val="20"/>
                <w:szCs w:val="20"/>
              </w:rPr>
              <w:br/>
              <w:t>Primary</w:t>
            </w:r>
          </w:p>
        </w:tc>
        <w:tc>
          <w:tcPr>
            <w:tcW w:w="1082" w:type="dxa"/>
            <w:tcBorders>
              <w:top w:val="single" w:sz="24" w:space="0" w:color="auto"/>
              <w:left w:val="nil"/>
              <w:bottom w:val="nil"/>
              <w:right w:val="single" w:sz="24" w:space="0" w:color="auto"/>
            </w:tcBorders>
            <w:shd w:val="clear" w:color="000000" w:fill="DDD9C3"/>
            <w:vAlign w:val="bottom"/>
            <w:hideMark/>
          </w:tcPr>
          <w:p w:rsidR="00F55698" w:rsidRPr="00F55698" w:rsidRDefault="00F55698" w:rsidP="00F55698">
            <w:pPr>
              <w:spacing w:after="0" w:line="240" w:lineRule="auto"/>
              <w:jc w:val="center"/>
              <w:rPr>
                <w:rFonts w:ascii="Calibri" w:eastAsia="Times New Roman" w:hAnsi="Calibri" w:cs="Times New Roman"/>
                <w:b/>
                <w:bCs/>
                <w:color w:val="000000"/>
                <w:sz w:val="20"/>
                <w:szCs w:val="20"/>
              </w:rPr>
            </w:pPr>
            <w:r w:rsidRPr="00F55698">
              <w:rPr>
                <w:rFonts w:ascii="Calibri" w:eastAsia="Times New Roman" w:hAnsi="Calibri" w:cs="Times New Roman"/>
                <w:b/>
                <w:bCs/>
                <w:color w:val="000000"/>
                <w:sz w:val="20"/>
                <w:szCs w:val="20"/>
              </w:rPr>
              <w:t>Standards</w:t>
            </w:r>
            <w:r w:rsidRPr="00F55698">
              <w:rPr>
                <w:rFonts w:ascii="Calibri" w:eastAsia="Times New Roman" w:hAnsi="Calibri" w:cs="Times New Roman"/>
                <w:b/>
                <w:bCs/>
                <w:color w:val="000000"/>
                <w:sz w:val="20"/>
                <w:szCs w:val="20"/>
              </w:rPr>
              <w:br/>
              <w:t>Secondary</w:t>
            </w:r>
          </w:p>
        </w:tc>
        <w:tc>
          <w:tcPr>
            <w:tcW w:w="1020" w:type="dxa"/>
            <w:tcBorders>
              <w:top w:val="nil"/>
              <w:left w:val="single" w:sz="24" w:space="0" w:color="auto"/>
              <w:bottom w:val="nil"/>
              <w:right w:val="nil"/>
            </w:tcBorders>
            <w:shd w:val="clear" w:color="000000" w:fill="DDD9C3"/>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Comment</w:t>
            </w:r>
          </w:p>
        </w:tc>
      </w:tr>
      <w:tr w:rsidR="00F55698" w:rsidRPr="00F55698" w:rsidTr="00F55698">
        <w:trPr>
          <w:trHeight w:val="1575"/>
        </w:trPr>
        <w:tc>
          <w:tcPr>
            <w:tcW w:w="9375" w:type="dxa"/>
            <w:gridSpan w:val="3"/>
            <w:tcBorders>
              <w:top w:val="single" w:sz="4" w:space="0" w:color="auto"/>
              <w:left w:val="single" w:sz="4" w:space="0" w:color="auto"/>
              <w:bottom w:val="single" w:sz="4" w:space="0" w:color="auto"/>
              <w:right w:val="nil"/>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  OBSERVATIONS AND CORE ISSUES AS OF APRIL 24, 2012:</w:t>
            </w:r>
            <w:r w:rsidRPr="00F55698">
              <w:rPr>
                <w:rFonts w:ascii="Calibri" w:eastAsia="Times New Roman" w:hAnsi="Calibri" w:cs="Times New Roman"/>
                <w:color w:val="000000"/>
                <w:sz w:val="20"/>
                <w:szCs w:val="20"/>
              </w:rPr>
              <w:br/>
              <w:t>• Scheduling and other inconsistencies in the interactions of the two markets impact the effectiveness of providing gas and electric service.</w:t>
            </w:r>
            <w:r w:rsidRPr="00F55698">
              <w:rPr>
                <w:rFonts w:ascii="Calibri" w:eastAsia="Times New Roman" w:hAnsi="Calibri" w:cs="Times New Roman"/>
                <w:color w:val="000000"/>
                <w:sz w:val="20"/>
                <w:szCs w:val="20"/>
              </w:rPr>
              <w:br/>
              <w:t>• Core issue: Should NAESB examine</w:t>
            </w:r>
            <w:proofErr w:type="gramStart"/>
            <w:r w:rsidRPr="00F55698">
              <w:rPr>
                <w:rFonts w:ascii="Calibri" w:eastAsia="Times New Roman" w:hAnsi="Calibri" w:cs="Times New Roman"/>
                <w:color w:val="000000"/>
                <w:sz w:val="20"/>
                <w:szCs w:val="20"/>
              </w:rPr>
              <w:t>:</w:t>
            </w:r>
            <w:proofErr w:type="gramEnd"/>
            <w:r w:rsidRPr="00F55698">
              <w:rPr>
                <w:rFonts w:ascii="Calibri" w:eastAsia="Times New Roman" w:hAnsi="Calibri" w:cs="Times New Roman"/>
                <w:color w:val="000000"/>
                <w:sz w:val="20"/>
                <w:szCs w:val="20"/>
              </w:rPr>
              <w:br/>
              <w:t>• The gas &amp; electric scheduling timelines to create more certainty and flexibility in scheduling, recognizing that providing flexibility in one area may take away flexibility in another?</w:t>
            </w:r>
          </w:p>
        </w:tc>
        <w:tc>
          <w:tcPr>
            <w:tcW w:w="692" w:type="dxa"/>
            <w:tcBorders>
              <w:top w:val="single" w:sz="4" w:space="0" w:color="auto"/>
              <w:left w:val="nil"/>
              <w:bottom w:val="single" w:sz="4" w:space="0" w:color="auto"/>
              <w:right w:val="nil"/>
            </w:tcBorders>
            <w:shd w:val="clear" w:color="auto" w:fill="auto"/>
            <w:noWrap/>
            <w:vAlign w:val="bottom"/>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single" w:sz="4" w:space="0" w:color="auto"/>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single" w:sz="4" w:space="0" w:color="auto"/>
              <w:left w:val="single" w:sz="24" w:space="0" w:color="auto"/>
              <w:bottom w:val="single" w:sz="4" w:space="0" w:color="auto"/>
              <w:right w:val="nil"/>
            </w:tcBorders>
            <w:shd w:val="clear" w:color="auto" w:fill="auto"/>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single" w:sz="4" w:space="0" w:color="auto"/>
              <w:left w:val="nil"/>
              <w:bottom w:val="single" w:sz="4" w:space="0" w:color="auto"/>
              <w:right w:val="single" w:sz="24" w:space="0" w:color="auto"/>
            </w:tcBorders>
            <w:shd w:val="clear" w:color="auto" w:fill="auto"/>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For day-of operations, intraday nomination flexibility is key in contingency response, load following, and in backing up </w:t>
            </w:r>
            <w:proofErr w:type="spellStart"/>
            <w:r w:rsidRPr="00F55698">
              <w:rPr>
                <w:rFonts w:ascii="Calibri" w:eastAsia="Times New Roman" w:hAnsi="Calibri" w:cs="Times New Roman"/>
                <w:color w:val="000000"/>
                <w:sz w:val="20"/>
                <w:szCs w:val="20"/>
              </w:rPr>
              <w:t>renewables</w:t>
            </w:r>
            <w:proofErr w:type="spellEnd"/>
            <w:r w:rsidRPr="00F55698">
              <w:rPr>
                <w:rFonts w:ascii="Calibri" w:eastAsia="Times New Roman" w:hAnsi="Calibri" w:cs="Times New Roman"/>
                <w:color w:val="000000"/>
                <w:sz w:val="20"/>
                <w:szCs w:val="20"/>
              </w:rPr>
              <w:t>.</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10</w:t>
            </w:r>
          </w:p>
        </w:tc>
        <w:tc>
          <w:tcPr>
            <w:tcW w:w="1190" w:type="dxa"/>
            <w:tcBorders>
              <w:top w:val="nil"/>
              <w:left w:val="nil"/>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14</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22</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r>
      <w:tr w:rsidR="00F55698" w:rsidRPr="00F55698" w:rsidTr="00F55698">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15</w:t>
            </w:r>
          </w:p>
        </w:tc>
        <w:tc>
          <w:tcPr>
            <w:tcW w:w="1190" w:type="dxa"/>
            <w:tcBorders>
              <w:top w:val="nil"/>
              <w:left w:val="nil"/>
              <w:bottom w:val="single" w:sz="4" w:space="0" w:color="auto"/>
              <w:right w:val="single" w:sz="2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19</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rPr>
                <w:rFonts w:ascii="Calibri" w:eastAsia="Times New Roman" w:hAnsi="Calibri" w:cs="Times New Roman"/>
                <w:color w:val="000000"/>
              </w:rPr>
            </w:pPr>
            <w:r w:rsidRPr="00F55698">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17</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r>
      <w:tr w:rsidR="00F55698" w:rsidRPr="00F55698" w:rsidTr="00F55698">
        <w:trPr>
          <w:trHeight w:val="204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12</w:t>
            </w:r>
          </w:p>
        </w:tc>
        <w:tc>
          <w:tcPr>
            <w:tcW w:w="1190" w:type="dxa"/>
            <w:tcBorders>
              <w:top w:val="nil"/>
              <w:left w:val="nil"/>
              <w:bottom w:val="single" w:sz="4" w:space="0" w:color="auto"/>
              <w:right w:val="single" w:sz="2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13</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rPr>
                <w:rFonts w:ascii="Calibri" w:eastAsia="Times New Roman" w:hAnsi="Calibri" w:cs="Times New Roman"/>
                <w:color w:val="000000"/>
              </w:rPr>
            </w:pPr>
            <w:r w:rsidRPr="00F55698">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12</w:t>
            </w:r>
          </w:p>
        </w:tc>
        <w:tc>
          <w:tcPr>
            <w:tcW w:w="1020" w:type="dxa"/>
            <w:tcBorders>
              <w:top w:val="nil"/>
              <w:left w:val="single" w:sz="24" w:space="0" w:color="auto"/>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12</w:t>
            </w:r>
          </w:p>
        </w:tc>
      </w:tr>
      <w:tr w:rsidR="00F55698" w:rsidRPr="00F55698" w:rsidTr="00F55698">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Scheduling flexibility can be introduced on a pipeline by pipeline basis to the pipeline’s customers.  Natural gas market grid synchronization plays a role, as in multi-pipeline nominations which may cross multiple control </w:t>
            </w:r>
            <w:proofErr w:type="gramStart"/>
            <w:r w:rsidRPr="00F55698">
              <w:rPr>
                <w:rFonts w:ascii="Calibri" w:eastAsia="Times New Roman" w:hAnsi="Calibri" w:cs="Times New Roman"/>
                <w:color w:val="000000"/>
                <w:sz w:val="20"/>
                <w:szCs w:val="20"/>
              </w:rPr>
              <w:t>areas,</w:t>
            </w:r>
            <w:proofErr w:type="gramEnd"/>
            <w:r w:rsidRPr="00F55698">
              <w:rPr>
                <w:rFonts w:ascii="Calibri" w:eastAsia="Times New Roman" w:hAnsi="Calibri" w:cs="Times New Roman"/>
                <w:color w:val="000000"/>
                <w:sz w:val="20"/>
                <w:szCs w:val="20"/>
              </w:rPr>
              <w:t xml:space="preserve"> the least flexible pipeline in the chain of nominations will govern the timing of submittal and confirmation of transaction(s).</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c>
          <w:tcPr>
            <w:tcW w:w="1190" w:type="dxa"/>
            <w:tcBorders>
              <w:top w:val="nil"/>
              <w:left w:val="nil"/>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12</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21</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11</w:t>
            </w:r>
          </w:p>
        </w:tc>
      </w:tr>
      <w:tr w:rsidR="00F55698" w:rsidRPr="00F55698" w:rsidTr="00F55698">
        <w:trPr>
          <w:trHeight w:val="1052"/>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22</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7</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24</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r>
      <w:tr w:rsidR="00F55698" w:rsidRPr="00F55698" w:rsidTr="00F55698">
        <w:trPr>
          <w:trHeight w:val="204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6</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w:t>
            </w:r>
            <w:proofErr w:type="gramStart"/>
            <w:r w:rsidRPr="00F55698">
              <w:rPr>
                <w:rFonts w:ascii="Calibri" w:eastAsia="Times New Roman" w:hAnsi="Calibri" w:cs="Times New Roman"/>
                <w:color w:val="000000"/>
                <w:sz w:val="20"/>
                <w:szCs w:val="20"/>
              </w:rPr>
              <w:t>ahead</w:t>
            </w:r>
            <w:proofErr w:type="gramEnd"/>
            <w:r w:rsidRPr="00F55698">
              <w:rPr>
                <w:rFonts w:ascii="Calibri" w:eastAsia="Times New Roman" w:hAnsi="Calibri" w:cs="Times New Roman"/>
                <w:color w:val="000000"/>
                <w:sz w:val="20"/>
                <w:szCs w:val="20"/>
              </w:rPr>
              <w:t xml:space="preserve">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15</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23</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r>
      <w:tr w:rsidR="00F55698" w:rsidRPr="00F55698" w:rsidTr="00F55698">
        <w:trPr>
          <w:trHeight w:val="127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7</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692"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21</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10</w:t>
            </w:r>
          </w:p>
        </w:tc>
      </w:tr>
      <w:tr w:rsidR="00F55698" w:rsidRPr="00F55698" w:rsidTr="00F55698">
        <w:trPr>
          <w:trHeight w:val="278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13</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24</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178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10</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18</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24</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r>
      <w:tr w:rsidR="00F55698" w:rsidRPr="00F55698" w:rsidTr="00F55698">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11</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Using natural gas-fired generation to back up </w:t>
            </w:r>
            <w:proofErr w:type="spellStart"/>
            <w:r w:rsidRPr="00F55698">
              <w:rPr>
                <w:rFonts w:ascii="Calibri" w:eastAsia="Times New Roman" w:hAnsi="Calibri" w:cs="Times New Roman"/>
                <w:color w:val="000000"/>
                <w:sz w:val="20"/>
                <w:szCs w:val="20"/>
              </w:rPr>
              <w:t>renewables</w:t>
            </w:r>
            <w:proofErr w:type="spellEnd"/>
            <w:r w:rsidRPr="00F55698">
              <w:rPr>
                <w:rFonts w:ascii="Calibri" w:eastAsia="Times New Roman" w:hAnsi="Calibri" w:cs="Times New Roman"/>
                <w:color w:val="000000"/>
                <w:sz w:val="20"/>
                <w:szCs w:val="20"/>
              </w:rPr>
              <w:t xml:space="preserve"> could require enhanced and additional flexibility in day-of nominations and/or no-notice service or similar services.</w:t>
            </w:r>
          </w:p>
        </w:tc>
        <w:tc>
          <w:tcPr>
            <w:tcW w:w="692" w:type="dxa"/>
            <w:tcBorders>
              <w:top w:val="nil"/>
              <w:left w:val="nil"/>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16</w:t>
            </w:r>
          </w:p>
        </w:tc>
        <w:tc>
          <w:tcPr>
            <w:tcW w:w="1190" w:type="dxa"/>
            <w:tcBorders>
              <w:top w:val="nil"/>
              <w:left w:val="nil"/>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14</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rPr>
                <w:rFonts w:ascii="Calibri" w:eastAsia="Times New Roman" w:hAnsi="Calibri" w:cs="Times New Roman"/>
                <w:color w:val="000000"/>
              </w:rPr>
            </w:pPr>
            <w:r w:rsidRPr="00F55698">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14</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12</w:t>
            </w:r>
          </w:p>
        </w:tc>
      </w:tr>
      <w:tr w:rsidR="00F55698" w:rsidRPr="00F55698" w:rsidTr="00F55698">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12</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The transparency provided through posting of scheduling and capacity information by major non-interstate natural gas pipelines could be helpful, if the impact of the </w:t>
            </w:r>
            <w:proofErr w:type="spellStart"/>
            <w:r w:rsidRPr="00F55698">
              <w:rPr>
                <w:rFonts w:ascii="Calibri" w:eastAsia="Times New Roman" w:hAnsi="Calibri" w:cs="Times New Roman"/>
                <w:color w:val="000000"/>
                <w:sz w:val="20"/>
                <w:szCs w:val="20"/>
              </w:rPr>
              <w:t>intrastates</w:t>
            </w:r>
            <w:proofErr w:type="spellEnd"/>
            <w:r w:rsidRPr="00F55698">
              <w:rPr>
                <w:rFonts w:ascii="Calibri" w:eastAsia="Times New Roman" w:hAnsi="Calibri" w:cs="Times New Roman"/>
                <w:color w:val="000000"/>
                <w:sz w:val="20"/>
                <w:szCs w:val="20"/>
              </w:rPr>
              <w:t xml:space="preserve"> market on the interstate market is deemed significant.</w:t>
            </w:r>
          </w:p>
        </w:tc>
        <w:tc>
          <w:tcPr>
            <w:tcW w:w="692" w:type="dxa"/>
            <w:tcBorders>
              <w:top w:val="nil"/>
              <w:left w:val="nil"/>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17</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rPr>
                <w:rFonts w:ascii="Calibri" w:eastAsia="Times New Roman" w:hAnsi="Calibri" w:cs="Times New Roman"/>
                <w:color w:val="000000"/>
              </w:rPr>
            </w:pPr>
            <w:r w:rsidRPr="00F55698">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14</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11</w:t>
            </w:r>
          </w:p>
        </w:tc>
      </w:tr>
      <w:tr w:rsidR="00F55698" w:rsidRPr="00F55698" w:rsidTr="00F55698">
        <w:trPr>
          <w:trHeight w:val="300"/>
        </w:trPr>
        <w:tc>
          <w:tcPr>
            <w:tcW w:w="417" w:type="dxa"/>
            <w:tcBorders>
              <w:top w:val="nil"/>
              <w:left w:val="single" w:sz="4" w:space="0" w:color="auto"/>
              <w:bottom w:val="nil"/>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519" w:type="dxa"/>
            <w:tcBorders>
              <w:top w:val="nil"/>
              <w:left w:val="nil"/>
              <w:bottom w:val="nil"/>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13</w:t>
            </w:r>
          </w:p>
        </w:tc>
        <w:tc>
          <w:tcPr>
            <w:tcW w:w="8439" w:type="dxa"/>
            <w:tcBorders>
              <w:top w:val="nil"/>
              <w:left w:val="nil"/>
              <w:bottom w:val="nil"/>
              <w:right w:val="single" w:sz="4" w:space="0" w:color="auto"/>
            </w:tcBorders>
            <w:shd w:val="clear" w:color="000000" w:fill="D8D8D8"/>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Deleted.  Added to Observation 1-8.</w:t>
            </w:r>
          </w:p>
        </w:tc>
        <w:tc>
          <w:tcPr>
            <w:tcW w:w="692" w:type="dxa"/>
            <w:tcBorders>
              <w:top w:val="nil"/>
              <w:left w:val="nil"/>
              <w:bottom w:val="nil"/>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nil"/>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nil"/>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nil"/>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nil"/>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2400"/>
        </w:trPr>
        <w:tc>
          <w:tcPr>
            <w:tcW w:w="9375" w:type="dxa"/>
            <w:gridSpan w:val="3"/>
            <w:tcBorders>
              <w:top w:val="single" w:sz="4" w:space="0" w:color="auto"/>
              <w:left w:val="single" w:sz="4" w:space="0" w:color="auto"/>
              <w:bottom w:val="single" w:sz="4" w:space="0" w:color="auto"/>
              <w:right w:val="nil"/>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  Observations and Core Issues as of April 24, 2012</w:t>
            </w:r>
            <w:proofErr w:type="gramStart"/>
            <w:r w:rsidRPr="00F55698">
              <w:rPr>
                <w:rFonts w:ascii="Calibri" w:eastAsia="Times New Roman" w:hAnsi="Calibri" w:cs="Times New Roman"/>
                <w:color w:val="000000"/>
                <w:sz w:val="20"/>
                <w:szCs w:val="20"/>
              </w:rPr>
              <w:t>:</w:t>
            </w:r>
            <w:proofErr w:type="gramEnd"/>
            <w:r w:rsidRPr="00F55698">
              <w:rPr>
                <w:rFonts w:ascii="Calibri" w:eastAsia="Times New Roman" w:hAnsi="Calibri" w:cs="Times New Roman"/>
                <w:color w:val="000000"/>
                <w:sz w:val="20"/>
                <w:szCs w:val="20"/>
              </w:rPr>
              <w:br/>
              <w:t>Capacity issues including the availability and determination to use firm and interruptible capacity to support load requirements is a core issue in the interdependencies of the two markets, for both the day of and the day-ahead markets.</w:t>
            </w:r>
            <w:r w:rsidRPr="00F55698">
              <w:rPr>
                <w:rFonts w:ascii="Calibri" w:eastAsia="Times New Roman" w:hAnsi="Calibri" w:cs="Times New Roman"/>
                <w:color w:val="000000"/>
                <w:sz w:val="20"/>
                <w:szCs w:val="20"/>
              </w:rPr>
              <w:br/>
              <w:t>Core Issue: Recognizing the interdependency of the gas and electric markets in both the day of and day ahead operations, should NAESB examine:</w:t>
            </w:r>
            <w:r w:rsidRPr="00F55698">
              <w:rPr>
                <w:rFonts w:ascii="Calibri" w:eastAsia="Times New Roman" w:hAnsi="Calibri" w:cs="Times New Roman"/>
                <w:color w:val="000000"/>
                <w:sz w:val="20"/>
                <w:szCs w:val="2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sidRPr="00F55698">
              <w:rPr>
                <w:rFonts w:ascii="Calibri" w:eastAsia="Times New Roman" w:hAnsi="Calibri" w:cs="Times New Roman"/>
                <w:color w:val="000000"/>
                <w:sz w:val="20"/>
                <w:szCs w:val="20"/>
              </w:rPr>
              <w:br/>
              <w:t>• the structure of communications to make for a better utilization of existing infrastructure and capacity.</w:t>
            </w:r>
          </w:p>
        </w:tc>
        <w:tc>
          <w:tcPr>
            <w:tcW w:w="692" w:type="dxa"/>
            <w:tcBorders>
              <w:top w:val="single" w:sz="4" w:space="0" w:color="auto"/>
              <w:left w:val="nil"/>
              <w:bottom w:val="single" w:sz="4" w:space="0" w:color="auto"/>
              <w:right w:val="nil"/>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single" w:sz="4" w:space="0" w:color="auto"/>
              <w:left w:val="nil"/>
              <w:bottom w:val="single" w:sz="4" w:space="0" w:color="auto"/>
              <w:right w:val="single" w:sz="24" w:space="0" w:color="auto"/>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single" w:sz="4" w:space="0" w:color="auto"/>
              <w:left w:val="single" w:sz="24" w:space="0" w:color="auto"/>
              <w:bottom w:val="single" w:sz="4" w:space="0" w:color="auto"/>
              <w:right w:val="nil"/>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single" w:sz="4" w:space="0" w:color="auto"/>
              <w:left w:val="nil"/>
              <w:bottom w:val="single" w:sz="4" w:space="0" w:color="auto"/>
              <w:right w:val="single" w:sz="24" w:space="0" w:color="auto"/>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single" w:sz="4" w:space="0" w:color="auto"/>
              <w:left w:val="single" w:sz="24" w:space="0" w:color="auto"/>
              <w:bottom w:val="single" w:sz="4" w:space="0" w:color="auto"/>
              <w:right w:val="single" w:sz="4" w:space="0" w:color="auto"/>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6</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7</w:t>
            </w:r>
          </w:p>
        </w:tc>
        <w:tc>
          <w:tcPr>
            <w:tcW w:w="8439" w:type="dxa"/>
            <w:tcBorders>
              <w:top w:val="nil"/>
              <w:left w:val="nil"/>
              <w:bottom w:val="single" w:sz="4" w:space="0" w:color="auto"/>
              <w:right w:val="single" w:sz="4" w:space="0" w:color="auto"/>
            </w:tcBorders>
            <w:shd w:val="clear" w:color="000000" w:fill="D8D8D8"/>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 [Deleted.]</w:t>
            </w:r>
          </w:p>
        </w:tc>
        <w:tc>
          <w:tcPr>
            <w:tcW w:w="692" w:type="dxa"/>
            <w:tcBorders>
              <w:top w:val="nil"/>
              <w:left w:val="nil"/>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10</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11</w:t>
            </w:r>
          </w:p>
        </w:tc>
        <w:tc>
          <w:tcPr>
            <w:tcW w:w="8439" w:type="dxa"/>
            <w:tcBorders>
              <w:top w:val="nil"/>
              <w:left w:val="nil"/>
              <w:bottom w:val="single" w:sz="4" w:space="0" w:color="auto"/>
              <w:right w:val="single" w:sz="4" w:space="0" w:color="auto"/>
            </w:tcBorders>
            <w:shd w:val="clear" w:color="000000" w:fill="D8D8D8"/>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[Deleted.]</w:t>
            </w:r>
          </w:p>
        </w:tc>
        <w:tc>
          <w:tcPr>
            <w:tcW w:w="692" w:type="dxa"/>
            <w:tcBorders>
              <w:top w:val="nil"/>
              <w:left w:val="nil"/>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12</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13</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14</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229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15</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c>
          <w:tcPr>
            <w:tcW w:w="1190" w:type="dxa"/>
            <w:tcBorders>
              <w:top w:val="nil"/>
              <w:left w:val="nil"/>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11</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31</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0</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16</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17</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nil"/>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519" w:type="dxa"/>
            <w:tcBorders>
              <w:top w:val="nil"/>
              <w:left w:val="nil"/>
              <w:bottom w:val="nil"/>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18</w:t>
            </w:r>
          </w:p>
        </w:tc>
        <w:tc>
          <w:tcPr>
            <w:tcW w:w="8439" w:type="dxa"/>
            <w:tcBorders>
              <w:top w:val="nil"/>
              <w:left w:val="nil"/>
              <w:bottom w:val="nil"/>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nil"/>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nil"/>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nil"/>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nil"/>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nil"/>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1545"/>
        </w:trPr>
        <w:tc>
          <w:tcPr>
            <w:tcW w:w="9375" w:type="dxa"/>
            <w:gridSpan w:val="3"/>
            <w:tcBorders>
              <w:top w:val="single" w:sz="4" w:space="0" w:color="auto"/>
              <w:left w:val="single" w:sz="4" w:space="0" w:color="auto"/>
              <w:bottom w:val="single" w:sz="4" w:space="0" w:color="auto"/>
              <w:right w:val="nil"/>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 Curtailment policies and practices are components of the interdependency of the two markets that impacts harmonization.  Curtailment is interruption of service that has been scheduled.</w:t>
            </w:r>
            <w:r w:rsidRPr="00F55698">
              <w:rPr>
                <w:rFonts w:ascii="Calibri" w:eastAsia="Times New Roman" w:hAnsi="Calibri" w:cs="Times New Roman"/>
                <w:color w:val="000000"/>
                <w:sz w:val="20"/>
                <w:szCs w:val="2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692" w:type="dxa"/>
            <w:tcBorders>
              <w:top w:val="single" w:sz="4" w:space="0" w:color="auto"/>
              <w:left w:val="nil"/>
              <w:bottom w:val="single" w:sz="4" w:space="0" w:color="auto"/>
              <w:right w:val="nil"/>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single" w:sz="4" w:space="0" w:color="auto"/>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single" w:sz="4" w:space="0" w:color="auto"/>
              <w:left w:val="single" w:sz="24" w:space="0" w:color="auto"/>
              <w:bottom w:val="single" w:sz="4" w:space="0" w:color="auto"/>
              <w:right w:val="nil"/>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single" w:sz="4" w:space="0" w:color="auto"/>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4202"/>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Knowing the status on </w:t>
            </w:r>
            <w:proofErr w:type="spellStart"/>
            <w:r w:rsidRPr="00F55698">
              <w:rPr>
                <w:rFonts w:ascii="Calibri" w:eastAsia="Times New Roman" w:hAnsi="Calibri" w:cs="Times New Roman"/>
                <w:color w:val="000000"/>
                <w:sz w:val="20"/>
                <w:szCs w:val="20"/>
              </w:rPr>
              <w:t>dispatchable</w:t>
            </w:r>
            <w:proofErr w:type="spellEnd"/>
            <w:r w:rsidRPr="00F55698">
              <w:rPr>
                <w:rFonts w:ascii="Calibri" w:eastAsia="Times New Roman" w:hAnsi="Calibri" w:cs="Times New Roman"/>
                <w:color w:val="000000"/>
                <w:sz w:val="20"/>
                <w:szCs w:val="20"/>
              </w:rPr>
              <w:t xml:space="preserv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sidRPr="00F55698">
              <w:rPr>
                <w:rFonts w:ascii="Calibri" w:eastAsia="Times New Roman" w:hAnsi="Calibri" w:cs="Times New Roman"/>
                <w:color w:val="000000"/>
                <w:sz w:val="20"/>
                <w:szCs w:val="20"/>
              </w:rPr>
              <w:br/>
              <w:t xml:space="preserve">Similarly, pipeline and storage operators as well as LDC with gas generation behind their </w:t>
            </w:r>
            <w:proofErr w:type="spellStart"/>
            <w:r w:rsidRPr="00F55698">
              <w:rPr>
                <w:rFonts w:ascii="Calibri" w:eastAsia="Times New Roman" w:hAnsi="Calibri" w:cs="Times New Roman"/>
                <w:color w:val="000000"/>
                <w:sz w:val="20"/>
                <w:szCs w:val="20"/>
              </w:rPr>
              <w:t>citygate</w:t>
            </w:r>
            <w:proofErr w:type="spellEnd"/>
            <w:r w:rsidRPr="00F55698">
              <w:rPr>
                <w:rFonts w:ascii="Calibri" w:eastAsia="Times New Roman" w:hAnsi="Calibri" w:cs="Times New Roman"/>
                <w:color w:val="000000"/>
                <w:sz w:val="20"/>
                <w:szCs w:val="20"/>
              </w:rPr>
              <w:t xml:space="preserv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sidRPr="00F55698">
              <w:rPr>
                <w:rFonts w:ascii="Calibri" w:eastAsia="Times New Roman" w:hAnsi="Calibri" w:cs="Times New Roman"/>
                <w:color w:val="000000"/>
                <w:sz w:val="20"/>
                <w:szCs w:val="20"/>
              </w:rPr>
              <w:br/>
              <w:t>Nonetheless, public disclosure of information of this type could have unintended anti-competitive inter-fuel impacts.</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19</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26</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r>
      <w:tr w:rsidR="00F55698" w:rsidRPr="00F55698" w:rsidTr="00F55698">
        <w:trPr>
          <w:trHeight w:val="186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20</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21</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r>
      <w:tr w:rsidR="00F55698" w:rsidRPr="00F55698" w:rsidTr="00F55698">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14</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11</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22</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6</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7</w:t>
            </w:r>
          </w:p>
        </w:tc>
        <w:tc>
          <w:tcPr>
            <w:tcW w:w="8439" w:type="dxa"/>
            <w:tcBorders>
              <w:top w:val="nil"/>
              <w:left w:val="nil"/>
              <w:bottom w:val="single" w:sz="4" w:space="0" w:color="auto"/>
              <w:right w:val="single" w:sz="4" w:space="0" w:color="auto"/>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300"/>
        </w:trPr>
        <w:tc>
          <w:tcPr>
            <w:tcW w:w="417" w:type="dxa"/>
            <w:tcBorders>
              <w:top w:val="nil"/>
              <w:left w:val="single" w:sz="4" w:space="0" w:color="auto"/>
              <w:bottom w:val="nil"/>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519" w:type="dxa"/>
            <w:tcBorders>
              <w:top w:val="nil"/>
              <w:left w:val="nil"/>
              <w:bottom w:val="nil"/>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c>
          <w:tcPr>
            <w:tcW w:w="8439" w:type="dxa"/>
            <w:tcBorders>
              <w:top w:val="nil"/>
              <w:left w:val="nil"/>
              <w:bottom w:val="nil"/>
              <w:right w:val="single" w:sz="4" w:space="0" w:color="auto"/>
            </w:tcBorders>
            <w:shd w:val="clear" w:color="000000" w:fill="D8D8D8"/>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[Deleted – combined with observation 3-3.]</w:t>
            </w:r>
          </w:p>
        </w:tc>
        <w:tc>
          <w:tcPr>
            <w:tcW w:w="692" w:type="dxa"/>
            <w:tcBorders>
              <w:top w:val="nil"/>
              <w:left w:val="nil"/>
              <w:bottom w:val="nil"/>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nil"/>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nil"/>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nil"/>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nil"/>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1095"/>
        </w:trPr>
        <w:tc>
          <w:tcPr>
            <w:tcW w:w="9375" w:type="dxa"/>
            <w:gridSpan w:val="3"/>
            <w:tcBorders>
              <w:top w:val="single" w:sz="4" w:space="0" w:color="auto"/>
              <w:left w:val="single" w:sz="4" w:space="0" w:color="auto"/>
              <w:bottom w:val="single" w:sz="4" w:space="0" w:color="auto"/>
              <w:right w:val="nil"/>
            </w:tcBorders>
            <w:shd w:val="clear" w:color="auto" w:fill="auto"/>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  Additional and more formal structure for communications of the parties in the gas and electric markets is needed, particularly for unanticipated demand situations.</w:t>
            </w:r>
            <w:r w:rsidRPr="00F55698">
              <w:rPr>
                <w:rFonts w:ascii="Calibri" w:eastAsia="Times New Roman" w:hAnsi="Calibri" w:cs="Times New Roman"/>
                <w:color w:val="000000"/>
                <w:sz w:val="20"/>
                <w:szCs w:val="20"/>
              </w:rPr>
              <w:br/>
              <w:t>Core Issue: Should NAESB examine a more comprehensive approach to communications between the two markets and among participants in each of the markets as the communications impact the interdependency of the markets?</w:t>
            </w:r>
          </w:p>
        </w:tc>
        <w:tc>
          <w:tcPr>
            <w:tcW w:w="692" w:type="dxa"/>
            <w:tcBorders>
              <w:top w:val="single" w:sz="4" w:space="0" w:color="auto"/>
              <w:left w:val="nil"/>
              <w:bottom w:val="single" w:sz="4" w:space="0" w:color="auto"/>
              <w:right w:val="nil"/>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single" w:sz="4" w:space="0" w:color="auto"/>
              <w:left w:val="nil"/>
              <w:bottom w:val="single" w:sz="4" w:space="0" w:color="auto"/>
              <w:right w:val="single" w:sz="24" w:space="0" w:color="auto"/>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single" w:sz="4" w:space="0" w:color="auto"/>
              <w:left w:val="single" w:sz="24" w:space="0" w:color="auto"/>
              <w:bottom w:val="single" w:sz="4" w:space="0" w:color="auto"/>
              <w:right w:val="nil"/>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single" w:sz="4" w:space="0" w:color="auto"/>
              <w:left w:val="nil"/>
              <w:bottom w:val="single" w:sz="4" w:space="0" w:color="auto"/>
              <w:right w:val="single" w:sz="24" w:space="0" w:color="auto"/>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single" w:sz="4" w:space="0" w:color="auto"/>
              <w:left w:val="single" w:sz="24" w:space="0" w:color="auto"/>
              <w:bottom w:val="single" w:sz="4" w:space="0" w:color="auto"/>
              <w:right w:val="single" w:sz="4" w:space="0" w:color="auto"/>
            </w:tcBorders>
            <w:shd w:val="clear" w:color="auto" w:fill="auto"/>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127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0</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t>
            </w:r>
            <w:proofErr w:type="gramStart"/>
            <w:r w:rsidRPr="00F55698">
              <w:rPr>
                <w:rFonts w:ascii="Calibri" w:eastAsia="Times New Roman" w:hAnsi="Calibri" w:cs="Times New Roman"/>
                <w:color w:val="000000"/>
                <w:sz w:val="20"/>
                <w:szCs w:val="20"/>
              </w:rPr>
              <w:t>who</w:t>
            </w:r>
            <w:proofErr w:type="gramEnd"/>
            <w:r w:rsidRPr="00F55698">
              <w:rPr>
                <w:rFonts w:ascii="Calibri" w:eastAsia="Times New Roman" w:hAnsi="Calibri" w:cs="Times New Roman"/>
                <w:color w:val="000000"/>
                <w:sz w:val="20"/>
                <w:szCs w:val="20"/>
              </w:rPr>
              <w:t xml:space="preserve"> provides the information, who accesses the information, and how the information is presented, should be analyzed to ensure that the needed confidentiality is preserved. </w:t>
            </w:r>
          </w:p>
        </w:tc>
        <w:tc>
          <w:tcPr>
            <w:tcW w:w="692" w:type="dxa"/>
            <w:tcBorders>
              <w:top w:val="nil"/>
              <w:left w:val="nil"/>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22</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23</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7</w:t>
            </w:r>
          </w:p>
        </w:tc>
      </w:tr>
      <w:tr w:rsidR="00F55698" w:rsidRPr="00F55698" w:rsidTr="00F55698">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Communication and associated procedures may support the development of decision enabling tools with respect to day-of service, that may support efforts for contingency response.</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24</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r>
      <w:tr w:rsidR="00F55698" w:rsidRPr="00F55698" w:rsidTr="00F55698">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Nuclear Power Plant Communications (Report 16, Nuclear Plant Interface Coordination – Standard NUC-001-2, NERC, April 2010, http://www.nerc.com/files/NUC-001-2.pdf) could be used as a template for a more formal structure for communications.</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w:t>
            </w:r>
          </w:p>
        </w:tc>
        <w:tc>
          <w:tcPr>
            <w:tcW w:w="1051" w:type="dxa"/>
            <w:tcBorders>
              <w:top w:val="nil"/>
              <w:left w:val="single" w:sz="24" w:space="0" w:color="auto"/>
              <w:bottom w:val="nil"/>
              <w:right w:val="nil"/>
            </w:tcBorders>
            <w:shd w:val="clear" w:color="auto" w:fill="auto"/>
            <w:noWrap/>
            <w:vAlign w:val="bottom"/>
            <w:hideMark/>
          </w:tcPr>
          <w:p w:rsidR="00F55698" w:rsidRPr="00F55698" w:rsidRDefault="00F55698" w:rsidP="00F55698">
            <w:pPr>
              <w:spacing w:after="0" w:line="240" w:lineRule="auto"/>
              <w:rPr>
                <w:rFonts w:ascii="Calibri" w:eastAsia="Times New Roman" w:hAnsi="Calibri" w:cs="Times New Roman"/>
                <w:color w:val="000000"/>
              </w:rPr>
            </w:pPr>
            <w:r w:rsidRPr="00F55698">
              <w:rPr>
                <w:rFonts w:ascii="Calibri" w:eastAsia="Times New Roman" w:hAnsi="Calibri" w:cs="Times New Roman"/>
                <w:color w:val="000000"/>
              </w:rPr>
              <w:t> </w:t>
            </w:r>
          </w:p>
        </w:tc>
        <w:tc>
          <w:tcPr>
            <w:tcW w:w="1082" w:type="dxa"/>
            <w:tcBorders>
              <w:top w:val="nil"/>
              <w:left w:val="single" w:sz="4" w:space="0" w:color="auto"/>
              <w:bottom w:val="single" w:sz="4" w:space="0" w:color="auto"/>
              <w:right w:val="single" w:sz="2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13</w:t>
            </w:r>
          </w:p>
        </w:tc>
        <w:tc>
          <w:tcPr>
            <w:tcW w:w="1020"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19</w:t>
            </w:r>
          </w:p>
        </w:tc>
      </w:tr>
      <w:tr w:rsidR="00F55698" w:rsidRPr="00F55698" w:rsidTr="00F55698">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8439" w:type="dxa"/>
            <w:tcBorders>
              <w:top w:val="nil"/>
              <w:left w:val="nil"/>
              <w:bottom w:val="single" w:sz="4" w:space="0" w:color="auto"/>
              <w:right w:val="single" w:sz="4" w:space="0" w:color="auto"/>
            </w:tcBorders>
            <w:shd w:val="clear" w:color="000000" w:fill="D8D8D8"/>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 [Deleted – replaced by 4-0.]</w:t>
            </w:r>
          </w:p>
        </w:tc>
        <w:tc>
          <w:tcPr>
            <w:tcW w:w="692" w:type="dxa"/>
            <w:tcBorders>
              <w:top w:val="nil"/>
              <w:left w:val="nil"/>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single" w:sz="4" w:space="0" w:color="auto"/>
              <w:left w:val="single" w:sz="24" w:space="0" w:color="auto"/>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r w:rsidR="00F55698" w:rsidRPr="00F55698" w:rsidTr="00F55698">
        <w:trPr>
          <w:trHeight w:val="818"/>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14</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10</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19</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7</w:t>
            </w:r>
          </w:p>
        </w:tc>
      </w:tr>
      <w:tr w:rsidR="00F55698" w:rsidRPr="00F55698" w:rsidTr="00F55698">
        <w:trPr>
          <w:trHeight w:val="153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13</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28</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r>
      <w:tr w:rsidR="00F55698" w:rsidRPr="00F55698" w:rsidTr="00F55698">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6</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692" w:type="dxa"/>
            <w:tcBorders>
              <w:top w:val="nil"/>
              <w:left w:val="nil"/>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5</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6</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19</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15</w:t>
            </w:r>
          </w:p>
        </w:tc>
      </w:tr>
      <w:tr w:rsidR="00F55698" w:rsidRPr="00F55698" w:rsidTr="00F55698">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7</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692" w:type="dxa"/>
            <w:tcBorders>
              <w:top w:val="nil"/>
              <w:left w:val="nil"/>
              <w:bottom w:val="single" w:sz="4" w:space="0" w:color="auto"/>
              <w:right w:val="single" w:sz="4" w:space="0" w:color="auto"/>
            </w:tcBorders>
            <w:shd w:val="clear" w:color="000000" w:fill="FFFF0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19</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6</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27</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r>
      <w:tr w:rsidR="00F55698" w:rsidRPr="00F55698" w:rsidTr="00F55698">
        <w:trPr>
          <w:trHeight w:val="57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c>
          <w:tcPr>
            <w:tcW w:w="8439" w:type="dxa"/>
            <w:tcBorders>
              <w:top w:val="nil"/>
              <w:left w:val="nil"/>
              <w:bottom w:val="single" w:sz="4" w:space="0" w:color="auto"/>
              <w:right w:val="single" w:sz="4" w:space="0" w:color="auto"/>
            </w:tcBorders>
            <w:shd w:val="clear" w:color="000000" w:fill="EEECE1"/>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Communications protocols may reflect the technology that was common when the protocols were adopted such that both now need updating in order to support provision of greater flexibility.</w:t>
            </w:r>
          </w:p>
        </w:tc>
        <w:tc>
          <w:tcPr>
            <w:tcW w:w="692" w:type="dxa"/>
            <w:tcBorders>
              <w:top w:val="nil"/>
              <w:left w:val="nil"/>
              <w:bottom w:val="single" w:sz="4" w:space="0" w:color="auto"/>
              <w:right w:val="single" w:sz="4" w:space="0" w:color="auto"/>
            </w:tcBorders>
            <w:shd w:val="clear" w:color="000000" w:fill="EEECE1"/>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3</w:t>
            </w:r>
          </w:p>
        </w:tc>
        <w:tc>
          <w:tcPr>
            <w:tcW w:w="1190"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1051" w:type="dxa"/>
            <w:tcBorders>
              <w:top w:val="nil"/>
              <w:left w:val="single" w:sz="24" w:space="0" w:color="auto"/>
              <w:bottom w:val="single" w:sz="4" w:space="0" w:color="auto"/>
              <w:right w:val="single" w:sz="4" w:space="0" w:color="auto"/>
            </w:tcBorders>
            <w:shd w:val="clear" w:color="000000" w:fill="92D050"/>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29</w:t>
            </w:r>
          </w:p>
        </w:tc>
        <w:tc>
          <w:tcPr>
            <w:tcW w:w="1082" w:type="dxa"/>
            <w:tcBorders>
              <w:top w:val="nil"/>
              <w:left w:val="nil"/>
              <w:bottom w:val="single" w:sz="4" w:space="0" w:color="auto"/>
              <w:right w:val="single" w:sz="2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auto" w:fill="auto"/>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8</w:t>
            </w:r>
          </w:p>
        </w:tc>
      </w:tr>
      <w:tr w:rsidR="00F55698" w:rsidRPr="00F55698" w:rsidTr="00F55698">
        <w:trPr>
          <w:trHeight w:val="315"/>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D8D8D8"/>
            <w:noWrap/>
            <w:vAlign w:val="bottom"/>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9</w:t>
            </w:r>
          </w:p>
        </w:tc>
        <w:tc>
          <w:tcPr>
            <w:tcW w:w="8439" w:type="dxa"/>
            <w:tcBorders>
              <w:top w:val="nil"/>
              <w:left w:val="nil"/>
              <w:bottom w:val="single" w:sz="4" w:space="0" w:color="auto"/>
              <w:right w:val="single" w:sz="4" w:space="0" w:color="auto"/>
            </w:tcBorders>
            <w:shd w:val="clear" w:color="000000" w:fill="D8D8D8"/>
            <w:hideMark/>
          </w:tcPr>
          <w:p w:rsidR="00F55698" w:rsidRPr="00F55698" w:rsidRDefault="00F55698" w:rsidP="00F55698">
            <w:pPr>
              <w:spacing w:after="0" w:line="240" w:lineRule="auto"/>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Deleted.</w:t>
            </w:r>
          </w:p>
        </w:tc>
        <w:tc>
          <w:tcPr>
            <w:tcW w:w="692" w:type="dxa"/>
            <w:tcBorders>
              <w:top w:val="nil"/>
              <w:left w:val="nil"/>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51" w:type="dxa"/>
            <w:tcBorders>
              <w:top w:val="nil"/>
              <w:left w:val="single" w:sz="24" w:space="0" w:color="auto"/>
              <w:bottom w:val="single" w:sz="2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82" w:type="dxa"/>
            <w:tcBorders>
              <w:top w:val="nil"/>
              <w:left w:val="nil"/>
              <w:bottom w:val="single" w:sz="24" w:space="0" w:color="auto"/>
              <w:right w:val="single" w:sz="2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c>
          <w:tcPr>
            <w:tcW w:w="1020" w:type="dxa"/>
            <w:tcBorders>
              <w:top w:val="nil"/>
              <w:left w:val="single" w:sz="24" w:space="0" w:color="auto"/>
              <w:bottom w:val="single" w:sz="4" w:space="0" w:color="auto"/>
              <w:right w:val="single" w:sz="4" w:space="0" w:color="auto"/>
            </w:tcBorders>
            <w:shd w:val="clear" w:color="000000" w:fill="D8D8D8"/>
            <w:noWrap/>
            <w:hideMark/>
          </w:tcPr>
          <w:p w:rsidR="00F55698" w:rsidRPr="00F55698" w:rsidRDefault="00F55698" w:rsidP="00F55698">
            <w:pPr>
              <w:spacing w:after="0" w:line="240" w:lineRule="auto"/>
              <w:jc w:val="center"/>
              <w:rPr>
                <w:rFonts w:ascii="Calibri" w:eastAsia="Times New Roman" w:hAnsi="Calibri" w:cs="Times New Roman"/>
                <w:color w:val="000000"/>
                <w:sz w:val="20"/>
                <w:szCs w:val="20"/>
              </w:rPr>
            </w:pPr>
            <w:r w:rsidRPr="00F55698">
              <w:rPr>
                <w:rFonts w:ascii="Calibri" w:eastAsia="Times New Roman" w:hAnsi="Calibri" w:cs="Times New Roman"/>
                <w:color w:val="000000"/>
                <w:sz w:val="20"/>
                <w:szCs w:val="20"/>
              </w:rPr>
              <w:t> </w:t>
            </w:r>
          </w:p>
        </w:tc>
      </w:tr>
    </w:tbl>
    <w:p w:rsidR="00D00C5E" w:rsidRDefault="00D00C5E" w:rsidP="00F55698"/>
    <w:sectPr w:rsidR="00D00C5E" w:rsidSect="00662EA3">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A3" w:rsidRDefault="009110A3" w:rsidP="007914CA">
      <w:pPr>
        <w:spacing w:after="0" w:line="240" w:lineRule="auto"/>
      </w:pPr>
      <w:r>
        <w:separator/>
      </w:r>
    </w:p>
  </w:endnote>
  <w:endnote w:type="continuationSeparator" w:id="0">
    <w:p w:rsidR="009110A3" w:rsidRDefault="009110A3" w:rsidP="0079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A3" w:rsidRPr="00FA5DDA" w:rsidRDefault="009110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NAESB GEH Survey, April 26, 2012</w:t>
    </w:r>
  </w:p>
  <w:p w:rsidR="009110A3" w:rsidRPr="00FA5DDA" w:rsidRDefault="009110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 xml:space="preserve">Page </w:t>
    </w:r>
    <w:r w:rsidR="00F86F8C" w:rsidRPr="00FA5DDA">
      <w:rPr>
        <w:rFonts w:ascii="Times New Roman" w:hAnsi="Times New Roman" w:cs="Times New Roman"/>
        <w:sz w:val="20"/>
        <w:szCs w:val="20"/>
      </w:rPr>
      <w:fldChar w:fldCharType="begin"/>
    </w:r>
    <w:r w:rsidRPr="00FA5DDA">
      <w:rPr>
        <w:rFonts w:ascii="Times New Roman" w:hAnsi="Times New Roman" w:cs="Times New Roman"/>
        <w:sz w:val="20"/>
        <w:szCs w:val="20"/>
      </w:rPr>
      <w:instrText xml:space="preserve"> PAGE   \* MERGEFORMAT </w:instrText>
    </w:r>
    <w:r w:rsidR="00F86F8C" w:rsidRPr="00FA5DDA">
      <w:rPr>
        <w:rFonts w:ascii="Times New Roman" w:hAnsi="Times New Roman" w:cs="Times New Roman"/>
        <w:sz w:val="20"/>
        <w:szCs w:val="20"/>
      </w:rPr>
      <w:fldChar w:fldCharType="separate"/>
    </w:r>
    <w:r w:rsidR="00D25979">
      <w:rPr>
        <w:rFonts w:ascii="Times New Roman" w:hAnsi="Times New Roman" w:cs="Times New Roman"/>
        <w:noProof/>
        <w:sz w:val="20"/>
        <w:szCs w:val="20"/>
      </w:rPr>
      <w:t>8</w:t>
    </w:r>
    <w:r w:rsidR="00F86F8C" w:rsidRPr="00FA5DDA">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sidR="00F86F8C">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sidR="00F86F8C">
      <w:rPr>
        <w:rFonts w:ascii="Times New Roman" w:hAnsi="Times New Roman" w:cs="Times New Roman"/>
        <w:noProof/>
        <w:sz w:val="20"/>
        <w:szCs w:val="20"/>
      </w:rPr>
      <w:fldChar w:fldCharType="separate"/>
    </w:r>
    <w:r w:rsidR="00D25979">
      <w:rPr>
        <w:rFonts w:ascii="Times New Roman" w:hAnsi="Times New Roman" w:cs="Times New Roman"/>
        <w:noProof/>
        <w:sz w:val="20"/>
        <w:szCs w:val="20"/>
      </w:rPr>
      <w:t>24</w:t>
    </w:r>
    <w:r w:rsidR="00F86F8C">
      <w:rPr>
        <w:rFonts w:ascii="Times New Roman" w:hAnsi="Times New Roman" w:cs="Times New Roman"/>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A3" w:rsidRDefault="009110A3" w:rsidP="007914CA">
      <w:pPr>
        <w:spacing w:after="0" w:line="240" w:lineRule="auto"/>
      </w:pPr>
      <w:r>
        <w:separator/>
      </w:r>
    </w:p>
  </w:footnote>
  <w:footnote w:type="continuationSeparator" w:id="0">
    <w:p w:rsidR="009110A3" w:rsidRDefault="009110A3" w:rsidP="0079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A3" w:rsidRDefault="009110A3" w:rsidP="007914CA">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3700" b="24203"/>
                  <a:stretch>
                    <a:fillRect/>
                  </a:stretch>
                </pic:blipFill>
                <pic:spPr bwMode="auto">
                  <a:xfrm>
                    <a:off x="0" y="0"/>
                    <a:ext cx="981710" cy="1133475"/>
                  </a:xfrm>
                  <a:prstGeom prst="rect">
                    <a:avLst/>
                  </a:prstGeom>
                  <a:noFill/>
                </pic:spPr>
              </pic:pic>
            </a:graphicData>
          </a:graphic>
        </wp:anchor>
      </w:drawing>
    </w:r>
  </w:p>
  <w:p w:rsidR="009110A3" w:rsidRDefault="009110A3" w:rsidP="007914CA">
    <w:pPr>
      <w:pStyle w:val="Header"/>
      <w:tabs>
        <w:tab w:val="left" w:pos="1080"/>
      </w:tabs>
      <w:ind w:left="2160"/>
      <w:rPr>
        <w:rFonts w:ascii="Bookman Old Style" w:hAnsi="Bookman Old Style"/>
        <w:b/>
        <w:sz w:val="28"/>
      </w:rPr>
    </w:pPr>
  </w:p>
  <w:p w:rsidR="009110A3" w:rsidRDefault="009110A3" w:rsidP="007914CA">
    <w:pPr>
      <w:pStyle w:val="Header"/>
      <w:tabs>
        <w:tab w:val="left" w:pos="1080"/>
      </w:tabs>
      <w:ind w:left="1800"/>
      <w:jc w:val="right"/>
      <w:rPr>
        <w:b/>
        <w:spacing w:val="20"/>
        <w:sz w:val="32"/>
      </w:rPr>
    </w:pPr>
    <w:r>
      <w:rPr>
        <w:b/>
        <w:spacing w:val="20"/>
        <w:sz w:val="32"/>
      </w:rPr>
      <w:t>North American Energy Standards Board</w:t>
    </w:r>
  </w:p>
  <w:p w:rsidR="009110A3" w:rsidRDefault="009110A3" w:rsidP="007914CA">
    <w:pPr>
      <w:pStyle w:val="Header"/>
      <w:tabs>
        <w:tab w:val="left" w:pos="680"/>
        <w:tab w:val="right" w:pos="9810"/>
      </w:tabs>
      <w:spacing w:before="60"/>
      <w:ind w:left="1800"/>
      <w:jc w:val="right"/>
    </w:pPr>
    <w:r>
      <w:t>801 Travis, Suite 1675, Houston, Texas 77002</w:t>
    </w:r>
  </w:p>
  <w:p w:rsidR="009110A3" w:rsidRDefault="009110A3" w:rsidP="007914CA">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110A3" w:rsidRDefault="009110A3" w:rsidP="007914C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9110A3" w:rsidRDefault="009110A3" w:rsidP="007914CA">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210E"/>
    <w:rsid w:val="00022236"/>
    <w:rsid w:val="00024C42"/>
    <w:rsid w:val="0003768B"/>
    <w:rsid w:val="00041C02"/>
    <w:rsid w:val="000472AD"/>
    <w:rsid w:val="00091CFD"/>
    <w:rsid w:val="000A084B"/>
    <w:rsid w:val="000A5890"/>
    <w:rsid w:val="000B7BBE"/>
    <w:rsid w:val="00104318"/>
    <w:rsid w:val="00114981"/>
    <w:rsid w:val="00126565"/>
    <w:rsid w:val="001704B9"/>
    <w:rsid w:val="001B37C2"/>
    <w:rsid w:val="001D5CC2"/>
    <w:rsid w:val="001E72E8"/>
    <w:rsid w:val="00200117"/>
    <w:rsid w:val="002071B9"/>
    <w:rsid w:val="00250E2C"/>
    <w:rsid w:val="00256AB0"/>
    <w:rsid w:val="00261C52"/>
    <w:rsid w:val="0027502F"/>
    <w:rsid w:val="002A0F47"/>
    <w:rsid w:val="002A2274"/>
    <w:rsid w:val="002C7A30"/>
    <w:rsid w:val="002E5E3F"/>
    <w:rsid w:val="002F1174"/>
    <w:rsid w:val="002F5D38"/>
    <w:rsid w:val="00326F95"/>
    <w:rsid w:val="003438C4"/>
    <w:rsid w:val="00364C66"/>
    <w:rsid w:val="00376D8B"/>
    <w:rsid w:val="00384FBA"/>
    <w:rsid w:val="003B6EA0"/>
    <w:rsid w:val="003D28B1"/>
    <w:rsid w:val="003D4EAD"/>
    <w:rsid w:val="00424A8B"/>
    <w:rsid w:val="004305A6"/>
    <w:rsid w:val="00477D93"/>
    <w:rsid w:val="0048679D"/>
    <w:rsid w:val="004A3DDF"/>
    <w:rsid w:val="004B6884"/>
    <w:rsid w:val="004C2519"/>
    <w:rsid w:val="004F3034"/>
    <w:rsid w:val="004F4B9A"/>
    <w:rsid w:val="00506050"/>
    <w:rsid w:val="005346CA"/>
    <w:rsid w:val="00545838"/>
    <w:rsid w:val="00557402"/>
    <w:rsid w:val="0056685D"/>
    <w:rsid w:val="005B61B0"/>
    <w:rsid w:val="005E1510"/>
    <w:rsid w:val="00602F2F"/>
    <w:rsid w:val="006101DC"/>
    <w:rsid w:val="00613711"/>
    <w:rsid w:val="00632759"/>
    <w:rsid w:val="00636C67"/>
    <w:rsid w:val="00660530"/>
    <w:rsid w:val="00662EA3"/>
    <w:rsid w:val="006735EB"/>
    <w:rsid w:val="006B0C05"/>
    <w:rsid w:val="006E1DE3"/>
    <w:rsid w:val="006E7954"/>
    <w:rsid w:val="006F5257"/>
    <w:rsid w:val="007329BC"/>
    <w:rsid w:val="00742DD2"/>
    <w:rsid w:val="007914CA"/>
    <w:rsid w:val="0079476A"/>
    <w:rsid w:val="007A3CD8"/>
    <w:rsid w:val="007A425F"/>
    <w:rsid w:val="007B0078"/>
    <w:rsid w:val="007B0F3E"/>
    <w:rsid w:val="007C4A8E"/>
    <w:rsid w:val="0084661B"/>
    <w:rsid w:val="00861C3A"/>
    <w:rsid w:val="00873F64"/>
    <w:rsid w:val="008A5286"/>
    <w:rsid w:val="008A60B4"/>
    <w:rsid w:val="008B0D1E"/>
    <w:rsid w:val="008B1ED1"/>
    <w:rsid w:val="008B5E7C"/>
    <w:rsid w:val="008C78F6"/>
    <w:rsid w:val="008D65FF"/>
    <w:rsid w:val="008F3391"/>
    <w:rsid w:val="00900B3B"/>
    <w:rsid w:val="00903A5F"/>
    <w:rsid w:val="009110A3"/>
    <w:rsid w:val="00912369"/>
    <w:rsid w:val="00953182"/>
    <w:rsid w:val="00962CEB"/>
    <w:rsid w:val="00964E85"/>
    <w:rsid w:val="009A21BB"/>
    <w:rsid w:val="009A585C"/>
    <w:rsid w:val="009B4F90"/>
    <w:rsid w:val="009C5657"/>
    <w:rsid w:val="009D27C8"/>
    <w:rsid w:val="00A056B8"/>
    <w:rsid w:val="00A13112"/>
    <w:rsid w:val="00A36C94"/>
    <w:rsid w:val="00A4020B"/>
    <w:rsid w:val="00A42409"/>
    <w:rsid w:val="00A43174"/>
    <w:rsid w:val="00AB1389"/>
    <w:rsid w:val="00AB210E"/>
    <w:rsid w:val="00AF6BCB"/>
    <w:rsid w:val="00B15FCE"/>
    <w:rsid w:val="00B17C84"/>
    <w:rsid w:val="00B2149E"/>
    <w:rsid w:val="00B36E91"/>
    <w:rsid w:val="00B579D4"/>
    <w:rsid w:val="00B83AEB"/>
    <w:rsid w:val="00C10A27"/>
    <w:rsid w:val="00C16DC4"/>
    <w:rsid w:val="00C37F5C"/>
    <w:rsid w:val="00C5503A"/>
    <w:rsid w:val="00C768A9"/>
    <w:rsid w:val="00C93404"/>
    <w:rsid w:val="00CB2816"/>
    <w:rsid w:val="00CB698E"/>
    <w:rsid w:val="00CC2500"/>
    <w:rsid w:val="00CD67A4"/>
    <w:rsid w:val="00CE0B15"/>
    <w:rsid w:val="00CE20FE"/>
    <w:rsid w:val="00D00C5E"/>
    <w:rsid w:val="00D24450"/>
    <w:rsid w:val="00D25979"/>
    <w:rsid w:val="00DC6716"/>
    <w:rsid w:val="00E301B6"/>
    <w:rsid w:val="00E31545"/>
    <w:rsid w:val="00EB2315"/>
    <w:rsid w:val="00EC2CA0"/>
    <w:rsid w:val="00ED0B60"/>
    <w:rsid w:val="00EE75C8"/>
    <w:rsid w:val="00EF7D6F"/>
    <w:rsid w:val="00F16E3B"/>
    <w:rsid w:val="00F40058"/>
    <w:rsid w:val="00F41497"/>
    <w:rsid w:val="00F42F0E"/>
    <w:rsid w:val="00F53E33"/>
    <w:rsid w:val="00F55698"/>
    <w:rsid w:val="00F86F8C"/>
    <w:rsid w:val="00F97DA7"/>
    <w:rsid w:val="00FA5DDA"/>
    <w:rsid w:val="00FC1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13922">
      <w:bodyDiv w:val="1"/>
      <w:marLeft w:val="0"/>
      <w:marRight w:val="0"/>
      <w:marTop w:val="0"/>
      <w:marBottom w:val="0"/>
      <w:divBdr>
        <w:top w:val="none" w:sz="0" w:space="0" w:color="auto"/>
        <w:left w:val="none" w:sz="0" w:space="0" w:color="auto"/>
        <w:bottom w:val="none" w:sz="0" w:space="0" w:color="auto"/>
        <w:right w:val="none" w:sz="0" w:space="0" w:color="auto"/>
      </w:divBdr>
    </w:div>
    <w:div w:id="14890150">
      <w:bodyDiv w:val="1"/>
      <w:marLeft w:val="0"/>
      <w:marRight w:val="0"/>
      <w:marTop w:val="0"/>
      <w:marBottom w:val="0"/>
      <w:divBdr>
        <w:top w:val="none" w:sz="0" w:space="0" w:color="auto"/>
        <w:left w:val="none" w:sz="0" w:space="0" w:color="auto"/>
        <w:bottom w:val="none" w:sz="0" w:space="0" w:color="auto"/>
        <w:right w:val="none" w:sz="0" w:space="0" w:color="auto"/>
      </w:divBdr>
    </w:div>
    <w:div w:id="57293231">
      <w:bodyDiv w:val="1"/>
      <w:marLeft w:val="0"/>
      <w:marRight w:val="0"/>
      <w:marTop w:val="0"/>
      <w:marBottom w:val="0"/>
      <w:divBdr>
        <w:top w:val="none" w:sz="0" w:space="0" w:color="auto"/>
        <w:left w:val="none" w:sz="0" w:space="0" w:color="auto"/>
        <w:bottom w:val="none" w:sz="0" w:space="0" w:color="auto"/>
        <w:right w:val="none" w:sz="0" w:space="0" w:color="auto"/>
      </w:divBdr>
    </w:div>
    <w:div w:id="66265631">
      <w:bodyDiv w:val="1"/>
      <w:marLeft w:val="0"/>
      <w:marRight w:val="0"/>
      <w:marTop w:val="0"/>
      <w:marBottom w:val="0"/>
      <w:divBdr>
        <w:top w:val="none" w:sz="0" w:space="0" w:color="auto"/>
        <w:left w:val="none" w:sz="0" w:space="0" w:color="auto"/>
        <w:bottom w:val="none" w:sz="0" w:space="0" w:color="auto"/>
        <w:right w:val="none" w:sz="0" w:space="0" w:color="auto"/>
      </w:divBdr>
    </w:div>
    <w:div w:id="69811258">
      <w:bodyDiv w:val="1"/>
      <w:marLeft w:val="0"/>
      <w:marRight w:val="0"/>
      <w:marTop w:val="0"/>
      <w:marBottom w:val="0"/>
      <w:divBdr>
        <w:top w:val="none" w:sz="0" w:space="0" w:color="auto"/>
        <w:left w:val="none" w:sz="0" w:space="0" w:color="auto"/>
        <w:bottom w:val="none" w:sz="0" w:space="0" w:color="auto"/>
        <w:right w:val="none" w:sz="0" w:space="0" w:color="auto"/>
      </w:divBdr>
    </w:div>
    <w:div w:id="87118768">
      <w:bodyDiv w:val="1"/>
      <w:marLeft w:val="0"/>
      <w:marRight w:val="0"/>
      <w:marTop w:val="0"/>
      <w:marBottom w:val="0"/>
      <w:divBdr>
        <w:top w:val="none" w:sz="0" w:space="0" w:color="auto"/>
        <w:left w:val="none" w:sz="0" w:space="0" w:color="auto"/>
        <w:bottom w:val="none" w:sz="0" w:space="0" w:color="auto"/>
        <w:right w:val="none" w:sz="0" w:space="0" w:color="auto"/>
      </w:divBdr>
    </w:div>
    <w:div w:id="157969196">
      <w:bodyDiv w:val="1"/>
      <w:marLeft w:val="0"/>
      <w:marRight w:val="0"/>
      <w:marTop w:val="0"/>
      <w:marBottom w:val="0"/>
      <w:divBdr>
        <w:top w:val="none" w:sz="0" w:space="0" w:color="auto"/>
        <w:left w:val="none" w:sz="0" w:space="0" w:color="auto"/>
        <w:bottom w:val="none" w:sz="0" w:space="0" w:color="auto"/>
        <w:right w:val="none" w:sz="0" w:space="0" w:color="auto"/>
      </w:divBdr>
    </w:div>
    <w:div w:id="202331665">
      <w:bodyDiv w:val="1"/>
      <w:marLeft w:val="0"/>
      <w:marRight w:val="0"/>
      <w:marTop w:val="0"/>
      <w:marBottom w:val="0"/>
      <w:divBdr>
        <w:top w:val="none" w:sz="0" w:space="0" w:color="auto"/>
        <w:left w:val="none" w:sz="0" w:space="0" w:color="auto"/>
        <w:bottom w:val="none" w:sz="0" w:space="0" w:color="auto"/>
        <w:right w:val="none" w:sz="0" w:space="0" w:color="auto"/>
      </w:divBdr>
    </w:div>
    <w:div w:id="221869593">
      <w:bodyDiv w:val="1"/>
      <w:marLeft w:val="0"/>
      <w:marRight w:val="0"/>
      <w:marTop w:val="0"/>
      <w:marBottom w:val="0"/>
      <w:divBdr>
        <w:top w:val="none" w:sz="0" w:space="0" w:color="auto"/>
        <w:left w:val="none" w:sz="0" w:space="0" w:color="auto"/>
        <w:bottom w:val="none" w:sz="0" w:space="0" w:color="auto"/>
        <w:right w:val="none" w:sz="0" w:space="0" w:color="auto"/>
      </w:divBdr>
    </w:div>
    <w:div w:id="257296600">
      <w:bodyDiv w:val="1"/>
      <w:marLeft w:val="0"/>
      <w:marRight w:val="0"/>
      <w:marTop w:val="0"/>
      <w:marBottom w:val="0"/>
      <w:divBdr>
        <w:top w:val="none" w:sz="0" w:space="0" w:color="auto"/>
        <w:left w:val="none" w:sz="0" w:space="0" w:color="auto"/>
        <w:bottom w:val="none" w:sz="0" w:space="0" w:color="auto"/>
        <w:right w:val="none" w:sz="0" w:space="0" w:color="auto"/>
      </w:divBdr>
    </w:div>
    <w:div w:id="271862500">
      <w:bodyDiv w:val="1"/>
      <w:marLeft w:val="0"/>
      <w:marRight w:val="0"/>
      <w:marTop w:val="0"/>
      <w:marBottom w:val="0"/>
      <w:divBdr>
        <w:top w:val="none" w:sz="0" w:space="0" w:color="auto"/>
        <w:left w:val="none" w:sz="0" w:space="0" w:color="auto"/>
        <w:bottom w:val="none" w:sz="0" w:space="0" w:color="auto"/>
        <w:right w:val="none" w:sz="0" w:space="0" w:color="auto"/>
      </w:divBdr>
    </w:div>
    <w:div w:id="292710313">
      <w:bodyDiv w:val="1"/>
      <w:marLeft w:val="0"/>
      <w:marRight w:val="0"/>
      <w:marTop w:val="0"/>
      <w:marBottom w:val="0"/>
      <w:divBdr>
        <w:top w:val="none" w:sz="0" w:space="0" w:color="auto"/>
        <w:left w:val="none" w:sz="0" w:space="0" w:color="auto"/>
        <w:bottom w:val="none" w:sz="0" w:space="0" w:color="auto"/>
        <w:right w:val="none" w:sz="0" w:space="0" w:color="auto"/>
      </w:divBdr>
    </w:div>
    <w:div w:id="299070801">
      <w:bodyDiv w:val="1"/>
      <w:marLeft w:val="0"/>
      <w:marRight w:val="0"/>
      <w:marTop w:val="0"/>
      <w:marBottom w:val="0"/>
      <w:divBdr>
        <w:top w:val="none" w:sz="0" w:space="0" w:color="auto"/>
        <w:left w:val="none" w:sz="0" w:space="0" w:color="auto"/>
        <w:bottom w:val="none" w:sz="0" w:space="0" w:color="auto"/>
        <w:right w:val="none" w:sz="0" w:space="0" w:color="auto"/>
      </w:divBdr>
    </w:div>
    <w:div w:id="299578795">
      <w:bodyDiv w:val="1"/>
      <w:marLeft w:val="0"/>
      <w:marRight w:val="0"/>
      <w:marTop w:val="0"/>
      <w:marBottom w:val="0"/>
      <w:divBdr>
        <w:top w:val="none" w:sz="0" w:space="0" w:color="auto"/>
        <w:left w:val="none" w:sz="0" w:space="0" w:color="auto"/>
        <w:bottom w:val="none" w:sz="0" w:space="0" w:color="auto"/>
        <w:right w:val="none" w:sz="0" w:space="0" w:color="auto"/>
      </w:divBdr>
    </w:div>
    <w:div w:id="327709339">
      <w:bodyDiv w:val="1"/>
      <w:marLeft w:val="0"/>
      <w:marRight w:val="0"/>
      <w:marTop w:val="0"/>
      <w:marBottom w:val="0"/>
      <w:divBdr>
        <w:top w:val="none" w:sz="0" w:space="0" w:color="auto"/>
        <w:left w:val="none" w:sz="0" w:space="0" w:color="auto"/>
        <w:bottom w:val="none" w:sz="0" w:space="0" w:color="auto"/>
        <w:right w:val="none" w:sz="0" w:space="0" w:color="auto"/>
      </w:divBdr>
    </w:div>
    <w:div w:id="374548201">
      <w:bodyDiv w:val="1"/>
      <w:marLeft w:val="0"/>
      <w:marRight w:val="0"/>
      <w:marTop w:val="0"/>
      <w:marBottom w:val="0"/>
      <w:divBdr>
        <w:top w:val="none" w:sz="0" w:space="0" w:color="auto"/>
        <w:left w:val="none" w:sz="0" w:space="0" w:color="auto"/>
        <w:bottom w:val="none" w:sz="0" w:space="0" w:color="auto"/>
        <w:right w:val="none" w:sz="0" w:space="0" w:color="auto"/>
      </w:divBdr>
    </w:div>
    <w:div w:id="467935645">
      <w:bodyDiv w:val="1"/>
      <w:marLeft w:val="0"/>
      <w:marRight w:val="0"/>
      <w:marTop w:val="0"/>
      <w:marBottom w:val="0"/>
      <w:divBdr>
        <w:top w:val="none" w:sz="0" w:space="0" w:color="auto"/>
        <w:left w:val="none" w:sz="0" w:space="0" w:color="auto"/>
        <w:bottom w:val="none" w:sz="0" w:space="0" w:color="auto"/>
        <w:right w:val="none" w:sz="0" w:space="0" w:color="auto"/>
      </w:divBdr>
    </w:div>
    <w:div w:id="486283980">
      <w:bodyDiv w:val="1"/>
      <w:marLeft w:val="0"/>
      <w:marRight w:val="0"/>
      <w:marTop w:val="0"/>
      <w:marBottom w:val="0"/>
      <w:divBdr>
        <w:top w:val="none" w:sz="0" w:space="0" w:color="auto"/>
        <w:left w:val="none" w:sz="0" w:space="0" w:color="auto"/>
        <w:bottom w:val="none" w:sz="0" w:space="0" w:color="auto"/>
        <w:right w:val="none" w:sz="0" w:space="0" w:color="auto"/>
      </w:divBdr>
    </w:div>
    <w:div w:id="488445316">
      <w:bodyDiv w:val="1"/>
      <w:marLeft w:val="0"/>
      <w:marRight w:val="0"/>
      <w:marTop w:val="0"/>
      <w:marBottom w:val="0"/>
      <w:divBdr>
        <w:top w:val="none" w:sz="0" w:space="0" w:color="auto"/>
        <w:left w:val="none" w:sz="0" w:space="0" w:color="auto"/>
        <w:bottom w:val="none" w:sz="0" w:space="0" w:color="auto"/>
        <w:right w:val="none" w:sz="0" w:space="0" w:color="auto"/>
      </w:divBdr>
    </w:div>
    <w:div w:id="555052371">
      <w:bodyDiv w:val="1"/>
      <w:marLeft w:val="0"/>
      <w:marRight w:val="0"/>
      <w:marTop w:val="0"/>
      <w:marBottom w:val="0"/>
      <w:divBdr>
        <w:top w:val="none" w:sz="0" w:space="0" w:color="auto"/>
        <w:left w:val="none" w:sz="0" w:space="0" w:color="auto"/>
        <w:bottom w:val="none" w:sz="0" w:space="0" w:color="auto"/>
        <w:right w:val="none" w:sz="0" w:space="0" w:color="auto"/>
      </w:divBdr>
    </w:div>
    <w:div w:id="630601768">
      <w:bodyDiv w:val="1"/>
      <w:marLeft w:val="0"/>
      <w:marRight w:val="0"/>
      <w:marTop w:val="0"/>
      <w:marBottom w:val="0"/>
      <w:divBdr>
        <w:top w:val="none" w:sz="0" w:space="0" w:color="auto"/>
        <w:left w:val="none" w:sz="0" w:space="0" w:color="auto"/>
        <w:bottom w:val="none" w:sz="0" w:space="0" w:color="auto"/>
        <w:right w:val="none" w:sz="0" w:space="0" w:color="auto"/>
      </w:divBdr>
    </w:div>
    <w:div w:id="672606246">
      <w:bodyDiv w:val="1"/>
      <w:marLeft w:val="0"/>
      <w:marRight w:val="0"/>
      <w:marTop w:val="0"/>
      <w:marBottom w:val="0"/>
      <w:divBdr>
        <w:top w:val="none" w:sz="0" w:space="0" w:color="auto"/>
        <w:left w:val="none" w:sz="0" w:space="0" w:color="auto"/>
        <w:bottom w:val="none" w:sz="0" w:space="0" w:color="auto"/>
        <w:right w:val="none" w:sz="0" w:space="0" w:color="auto"/>
      </w:divBdr>
    </w:div>
    <w:div w:id="719211316">
      <w:bodyDiv w:val="1"/>
      <w:marLeft w:val="0"/>
      <w:marRight w:val="0"/>
      <w:marTop w:val="0"/>
      <w:marBottom w:val="0"/>
      <w:divBdr>
        <w:top w:val="none" w:sz="0" w:space="0" w:color="auto"/>
        <w:left w:val="none" w:sz="0" w:space="0" w:color="auto"/>
        <w:bottom w:val="none" w:sz="0" w:space="0" w:color="auto"/>
        <w:right w:val="none" w:sz="0" w:space="0" w:color="auto"/>
      </w:divBdr>
    </w:div>
    <w:div w:id="747581933">
      <w:bodyDiv w:val="1"/>
      <w:marLeft w:val="0"/>
      <w:marRight w:val="0"/>
      <w:marTop w:val="0"/>
      <w:marBottom w:val="0"/>
      <w:divBdr>
        <w:top w:val="none" w:sz="0" w:space="0" w:color="auto"/>
        <w:left w:val="none" w:sz="0" w:space="0" w:color="auto"/>
        <w:bottom w:val="none" w:sz="0" w:space="0" w:color="auto"/>
        <w:right w:val="none" w:sz="0" w:space="0" w:color="auto"/>
      </w:divBdr>
    </w:div>
    <w:div w:id="871108627">
      <w:bodyDiv w:val="1"/>
      <w:marLeft w:val="0"/>
      <w:marRight w:val="0"/>
      <w:marTop w:val="0"/>
      <w:marBottom w:val="0"/>
      <w:divBdr>
        <w:top w:val="none" w:sz="0" w:space="0" w:color="auto"/>
        <w:left w:val="none" w:sz="0" w:space="0" w:color="auto"/>
        <w:bottom w:val="none" w:sz="0" w:space="0" w:color="auto"/>
        <w:right w:val="none" w:sz="0" w:space="0" w:color="auto"/>
      </w:divBdr>
    </w:div>
    <w:div w:id="881987210">
      <w:bodyDiv w:val="1"/>
      <w:marLeft w:val="0"/>
      <w:marRight w:val="0"/>
      <w:marTop w:val="0"/>
      <w:marBottom w:val="0"/>
      <w:divBdr>
        <w:top w:val="none" w:sz="0" w:space="0" w:color="auto"/>
        <w:left w:val="none" w:sz="0" w:space="0" w:color="auto"/>
        <w:bottom w:val="none" w:sz="0" w:space="0" w:color="auto"/>
        <w:right w:val="none" w:sz="0" w:space="0" w:color="auto"/>
      </w:divBdr>
    </w:div>
    <w:div w:id="886840250">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39919384">
      <w:bodyDiv w:val="1"/>
      <w:marLeft w:val="0"/>
      <w:marRight w:val="0"/>
      <w:marTop w:val="0"/>
      <w:marBottom w:val="0"/>
      <w:divBdr>
        <w:top w:val="none" w:sz="0" w:space="0" w:color="auto"/>
        <w:left w:val="none" w:sz="0" w:space="0" w:color="auto"/>
        <w:bottom w:val="none" w:sz="0" w:space="0" w:color="auto"/>
        <w:right w:val="none" w:sz="0" w:space="0" w:color="auto"/>
      </w:divBdr>
    </w:div>
    <w:div w:id="962420720">
      <w:bodyDiv w:val="1"/>
      <w:marLeft w:val="0"/>
      <w:marRight w:val="0"/>
      <w:marTop w:val="0"/>
      <w:marBottom w:val="0"/>
      <w:divBdr>
        <w:top w:val="none" w:sz="0" w:space="0" w:color="auto"/>
        <w:left w:val="none" w:sz="0" w:space="0" w:color="auto"/>
        <w:bottom w:val="none" w:sz="0" w:space="0" w:color="auto"/>
        <w:right w:val="none" w:sz="0" w:space="0" w:color="auto"/>
      </w:divBdr>
    </w:div>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000740387">
      <w:bodyDiv w:val="1"/>
      <w:marLeft w:val="0"/>
      <w:marRight w:val="0"/>
      <w:marTop w:val="0"/>
      <w:marBottom w:val="0"/>
      <w:divBdr>
        <w:top w:val="none" w:sz="0" w:space="0" w:color="auto"/>
        <w:left w:val="none" w:sz="0" w:space="0" w:color="auto"/>
        <w:bottom w:val="none" w:sz="0" w:space="0" w:color="auto"/>
        <w:right w:val="none" w:sz="0" w:space="0" w:color="auto"/>
      </w:divBdr>
    </w:div>
    <w:div w:id="1045568404">
      <w:bodyDiv w:val="1"/>
      <w:marLeft w:val="0"/>
      <w:marRight w:val="0"/>
      <w:marTop w:val="0"/>
      <w:marBottom w:val="0"/>
      <w:divBdr>
        <w:top w:val="none" w:sz="0" w:space="0" w:color="auto"/>
        <w:left w:val="none" w:sz="0" w:space="0" w:color="auto"/>
        <w:bottom w:val="none" w:sz="0" w:space="0" w:color="auto"/>
        <w:right w:val="none" w:sz="0" w:space="0" w:color="auto"/>
      </w:divBdr>
    </w:div>
    <w:div w:id="1133451889">
      <w:bodyDiv w:val="1"/>
      <w:marLeft w:val="0"/>
      <w:marRight w:val="0"/>
      <w:marTop w:val="0"/>
      <w:marBottom w:val="0"/>
      <w:divBdr>
        <w:top w:val="none" w:sz="0" w:space="0" w:color="auto"/>
        <w:left w:val="none" w:sz="0" w:space="0" w:color="auto"/>
        <w:bottom w:val="none" w:sz="0" w:space="0" w:color="auto"/>
        <w:right w:val="none" w:sz="0" w:space="0" w:color="auto"/>
      </w:divBdr>
    </w:div>
    <w:div w:id="1251086685">
      <w:bodyDiv w:val="1"/>
      <w:marLeft w:val="0"/>
      <w:marRight w:val="0"/>
      <w:marTop w:val="0"/>
      <w:marBottom w:val="0"/>
      <w:divBdr>
        <w:top w:val="none" w:sz="0" w:space="0" w:color="auto"/>
        <w:left w:val="none" w:sz="0" w:space="0" w:color="auto"/>
        <w:bottom w:val="none" w:sz="0" w:space="0" w:color="auto"/>
        <w:right w:val="none" w:sz="0" w:space="0" w:color="auto"/>
      </w:divBdr>
    </w:div>
    <w:div w:id="1270090457">
      <w:bodyDiv w:val="1"/>
      <w:marLeft w:val="0"/>
      <w:marRight w:val="0"/>
      <w:marTop w:val="0"/>
      <w:marBottom w:val="0"/>
      <w:divBdr>
        <w:top w:val="none" w:sz="0" w:space="0" w:color="auto"/>
        <w:left w:val="none" w:sz="0" w:space="0" w:color="auto"/>
        <w:bottom w:val="none" w:sz="0" w:space="0" w:color="auto"/>
        <w:right w:val="none" w:sz="0" w:space="0" w:color="auto"/>
      </w:divBdr>
    </w:div>
    <w:div w:id="1324318107">
      <w:bodyDiv w:val="1"/>
      <w:marLeft w:val="0"/>
      <w:marRight w:val="0"/>
      <w:marTop w:val="0"/>
      <w:marBottom w:val="0"/>
      <w:divBdr>
        <w:top w:val="none" w:sz="0" w:space="0" w:color="auto"/>
        <w:left w:val="none" w:sz="0" w:space="0" w:color="auto"/>
        <w:bottom w:val="none" w:sz="0" w:space="0" w:color="auto"/>
        <w:right w:val="none" w:sz="0" w:space="0" w:color="auto"/>
      </w:divBdr>
    </w:div>
    <w:div w:id="1350832941">
      <w:bodyDiv w:val="1"/>
      <w:marLeft w:val="0"/>
      <w:marRight w:val="0"/>
      <w:marTop w:val="0"/>
      <w:marBottom w:val="0"/>
      <w:divBdr>
        <w:top w:val="none" w:sz="0" w:space="0" w:color="auto"/>
        <w:left w:val="none" w:sz="0" w:space="0" w:color="auto"/>
        <w:bottom w:val="none" w:sz="0" w:space="0" w:color="auto"/>
        <w:right w:val="none" w:sz="0" w:space="0" w:color="auto"/>
      </w:divBdr>
    </w:div>
    <w:div w:id="1420953524">
      <w:bodyDiv w:val="1"/>
      <w:marLeft w:val="0"/>
      <w:marRight w:val="0"/>
      <w:marTop w:val="0"/>
      <w:marBottom w:val="0"/>
      <w:divBdr>
        <w:top w:val="none" w:sz="0" w:space="0" w:color="auto"/>
        <w:left w:val="none" w:sz="0" w:space="0" w:color="auto"/>
        <w:bottom w:val="none" w:sz="0" w:space="0" w:color="auto"/>
        <w:right w:val="none" w:sz="0" w:space="0" w:color="auto"/>
      </w:divBdr>
    </w:div>
    <w:div w:id="1461915966">
      <w:bodyDiv w:val="1"/>
      <w:marLeft w:val="0"/>
      <w:marRight w:val="0"/>
      <w:marTop w:val="0"/>
      <w:marBottom w:val="0"/>
      <w:divBdr>
        <w:top w:val="none" w:sz="0" w:space="0" w:color="auto"/>
        <w:left w:val="none" w:sz="0" w:space="0" w:color="auto"/>
        <w:bottom w:val="none" w:sz="0" w:space="0" w:color="auto"/>
        <w:right w:val="none" w:sz="0" w:space="0" w:color="auto"/>
      </w:divBdr>
    </w:div>
    <w:div w:id="1559248779">
      <w:bodyDiv w:val="1"/>
      <w:marLeft w:val="0"/>
      <w:marRight w:val="0"/>
      <w:marTop w:val="0"/>
      <w:marBottom w:val="0"/>
      <w:divBdr>
        <w:top w:val="none" w:sz="0" w:space="0" w:color="auto"/>
        <w:left w:val="none" w:sz="0" w:space="0" w:color="auto"/>
        <w:bottom w:val="none" w:sz="0" w:space="0" w:color="auto"/>
        <w:right w:val="none" w:sz="0" w:space="0" w:color="auto"/>
      </w:divBdr>
    </w:div>
    <w:div w:id="1592279750">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688365503">
      <w:bodyDiv w:val="1"/>
      <w:marLeft w:val="0"/>
      <w:marRight w:val="0"/>
      <w:marTop w:val="0"/>
      <w:marBottom w:val="0"/>
      <w:divBdr>
        <w:top w:val="none" w:sz="0" w:space="0" w:color="auto"/>
        <w:left w:val="none" w:sz="0" w:space="0" w:color="auto"/>
        <w:bottom w:val="none" w:sz="0" w:space="0" w:color="auto"/>
        <w:right w:val="none" w:sz="0" w:space="0" w:color="auto"/>
      </w:divBdr>
    </w:div>
    <w:div w:id="1725519514">
      <w:bodyDiv w:val="1"/>
      <w:marLeft w:val="0"/>
      <w:marRight w:val="0"/>
      <w:marTop w:val="0"/>
      <w:marBottom w:val="0"/>
      <w:divBdr>
        <w:top w:val="none" w:sz="0" w:space="0" w:color="auto"/>
        <w:left w:val="none" w:sz="0" w:space="0" w:color="auto"/>
        <w:bottom w:val="none" w:sz="0" w:space="0" w:color="auto"/>
        <w:right w:val="none" w:sz="0" w:space="0" w:color="auto"/>
      </w:divBdr>
    </w:div>
    <w:div w:id="1735615441">
      <w:bodyDiv w:val="1"/>
      <w:marLeft w:val="0"/>
      <w:marRight w:val="0"/>
      <w:marTop w:val="0"/>
      <w:marBottom w:val="0"/>
      <w:divBdr>
        <w:top w:val="none" w:sz="0" w:space="0" w:color="auto"/>
        <w:left w:val="none" w:sz="0" w:space="0" w:color="auto"/>
        <w:bottom w:val="none" w:sz="0" w:space="0" w:color="auto"/>
        <w:right w:val="none" w:sz="0" w:space="0" w:color="auto"/>
      </w:divBdr>
    </w:div>
    <w:div w:id="1776711090">
      <w:bodyDiv w:val="1"/>
      <w:marLeft w:val="0"/>
      <w:marRight w:val="0"/>
      <w:marTop w:val="0"/>
      <w:marBottom w:val="0"/>
      <w:divBdr>
        <w:top w:val="none" w:sz="0" w:space="0" w:color="auto"/>
        <w:left w:val="none" w:sz="0" w:space="0" w:color="auto"/>
        <w:bottom w:val="none" w:sz="0" w:space="0" w:color="auto"/>
        <w:right w:val="none" w:sz="0" w:space="0" w:color="auto"/>
      </w:divBdr>
    </w:div>
    <w:div w:id="181039223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33708874">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 w:id="2026712086">
      <w:bodyDiv w:val="1"/>
      <w:marLeft w:val="0"/>
      <w:marRight w:val="0"/>
      <w:marTop w:val="0"/>
      <w:marBottom w:val="0"/>
      <w:divBdr>
        <w:top w:val="none" w:sz="0" w:space="0" w:color="auto"/>
        <w:left w:val="none" w:sz="0" w:space="0" w:color="auto"/>
        <w:bottom w:val="none" w:sz="0" w:space="0" w:color="auto"/>
        <w:right w:val="none" w:sz="0" w:space="0" w:color="auto"/>
      </w:divBdr>
    </w:div>
    <w:div w:id="2079940192">
      <w:bodyDiv w:val="1"/>
      <w:marLeft w:val="0"/>
      <w:marRight w:val="0"/>
      <w:marTop w:val="0"/>
      <w:marBottom w:val="0"/>
      <w:divBdr>
        <w:top w:val="none" w:sz="0" w:space="0" w:color="auto"/>
        <w:left w:val="none" w:sz="0" w:space="0" w:color="auto"/>
        <w:bottom w:val="none" w:sz="0" w:space="0" w:color="auto"/>
        <w:right w:val="none" w:sz="0" w:space="0" w:color="auto"/>
      </w:divBdr>
    </w:div>
    <w:div w:id="2102870209">
      <w:bodyDiv w:val="1"/>
      <w:marLeft w:val="0"/>
      <w:marRight w:val="0"/>
      <w:marTop w:val="0"/>
      <w:marBottom w:val="0"/>
      <w:divBdr>
        <w:top w:val="none" w:sz="0" w:space="0" w:color="auto"/>
        <w:left w:val="none" w:sz="0" w:space="0" w:color="auto"/>
        <w:bottom w:val="none" w:sz="0" w:space="0" w:color="auto"/>
        <w:right w:val="none" w:sz="0" w:space="0" w:color="auto"/>
      </w:divBdr>
    </w:div>
    <w:div w:id="212279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AE3A-168C-4A5A-BB83-3AD15FEA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 McQuade</dc:creator>
  <cp:lastModifiedBy>Employee of</cp:lastModifiedBy>
  <cp:revision>6</cp:revision>
  <cp:lastPrinted>2012-05-18T14:33:00Z</cp:lastPrinted>
  <dcterms:created xsi:type="dcterms:W3CDTF">2012-05-23T15:11:00Z</dcterms:created>
  <dcterms:modified xsi:type="dcterms:W3CDTF">2012-05-23T18:18:00Z</dcterms:modified>
</cp:coreProperties>
</file>