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0A" w:rsidRDefault="000228AE">
      <w:pPr>
        <w:spacing w:before="60" w:after="0"/>
        <w:ind w:left="1440" w:hanging="1440"/>
        <w:jc w:val="right"/>
        <w:rPr>
          <w:rFonts w:ascii="Times New Roman" w:hAnsi="Times New Roman" w:cs="Times New Roman"/>
          <w:b/>
          <w:sz w:val="20"/>
          <w:szCs w:val="20"/>
        </w:rPr>
      </w:pPr>
      <w:r>
        <w:rPr>
          <w:rFonts w:ascii="Times New Roman" w:hAnsi="Times New Roman" w:cs="Times New Roman"/>
          <w:b/>
          <w:sz w:val="20"/>
          <w:szCs w:val="20"/>
        </w:rPr>
        <w:t>via email and posting</w:t>
      </w:r>
    </w:p>
    <w:p w:rsidR="00CB0E0A" w:rsidRDefault="000228AE">
      <w:pPr>
        <w:spacing w:before="60" w:after="0"/>
        <w:ind w:left="1440" w:hanging="1440"/>
        <w:rPr>
          <w:rFonts w:ascii="Times New Roman" w:hAnsi="Times New Roman" w:cs="Times New Roman"/>
          <w:sz w:val="20"/>
          <w:szCs w:val="20"/>
        </w:rPr>
      </w:pPr>
      <w:r>
        <w:rPr>
          <w:rFonts w:ascii="Times New Roman" w:hAnsi="Times New Roman" w:cs="Times New Roman"/>
          <w:b/>
          <w:sz w:val="20"/>
          <w:szCs w:val="20"/>
        </w:rPr>
        <w:t>TO:</w:t>
      </w:r>
      <w:r>
        <w:rPr>
          <w:rFonts w:ascii="Times New Roman" w:hAnsi="Times New Roman" w:cs="Times New Roman"/>
          <w:b/>
          <w:sz w:val="20"/>
          <w:szCs w:val="20"/>
        </w:rPr>
        <w:tab/>
      </w:r>
      <w:r>
        <w:rPr>
          <w:rFonts w:ascii="Times New Roman" w:hAnsi="Times New Roman" w:cs="Times New Roman"/>
          <w:sz w:val="20"/>
          <w:szCs w:val="20"/>
        </w:rPr>
        <w:t>NAESB Board Gas-Electric Harmonization Committee Members and posting for interested industry parties</w:t>
      </w:r>
    </w:p>
    <w:p w:rsidR="00CB0E0A" w:rsidRDefault="000228AE">
      <w:pPr>
        <w:spacing w:before="60" w:after="0"/>
        <w:rPr>
          <w:rFonts w:ascii="Times New Roman" w:hAnsi="Times New Roman" w:cs="Times New Roman"/>
          <w:sz w:val="20"/>
          <w:szCs w:val="20"/>
        </w:rPr>
      </w:pPr>
      <w:r>
        <w:rPr>
          <w:rFonts w:ascii="Times New Roman" w:hAnsi="Times New Roman" w:cs="Times New Roman"/>
          <w:b/>
          <w:sz w:val="20"/>
          <w:szCs w:val="20"/>
        </w:rPr>
        <w:t xml:space="preserve">FROM: </w:t>
      </w:r>
      <w:r>
        <w:rPr>
          <w:rFonts w:ascii="Times New Roman" w:hAnsi="Times New Roman" w:cs="Times New Roman"/>
          <w:b/>
          <w:sz w:val="20"/>
          <w:szCs w:val="20"/>
        </w:rPr>
        <w:tab/>
      </w:r>
      <w:r>
        <w:rPr>
          <w:rFonts w:ascii="Times New Roman" w:hAnsi="Times New Roman" w:cs="Times New Roman"/>
          <w:sz w:val="20"/>
          <w:szCs w:val="20"/>
        </w:rPr>
        <w:t>Rae McQuade, Valerie Crockett</w:t>
      </w:r>
    </w:p>
    <w:p w:rsidR="00CB0E0A" w:rsidRDefault="000228AE">
      <w:pPr>
        <w:spacing w:before="60" w:after="0"/>
        <w:rPr>
          <w:rFonts w:ascii="Times New Roman" w:hAnsi="Times New Roman" w:cs="Times New Roman"/>
          <w:sz w:val="20"/>
          <w:szCs w:val="20"/>
        </w:rPr>
      </w:pPr>
      <w:r>
        <w:rPr>
          <w:rFonts w:ascii="Times New Roman" w:hAnsi="Times New Roman" w:cs="Times New Roman"/>
          <w:b/>
          <w:sz w:val="20"/>
          <w:szCs w:val="20"/>
        </w:rPr>
        <w:t>RE: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Final Survey Results from GEH Committee Members</w:t>
      </w:r>
    </w:p>
    <w:p w:rsidR="00CB0E0A" w:rsidRDefault="000228AE">
      <w:pPr>
        <w:pBdr>
          <w:bottom w:val="single" w:sz="12" w:space="1" w:color="auto"/>
        </w:pBdr>
        <w:spacing w:before="60" w:after="0"/>
        <w:rPr>
          <w:rFonts w:ascii="Times New Roman" w:hAnsi="Times New Roman" w:cs="Times New Roman"/>
          <w:sz w:val="20"/>
          <w:szCs w:val="20"/>
        </w:rPr>
      </w:pPr>
      <w:r>
        <w:rPr>
          <w:rFonts w:ascii="Times New Roman" w:hAnsi="Times New Roman" w:cs="Times New Roman"/>
          <w:b/>
          <w:sz w:val="20"/>
          <w:szCs w:val="20"/>
        </w:rPr>
        <w:t>DATE:</w:t>
      </w:r>
      <w:r>
        <w:rPr>
          <w:rFonts w:ascii="Times New Roman" w:hAnsi="Times New Roman" w:cs="Times New Roman"/>
          <w:sz w:val="20"/>
          <w:szCs w:val="20"/>
        </w:rPr>
        <w:tab/>
      </w:r>
      <w:r>
        <w:rPr>
          <w:rFonts w:ascii="Times New Roman" w:hAnsi="Times New Roman" w:cs="Times New Roman"/>
          <w:sz w:val="20"/>
          <w:szCs w:val="20"/>
        </w:rPr>
        <w:tab/>
        <w:t>May 23, 2012</w:t>
      </w:r>
    </w:p>
    <w:p w:rsidR="00CB0E0A" w:rsidRDefault="000228AE">
      <w:pPr>
        <w:spacing w:before="120"/>
        <w:outlineLvl w:val="2"/>
        <w:rPr>
          <w:rFonts w:ascii="Times New Roman" w:hAnsi="Times New Roman" w:cs="Times New Roman"/>
          <w:sz w:val="20"/>
          <w:szCs w:val="20"/>
        </w:rPr>
      </w:pPr>
      <w:r>
        <w:rPr>
          <w:rFonts w:ascii="Times New Roman" w:hAnsi="Times New Roman" w:cs="Times New Roman"/>
          <w:sz w:val="20"/>
          <w:szCs w:val="20"/>
        </w:rPr>
        <w:t xml:space="preserve">Dear Gas-Electric </w:t>
      </w:r>
      <w:r>
        <w:rPr>
          <w:rFonts w:ascii="Times New Roman" w:hAnsi="Times New Roman" w:cs="Times New Roman"/>
          <w:sz w:val="20"/>
          <w:szCs w:val="20"/>
        </w:rPr>
        <w:t>Harmonization Committee Members,</w:t>
      </w:r>
    </w:p>
    <w:p w:rsidR="00CB0E0A" w:rsidRDefault="000228AE">
      <w:pPr>
        <w:pStyle w:val="Header"/>
        <w:tabs>
          <w:tab w:val="left" w:pos="1080"/>
        </w:tabs>
        <w:rPr>
          <w:noProof/>
        </w:rPr>
      </w:pPr>
      <w:r>
        <w:rPr>
          <w:noProof/>
        </w:rPr>
        <w:t>Thank you so much for particpating in the survey.  All but one member of the committee forwarded survey responses for inclusion – so we are very appreciative of the time and effort spent to pre</w:t>
      </w:r>
      <w:r w:rsidR="009E380F">
        <w:rPr>
          <w:noProof/>
        </w:rPr>
        <w:t>p</w:t>
      </w:r>
      <w:r>
        <w:rPr>
          <w:noProof/>
        </w:rPr>
        <w:t>a</w:t>
      </w:r>
      <w:r>
        <w:rPr>
          <w:noProof/>
        </w:rPr>
        <w:t xml:space="preserve">re this product.  </w:t>
      </w:r>
    </w:p>
    <w:p w:rsidR="00CB0E0A" w:rsidRDefault="00CB0E0A">
      <w:pPr>
        <w:rPr>
          <w:rFonts w:ascii="Bookman Old Style" w:hAnsi="Bookman Old Style"/>
          <w:b/>
          <w:noProof/>
        </w:rPr>
        <w:sectPr w:rsidR="00CB0E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W w:w="14508" w:type="dxa"/>
        <w:jc w:val="right"/>
        <w:tblInd w:w="-3098" w:type="dxa"/>
        <w:tblLook w:val="04A0" w:firstRow="1" w:lastRow="0" w:firstColumn="1" w:lastColumn="0" w:noHBand="0" w:noVBand="1"/>
      </w:tblPr>
      <w:tblGrid>
        <w:gridCol w:w="630"/>
        <w:gridCol w:w="9586"/>
        <w:gridCol w:w="888"/>
        <w:gridCol w:w="1205"/>
        <w:gridCol w:w="1005"/>
        <w:gridCol w:w="1194"/>
      </w:tblGrid>
      <w:tr w:rsidR="00CB0E0A">
        <w:trPr>
          <w:trHeight w:val="90"/>
          <w:tblHeader/>
          <w:jc w:val="right"/>
        </w:trPr>
        <w:tc>
          <w:tcPr>
            <w:tcW w:w="14508" w:type="dxa"/>
            <w:gridSpan w:val="6"/>
            <w:tcBorders>
              <w:top w:val="nil"/>
              <w:left w:val="nil"/>
              <w:bottom w:val="nil"/>
              <w:right w:val="nil"/>
            </w:tcBorders>
            <w:shd w:val="clear" w:color="auto" w:fill="auto"/>
            <w:noWrap/>
            <w:vAlign w:val="bottom"/>
            <w:hideMark/>
          </w:tcPr>
          <w:p w:rsidR="00CB0E0A" w:rsidRDefault="000228AE">
            <w:pPr>
              <w:spacing w:before="240" w:after="240" w:line="240" w:lineRule="auto"/>
              <w:jc w:val="center"/>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color w:val="000000"/>
                <w:sz w:val="20"/>
                <w:szCs w:val="20"/>
              </w:rPr>
              <w:lastRenderedPageBreak/>
              <w:t>NAESB GEH Committee Survey – April 24, 2012</w:t>
            </w:r>
          </w:p>
        </w:tc>
      </w:tr>
      <w:tr w:rsidR="00CB0E0A">
        <w:trPr>
          <w:trHeight w:val="510"/>
          <w:tblHeader/>
          <w:jc w:val="right"/>
        </w:trPr>
        <w:tc>
          <w:tcPr>
            <w:tcW w:w="630" w:type="dxa"/>
            <w:tcBorders>
              <w:top w:val="nil"/>
              <w:left w:val="nil"/>
              <w:bottom w:val="single" w:sz="4" w:space="0" w:color="auto"/>
              <w:right w:val="nil"/>
            </w:tcBorders>
            <w:shd w:val="clear" w:color="auto" w:fill="auto"/>
            <w:noWrap/>
            <w:vAlign w:val="bottom"/>
            <w:hideMark/>
          </w:tcPr>
          <w:p w:rsidR="00CB0E0A" w:rsidRDefault="00CB0E0A">
            <w:pPr>
              <w:spacing w:after="0" w:line="240" w:lineRule="auto"/>
              <w:rPr>
                <w:rFonts w:ascii="Times New Roman" w:eastAsia="Times New Roman" w:hAnsi="Times New Roman" w:cs="Times New Roman"/>
                <w:color w:val="000000"/>
                <w:sz w:val="20"/>
                <w:szCs w:val="20"/>
              </w:rPr>
            </w:pPr>
          </w:p>
        </w:tc>
        <w:tc>
          <w:tcPr>
            <w:tcW w:w="9586" w:type="dxa"/>
            <w:tcBorders>
              <w:top w:val="nil"/>
              <w:left w:val="nil"/>
              <w:bottom w:val="single" w:sz="4" w:space="0" w:color="auto"/>
              <w:right w:val="nil"/>
            </w:tcBorders>
            <w:shd w:val="clear" w:color="auto" w:fill="auto"/>
            <w:vAlign w:val="bottom"/>
            <w:hideMark/>
          </w:tcPr>
          <w:p w:rsidR="00CB0E0A" w:rsidRDefault="00CB0E0A">
            <w:pPr>
              <w:spacing w:after="0" w:line="240" w:lineRule="auto"/>
              <w:rPr>
                <w:rFonts w:ascii="Times New Roman" w:eastAsia="Times New Roman" w:hAnsi="Times New Roman" w:cs="Times New Roman"/>
                <w:color w:val="00000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0E0A" w:rsidRDefault="000228A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Policy</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CB0E0A" w:rsidRDefault="000228A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Commercial</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CB0E0A" w:rsidRDefault="000228A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Standards</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CB0E0A" w:rsidRDefault="000228A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Comment</w:t>
            </w:r>
          </w:p>
        </w:tc>
      </w:tr>
      <w:tr w:rsidR="00CB0E0A">
        <w:trPr>
          <w:trHeight w:val="630"/>
          <w:jc w:val="right"/>
        </w:trPr>
        <w:tc>
          <w:tcPr>
            <w:tcW w:w="14508" w:type="dxa"/>
            <w:gridSpan w:val="6"/>
            <w:tcBorders>
              <w:top w:val="single" w:sz="4" w:space="0" w:color="auto"/>
              <w:left w:val="single" w:sz="4" w:space="0" w:color="auto"/>
              <w:bottom w:val="single" w:sz="4" w:space="0" w:color="auto"/>
              <w:right w:val="single" w:sz="4" w:space="0" w:color="auto"/>
            </w:tcBorders>
            <w:shd w:val="clear" w:color="auto" w:fill="auto"/>
            <w:noWrap/>
          </w:tcPr>
          <w:p w:rsidR="00CB0E0A" w:rsidRDefault="000228AE">
            <w:pPr>
              <w:pStyle w:val="Title"/>
              <w:spacing w:before="120" w:after="120"/>
              <w:jc w:val="left"/>
              <w:rPr>
                <w:rFonts w:ascii="Times New Roman" w:hAnsi="Times New Roman"/>
                <w:smallCaps/>
                <w:sz w:val="20"/>
                <w:szCs w:val="20"/>
              </w:rPr>
            </w:pPr>
            <w:r>
              <w:rPr>
                <w:rFonts w:ascii="Times New Roman" w:hAnsi="Times New Roman"/>
                <w:smallCaps/>
                <w:sz w:val="20"/>
                <w:szCs w:val="20"/>
              </w:rPr>
              <w:t xml:space="preserve">1.  Observations and Core </w:t>
            </w:r>
            <w:r>
              <w:rPr>
                <w:rFonts w:ascii="Times New Roman" w:hAnsi="Times New Roman"/>
                <w:smallCaps/>
                <w:sz w:val="20"/>
                <w:szCs w:val="20"/>
              </w:rPr>
              <w:t>Issues as of April 24, 2012:</w:t>
            </w:r>
          </w:p>
          <w:p w:rsidR="00CB0E0A" w:rsidRDefault="000228AE">
            <w:pPr>
              <w:pStyle w:val="ListParagraph"/>
              <w:numPr>
                <w:ilvl w:val="0"/>
                <w:numId w:val="2"/>
              </w:numPr>
              <w:spacing w:before="120" w:after="120" w:line="240" w:lineRule="auto"/>
              <w:ind w:left="345" w:hanging="345"/>
              <w:contextualSpacing w:val="0"/>
              <w:rPr>
                <w:rFonts w:ascii="Times New Roman" w:eastAsia="Times New Roman" w:hAnsi="Times New Roman" w:cs="Times New Roman"/>
                <w:b/>
                <w:color w:val="000000"/>
                <w:sz w:val="20"/>
                <w:szCs w:val="20"/>
              </w:rPr>
            </w:pPr>
            <w:r>
              <w:rPr>
                <w:rFonts w:ascii="Times New Roman" w:hAnsi="Times New Roman" w:cs="Times New Roman"/>
                <w:sz w:val="20"/>
                <w:szCs w:val="20"/>
              </w:rPr>
              <w:t>Scheduling and other inconsistencies in the interactions of the two markets impact the effectiveness of providing gas and electric service.</w:t>
            </w:r>
          </w:p>
          <w:p w:rsidR="00CB0E0A" w:rsidRDefault="000228AE">
            <w:pPr>
              <w:pStyle w:val="ListParagraph"/>
              <w:numPr>
                <w:ilvl w:val="0"/>
                <w:numId w:val="2"/>
              </w:numPr>
              <w:spacing w:before="120" w:after="120" w:line="240" w:lineRule="auto"/>
              <w:ind w:left="345" w:hanging="345"/>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Core issue: Should NAESB examine:</w:t>
            </w:r>
          </w:p>
          <w:p w:rsidR="00CB0E0A" w:rsidRDefault="000228AE">
            <w:pPr>
              <w:pStyle w:val="ListParagraph"/>
              <w:numPr>
                <w:ilvl w:val="0"/>
                <w:numId w:val="2"/>
              </w:numPr>
              <w:spacing w:before="120" w:after="120" w:line="240" w:lineRule="auto"/>
              <w:ind w:left="70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The gas &amp; electric scheduling timelines to create </w:t>
            </w:r>
            <w:r>
              <w:rPr>
                <w:rFonts w:ascii="Times New Roman" w:eastAsia="Times New Roman" w:hAnsi="Times New Roman" w:cs="Times New Roman"/>
                <w:b/>
                <w:sz w:val="20"/>
                <w:szCs w:val="20"/>
              </w:rPr>
              <w:t>more certainty and flexibility in scheduling, recognizing that providing flexibility in one area may take away flexibility in another?</w:t>
            </w:r>
          </w:p>
        </w:tc>
      </w:tr>
      <w:tr w:rsidR="00CB0E0A">
        <w:trPr>
          <w:trHeight w:val="53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day-of operations, intraday nomination flexibility is key in contingency response, load following, and in backin</w:t>
            </w:r>
            <w:r>
              <w:rPr>
                <w:rFonts w:ascii="Times New Roman" w:eastAsia="Times New Roman" w:hAnsi="Times New Roman" w:cs="Times New Roman"/>
                <w:color w:val="000000"/>
                <w:sz w:val="20"/>
                <w:szCs w:val="20"/>
              </w:rPr>
              <w:t>g up renewables.</w:t>
            </w:r>
          </w:p>
        </w:tc>
        <w:tc>
          <w:tcPr>
            <w:tcW w:w="888" w:type="dxa"/>
            <w:tcBorders>
              <w:top w:val="single" w:sz="4" w:space="0" w:color="auto"/>
              <w:left w:val="nil"/>
              <w:bottom w:val="single" w:sz="4" w:space="0" w:color="auto"/>
              <w:right w:val="single" w:sz="4" w:space="0" w:color="auto"/>
            </w:tcBorders>
            <w:shd w:val="clear" w:color="auto" w:fill="auto"/>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0E0A">
        <w:trPr>
          <w:trHeight w:val="7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586" w:type="dxa"/>
            <w:tcBorders>
              <w:top w:val="single" w:sz="4" w:space="0" w:color="auto"/>
              <w:left w:val="nil"/>
              <w:bottom w:val="single" w:sz="4" w:space="0" w:color="auto"/>
              <w:right w:val="nil"/>
            </w:tcBorders>
            <w:shd w:val="clear" w:color="auto" w:fill="auto"/>
            <w:hideMark/>
          </w:tcPr>
          <w:p w:rsidR="00CB0E0A" w:rsidRDefault="000228AE">
            <w:pPr>
              <w:spacing w:before="120" w:after="12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As generation units sign up for firm transportation, the bumping rules in the tariff provisions may impede the benefit of holding firm gas transportation.  Added flexibility and types of gas transportation services may be </w:t>
            </w:r>
            <w:r>
              <w:rPr>
                <w:rFonts w:ascii="Times New Roman" w:eastAsia="Times New Roman" w:hAnsi="Times New Roman" w:cs="Times New Roman"/>
                <w:color w:val="000000"/>
                <w:sz w:val="20"/>
                <w:szCs w:val="20"/>
              </w:rPr>
              <w:t>needed by gas-fired power generators to meet the clearing and reliability requirements of the electric market.</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CB0E0A">
        <w:trPr>
          <w:trHeight w:val="16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a gas-fired  generator submits a generation offer before scheduling gas and the generator is not informed as to whether its </w:t>
            </w:r>
            <w:r>
              <w:rPr>
                <w:rFonts w:ascii="Times New Roman" w:eastAsia="Times New Roman" w:hAnsi="Times New Roman" w:cs="Times New Roman"/>
                <w:color w:val="000000"/>
                <w:sz w:val="20"/>
                <w:szCs w:val="20"/>
              </w:rPr>
              <w:t>generation offer is accepted until after the deadline for a  timely gas nomination, it runs the risk of being considered secondary firm, if the generator holds firm transportation, or interruptible. This exposes the generator to the risk of an obligation t</w:t>
            </w:r>
            <w:r>
              <w:rPr>
                <w:rFonts w:ascii="Times New Roman" w:eastAsia="Times New Roman" w:hAnsi="Times New Roman" w:cs="Times New Roman"/>
                <w:color w:val="000000"/>
                <w:sz w:val="20"/>
                <w:szCs w:val="20"/>
              </w:rPr>
              <w:t xml:space="preserve">o generate without gas supply. On the other hand, if the gas-fired generator submits a timely nom for transportation before knowing whether its generation offer has been accepted, it runs the risk of being caught long gas supply that must be dealt with in </w:t>
            </w:r>
            <w:r>
              <w:rPr>
                <w:rFonts w:ascii="Times New Roman" w:eastAsia="Times New Roman" w:hAnsi="Times New Roman" w:cs="Times New Roman"/>
                <w:color w:val="000000"/>
                <w:sz w:val="20"/>
                <w:szCs w:val="20"/>
              </w:rPr>
              <w:t>the intraday market exposing the generator to an economic loss or penalties.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Scheduling flexibility can be introduced on a pipeline by pipeline basis to the pipeline’s customers.  Natural gas market grid synchronization plays a role, as in multi-pipeline nominations which may cross multiple control areas, the least flexible pipelin</w:t>
            </w:r>
            <w:r>
              <w:rPr>
                <w:rFonts w:ascii="Times New Roman" w:eastAsia="Times New Roman" w:hAnsi="Times New Roman" w:cs="Times New Roman"/>
                <w:color w:val="000000"/>
                <w:sz w:val="20"/>
                <w:szCs w:val="20"/>
              </w:rPr>
              <w:t>e in the chain of nominations will govern the timing of submittal and confirmation of transaction(s).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CB0E0A">
        <w:trPr>
          <w:trHeight w:val="368"/>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timelines were modified to reduce the gaps in the clearing of gas and electricity markets, a nine hour gap could be reduced to a one </w:t>
            </w:r>
            <w:r>
              <w:rPr>
                <w:rFonts w:ascii="Times New Roman" w:eastAsia="Times New Roman" w:hAnsi="Times New Roman" w:cs="Times New Roman"/>
                <w:color w:val="000000"/>
                <w:sz w:val="20"/>
                <w:szCs w:val="20"/>
              </w:rPr>
              <w:t>hour gap if the timelines were modified to an east and a west model.  This would be a considerable change to the timelines supported by the pipelines – with a focus on synchronizing the clearing times and the economic day for both markets.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CB0E0A">
        <w:trPr>
          <w:trHeight w:val="170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Significant differences in both natural gas and electric markets day-of service and day-ahead scheduling procedures could lead to separate considerations in drafting recommendations for the day ahead and the intra-day scheduling of energy.   .For example, </w:t>
            </w:r>
            <w:r>
              <w:rPr>
                <w:rFonts w:ascii="Times New Roman" w:eastAsia="Times New Roman" w:hAnsi="Times New Roman" w:cs="Times New Roman"/>
                <w:color w:val="000000"/>
                <w:sz w:val="20"/>
                <w:szCs w:val="20"/>
              </w:rPr>
              <w:t>the completion of the electric day ahead market (which is iterative and can take approximately four hours) could be synchronized with the natural gas timely nomination cycle for scheduling energy over a majority of the hours in the peak operating period of</w:t>
            </w:r>
            <w:r>
              <w:rPr>
                <w:rFonts w:ascii="Times New Roman" w:eastAsia="Times New Roman" w:hAnsi="Times New Roman" w:cs="Times New Roman"/>
                <w:color w:val="000000"/>
                <w:sz w:val="20"/>
                <w:szCs w:val="20"/>
              </w:rPr>
              <w:t xml:space="preserve"> the electric day.  Added intra-day flexibility in both the electric market offers and gas scheduling might improve scheduling coordination for those hours that are not common to the same gas and electric delivery days.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timely natural </w:t>
            </w:r>
            <w:r>
              <w:rPr>
                <w:rFonts w:ascii="Times New Roman" w:eastAsia="Times New Roman" w:hAnsi="Times New Roman" w:cs="Times New Roman"/>
                <w:color w:val="000000"/>
                <w:sz w:val="20"/>
                <w:szCs w:val="20"/>
              </w:rPr>
              <w:t xml:space="preserve">gas nomination process, which is iterative, can take from three to four hours.  The hourly or intraday gas nomination process is considerably shorter as is the adjustments and changes at the margin to the decisions made in support of the timely nomination </w:t>
            </w:r>
            <w:r>
              <w:rPr>
                <w:rFonts w:ascii="Times New Roman" w:eastAsia="Times New Roman" w:hAnsi="Times New Roman" w:cs="Times New Roman"/>
                <w:color w:val="000000"/>
                <w:sz w:val="20"/>
                <w:szCs w:val="20"/>
              </w:rPr>
              <w:t>process. In some cases, gas fired generators could need to make changes in their usage more quickly than the current nomination processes or services allow.</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CB0E0A">
        <w:trPr>
          <w:trHeight w:val="244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There are a number of options offered by some pipelines that introduce flexibility </w:t>
            </w:r>
            <w:r>
              <w:rPr>
                <w:rFonts w:ascii="Times New Roman" w:eastAsia="Times New Roman" w:hAnsi="Times New Roman" w:cs="Times New Roman"/>
                <w:color w:val="000000"/>
                <w:sz w:val="20"/>
                <w:szCs w:val="20"/>
              </w:rPr>
              <w:t>through the use of hourly firm non-ratable takes.  Ratable takes are taken on a uniform hourly basis over the day. Non-ratable takes may be spread over a shorter period. There is a tension between the timely/intraday nomination schedule as outlined in NAES</w:t>
            </w:r>
            <w:r>
              <w:rPr>
                <w:rFonts w:ascii="Times New Roman" w:eastAsia="Times New Roman" w:hAnsi="Times New Roman" w:cs="Times New Roman"/>
                <w:color w:val="000000"/>
                <w:sz w:val="20"/>
                <w:szCs w:val="20"/>
              </w:rPr>
              <w:t>B WGQ Standard No. 1.3.1 and the hourly flexibility provided by non-ratable deliveries on some pipelines and/or by use of hourly nominations, which comes into play when bumping is to be applied to preserve firm transportation service priority.  Following t</w:t>
            </w:r>
            <w:r>
              <w:rPr>
                <w:rFonts w:ascii="Times New Roman" w:eastAsia="Times New Roman" w:hAnsi="Times New Roman" w:cs="Times New Roman"/>
                <w:color w:val="000000"/>
                <w:sz w:val="20"/>
                <w:szCs w:val="20"/>
              </w:rPr>
              <w:t>he schedule outlined in the NAESB standards, the interruptible transportation service may have already been used to deliver the volume by the time it is determined that bumping is to be enacted to provide firm service for hourly nominations.  A recent opin</w:t>
            </w:r>
            <w:r>
              <w:rPr>
                <w:rFonts w:ascii="Times New Roman" w:eastAsia="Times New Roman" w:hAnsi="Times New Roman" w:cs="Times New Roman"/>
                <w:color w:val="000000"/>
                <w:sz w:val="20"/>
                <w:szCs w:val="20"/>
              </w:rPr>
              <w:t>ion issued in FERC RP11-2569-002, et al, (</w:t>
            </w:r>
            <w:hyperlink r:id="rId15" w:history="1">
              <w:r>
                <w:rPr>
                  <w:rStyle w:val="Hyperlink"/>
                  <w:rFonts w:ascii="Times New Roman" w:eastAsia="Times New Roman" w:hAnsi="Times New Roman" w:cs="Times New Roman"/>
                  <w:sz w:val="20"/>
                  <w:szCs w:val="20"/>
                </w:rPr>
                <w:t>http://elibrary.ferc.gov/idmws/file_list.asp?accession_num=20120315-3006</w:t>
              </w:r>
            </w:hyperlink>
            <w:r>
              <w:rPr>
                <w:rFonts w:ascii="Times New Roman" w:eastAsia="Times New Roman" w:hAnsi="Times New Roman" w:cs="Times New Roman"/>
                <w:color w:val="000000"/>
                <w:sz w:val="20"/>
                <w:szCs w:val="20"/>
              </w:rPr>
              <w:t>), provides some background for this observation.</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CB0E0A">
        <w:trPr>
          <w:trHeight w:val="46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1-9</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r>
      <w:tr w:rsidR="00CB0E0A">
        <w:trPr>
          <w:trHeight w:val="145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w:t>
            </w:r>
            <w:r>
              <w:rPr>
                <w:rFonts w:ascii="Times New Roman" w:eastAsia="Times New Roman" w:hAnsi="Times New Roman" w:cs="Times New Roman"/>
                <w:color w:val="000000"/>
                <w:sz w:val="20"/>
                <w:szCs w:val="20"/>
              </w:rPr>
              <w:t>Incentives could be designed into the natural gas scheduling and confirmation process for a wholly electronic process that would require less time to complete than the existing process which includes communications that are not fully electronic.  (This cou</w:t>
            </w:r>
            <w:r>
              <w:rPr>
                <w:rFonts w:ascii="Times New Roman" w:eastAsia="Times New Roman" w:hAnsi="Times New Roman" w:cs="Times New Roman"/>
                <w:color w:val="000000"/>
                <w:sz w:val="20"/>
                <w:szCs w:val="20"/>
              </w:rPr>
              <w:t>ld incorporate the thoughts in observation 1-2). b) If a fully electronic expedited process for natural gas nominations were implemented, it may be prudent to re-examine the bumping rules for the market participants who follow the fully electronic expedite</w:t>
            </w:r>
            <w:r>
              <w:rPr>
                <w:rFonts w:ascii="Times New Roman" w:eastAsia="Times New Roman" w:hAnsi="Times New Roman" w:cs="Times New Roman"/>
                <w:color w:val="000000"/>
                <w:sz w:val="20"/>
                <w:szCs w:val="20"/>
              </w:rPr>
              <w:t>d process. The existing combination of manual and electronic process for natural gas nominations could exist as is.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0E0A">
        <w:trPr>
          <w:trHeight w:val="44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Using natural gas-fired generation to back up renewables could require enhanced and additional flexibility in day-of </w:t>
            </w:r>
            <w:r>
              <w:rPr>
                <w:rFonts w:ascii="Times New Roman" w:eastAsia="Times New Roman" w:hAnsi="Times New Roman" w:cs="Times New Roman"/>
                <w:color w:val="000000"/>
                <w:sz w:val="20"/>
                <w:szCs w:val="20"/>
              </w:rPr>
              <w:t>nominations and/or no-notice service or similar services.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CB0E0A">
        <w:trPr>
          <w:trHeight w:val="782"/>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transparency provided through posting of scheduling and capacity information by major non-interstate natural gas pipelines could be helpful, if the impact of the intrastates</w:t>
            </w:r>
            <w:r>
              <w:rPr>
                <w:rFonts w:ascii="Times New Roman" w:eastAsia="Times New Roman" w:hAnsi="Times New Roman" w:cs="Times New Roman"/>
                <w:color w:val="000000"/>
                <w:sz w:val="20"/>
                <w:szCs w:val="20"/>
              </w:rPr>
              <w:t xml:space="preserve"> market on the interstate market is deemed significant.</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CB0E0A">
        <w:trPr>
          <w:trHeight w:val="2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  Added to Observation 1-8.</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120"/>
          <w:jc w:val="right"/>
        </w:trPr>
        <w:tc>
          <w:tcPr>
            <w:tcW w:w="630" w:type="dxa"/>
            <w:tcBorders>
              <w:top w:val="single" w:sz="4" w:space="0" w:color="auto"/>
              <w:left w:val="single" w:sz="4" w:space="0" w:color="auto"/>
              <w:bottom w:val="single" w:sz="4" w:space="0" w:color="auto"/>
              <w:right w:val="single" w:sz="4" w:space="0" w:color="auto"/>
            </w:tcBorders>
            <w:shd w:val="clear" w:color="000000" w:fill="BFBFBF"/>
            <w:noWrap/>
            <w:hideMark/>
          </w:tcPr>
          <w:p w:rsidR="00CB0E0A" w:rsidRDefault="000228AE">
            <w:pPr>
              <w:spacing w:before="120" w:after="120" w:line="240" w:lineRule="auto"/>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w:t>
            </w:r>
          </w:p>
        </w:tc>
        <w:tc>
          <w:tcPr>
            <w:tcW w:w="9586" w:type="dxa"/>
            <w:tcBorders>
              <w:top w:val="single" w:sz="4" w:space="0" w:color="auto"/>
              <w:left w:val="nil"/>
              <w:bottom w:val="single" w:sz="4" w:space="0" w:color="auto"/>
              <w:right w:val="single" w:sz="4" w:space="0" w:color="auto"/>
            </w:tcBorders>
            <w:shd w:val="clear" w:color="000000" w:fill="BFBFBF"/>
            <w:hideMark/>
          </w:tcPr>
          <w:p w:rsidR="00CB0E0A" w:rsidRDefault="000228AE">
            <w:pPr>
              <w:spacing w:before="120" w:after="120" w:line="240" w:lineRule="auto"/>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w:t>
            </w:r>
          </w:p>
        </w:tc>
        <w:tc>
          <w:tcPr>
            <w:tcW w:w="888" w:type="dxa"/>
            <w:tcBorders>
              <w:top w:val="single" w:sz="4" w:space="0" w:color="auto"/>
              <w:left w:val="nil"/>
              <w:bottom w:val="single" w:sz="4" w:space="0" w:color="auto"/>
              <w:right w:val="single" w:sz="4" w:space="0" w:color="auto"/>
            </w:tcBorders>
            <w:shd w:val="clear" w:color="000000" w:fill="BFBFBF"/>
            <w:noWrap/>
          </w:tcPr>
          <w:p w:rsidR="00CB0E0A" w:rsidRDefault="00CB0E0A">
            <w:pPr>
              <w:spacing w:before="120" w:after="120" w:line="240" w:lineRule="auto"/>
              <w:jc w:val="center"/>
              <w:rPr>
                <w:rFonts w:ascii="Times New Roman" w:eastAsia="Times New Roman" w:hAnsi="Times New Roman" w:cs="Times New Roman"/>
                <w:color w:val="BFBFBF"/>
                <w:sz w:val="20"/>
                <w:szCs w:val="20"/>
              </w:rPr>
            </w:pPr>
          </w:p>
        </w:tc>
        <w:tc>
          <w:tcPr>
            <w:tcW w:w="1205" w:type="dxa"/>
            <w:tcBorders>
              <w:top w:val="single" w:sz="4" w:space="0" w:color="auto"/>
              <w:left w:val="nil"/>
              <w:bottom w:val="single" w:sz="4" w:space="0" w:color="auto"/>
              <w:right w:val="single" w:sz="4" w:space="0" w:color="auto"/>
            </w:tcBorders>
            <w:shd w:val="clear" w:color="000000" w:fill="BFBFBF"/>
            <w:noWrap/>
          </w:tcPr>
          <w:p w:rsidR="00CB0E0A" w:rsidRDefault="00CB0E0A">
            <w:pPr>
              <w:spacing w:before="120" w:after="120" w:line="240" w:lineRule="auto"/>
              <w:jc w:val="center"/>
              <w:rPr>
                <w:rFonts w:ascii="Times New Roman" w:eastAsia="Times New Roman" w:hAnsi="Times New Roman" w:cs="Times New Roman"/>
                <w:color w:val="BFBFBF"/>
                <w:sz w:val="20"/>
                <w:szCs w:val="20"/>
              </w:rPr>
            </w:pPr>
          </w:p>
        </w:tc>
        <w:tc>
          <w:tcPr>
            <w:tcW w:w="1005" w:type="dxa"/>
            <w:tcBorders>
              <w:top w:val="single" w:sz="4" w:space="0" w:color="auto"/>
              <w:left w:val="nil"/>
              <w:bottom w:val="single" w:sz="4" w:space="0" w:color="auto"/>
              <w:right w:val="single" w:sz="4" w:space="0" w:color="auto"/>
            </w:tcBorders>
            <w:shd w:val="clear" w:color="000000" w:fill="BFBFBF"/>
            <w:noWrap/>
          </w:tcPr>
          <w:p w:rsidR="00CB0E0A" w:rsidRDefault="00CB0E0A">
            <w:pPr>
              <w:spacing w:before="120" w:after="120" w:line="240" w:lineRule="auto"/>
              <w:jc w:val="center"/>
              <w:rPr>
                <w:rFonts w:ascii="Times New Roman" w:eastAsia="Times New Roman" w:hAnsi="Times New Roman" w:cs="Times New Roman"/>
                <w:color w:val="BFBFBF"/>
                <w:sz w:val="20"/>
                <w:szCs w:val="20"/>
              </w:rPr>
            </w:pPr>
          </w:p>
        </w:tc>
        <w:tc>
          <w:tcPr>
            <w:tcW w:w="1194" w:type="dxa"/>
            <w:tcBorders>
              <w:top w:val="single" w:sz="4" w:space="0" w:color="auto"/>
              <w:left w:val="nil"/>
              <w:bottom w:val="single" w:sz="4" w:space="0" w:color="auto"/>
              <w:right w:val="single" w:sz="4" w:space="0" w:color="auto"/>
            </w:tcBorders>
            <w:shd w:val="clear" w:color="000000" w:fill="BFBFBF"/>
            <w:noWrap/>
            <w:hideMark/>
          </w:tcPr>
          <w:p w:rsidR="00CB0E0A" w:rsidRDefault="00CB0E0A">
            <w:pPr>
              <w:spacing w:before="120" w:after="120" w:line="240" w:lineRule="auto"/>
              <w:jc w:val="center"/>
              <w:rPr>
                <w:rFonts w:ascii="Times New Roman" w:eastAsia="Times New Roman" w:hAnsi="Times New Roman" w:cs="Times New Roman"/>
                <w:color w:val="BFBFBF"/>
                <w:sz w:val="20"/>
                <w:szCs w:val="20"/>
              </w:rPr>
            </w:pPr>
          </w:p>
        </w:tc>
      </w:tr>
      <w:tr w:rsidR="00CB0E0A">
        <w:trPr>
          <w:trHeight w:val="2897"/>
          <w:jc w:val="right"/>
        </w:trPr>
        <w:tc>
          <w:tcPr>
            <w:tcW w:w="10216" w:type="dxa"/>
            <w:gridSpan w:val="2"/>
            <w:tcBorders>
              <w:top w:val="single" w:sz="4" w:space="0" w:color="auto"/>
              <w:left w:val="single" w:sz="4" w:space="0" w:color="auto"/>
              <w:bottom w:val="single" w:sz="4" w:space="0" w:color="auto"/>
              <w:right w:val="single" w:sz="4" w:space="0" w:color="auto"/>
            </w:tcBorders>
            <w:shd w:val="clear" w:color="auto" w:fill="auto"/>
          </w:tcPr>
          <w:p w:rsidR="00CB0E0A" w:rsidRDefault="000228AE">
            <w:pPr>
              <w:pStyle w:val="Title"/>
              <w:keepNext/>
              <w:spacing w:before="120" w:after="120"/>
              <w:jc w:val="left"/>
              <w:rPr>
                <w:rFonts w:ascii="Times New Roman" w:hAnsi="Times New Roman"/>
                <w:smallCaps/>
                <w:sz w:val="20"/>
                <w:szCs w:val="20"/>
              </w:rPr>
            </w:pPr>
            <w:r>
              <w:rPr>
                <w:rFonts w:ascii="Times New Roman" w:hAnsi="Times New Roman"/>
                <w:smallCaps/>
                <w:sz w:val="20"/>
                <w:szCs w:val="20"/>
              </w:rPr>
              <w:lastRenderedPageBreak/>
              <w:t>2.  Observations and Core Issues as of April 24, 2012 :</w:t>
            </w:r>
          </w:p>
          <w:p w:rsidR="00CB0E0A" w:rsidRDefault="000228AE">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Capacity issues including the availability and determination to use firm and interruptible capacity to support load requirements is a core issue in the interdependencies of the two markets, for both the day of and the day ahead markets.</w:t>
            </w:r>
          </w:p>
          <w:p w:rsidR="00CB0E0A" w:rsidRDefault="000228AE">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Core Issue:</w:t>
            </w:r>
          </w:p>
          <w:p w:rsidR="00CB0E0A" w:rsidRDefault="000228AE">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Recogni</w:t>
            </w:r>
            <w:r>
              <w:rPr>
                <w:rFonts w:ascii="Times New Roman" w:hAnsi="Times New Roman" w:cs="Times New Roman"/>
                <w:sz w:val="20"/>
                <w:szCs w:val="20"/>
              </w:rPr>
              <w:t>zing the interdependency of the gas and electric markets in both the day of and day ahead operations, should NAESB examine:</w:t>
            </w:r>
          </w:p>
          <w:p w:rsidR="00CB0E0A" w:rsidRDefault="000228AE">
            <w:pPr>
              <w:pStyle w:val="ListParagraph"/>
              <w:keepNext/>
              <w:numPr>
                <w:ilvl w:val="0"/>
                <w:numId w:val="4"/>
              </w:numPr>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the relationship of pipeline service options and the electric capacity equivalent, (i.e. the character and quality of firmness of na</w:t>
            </w:r>
            <w:r>
              <w:rPr>
                <w:rFonts w:ascii="Times New Roman" w:hAnsi="Times New Roman" w:cs="Times New Roman"/>
                <w:sz w:val="20"/>
                <w:szCs w:val="20"/>
              </w:rPr>
              <w:t>tural gas service and generator service selections is consistent with the service obligation/expectation of the generators and system operators/RTOs), and</w:t>
            </w:r>
          </w:p>
          <w:p w:rsidR="00CB0E0A" w:rsidRDefault="000228AE">
            <w:pPr>
              <w:pStyle w:val="ListParagraph"/>
              <w:keepNext/>
              <w:numPr>
                <w:ilvl w:val="0"/>
                <w:numId w:val="4"/>
              </w:numPr>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the</w:t>
            </w:r>
            <w:r>
              <w:rPr>
                <w:rFonts w:ascii="Times New Roman" w:hAnsi="Times New Roman" w:cs="Times New Roman"/>
                <w:sz w:val="20"/>
                <w:szCs w:val="20"/>
              </w:rPr>
              <w:t xml:space="preserve"> structure of communications to make for a better utilization of existing infrastructure and capacity.</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1178"/>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Firm gas transportation service customers may only experience problems on peak gas usage days, when they have not exercised their firm rights in</w:t>
            </w:r>
            <w:r>
              <w:rPr>
                <w:rFonts w:ascii="Times New Roman" w:eastAsia="Times New Roman" w:hAnsi="Times New Roman" w:cs="Times New Roman"/>
                <w:color w:val="000000"/>
                <w:sz w:val="20"/>
                <w:szCs w:val="20"/>
              </w:rPr>
              <w:t xml:space="preserve"> accordance with the currently timely nomination cycle.  Similarly, reliance in interruptible gas transportation service on peak gas usage days can be problematic, as it is likely that the firm gas transportation service customers exercising their rights m</w:t>
            </w:r>
            <w:r>
              <w:rPr>
                <w:rFonts w:ascii="Times New Roman" w:eastAsia="Times New Roman" w:hAnsi="Times New Roman" w:cs="Times New Roman"/>
                <w:color w:val="000000"/>
                <w:sz w:val="20"/>
                <w:szCs w:val="20"/>
              </w:rPr>
              <w:t xml:space="preserve">ay account for all available capacity.  </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better understanding of the electric installed capacity and production requirements would take into account: (1) conditions under which generators determine to use firm fuel and capacity, (2) the </w:t>
            </w:r>
            <w:r>
              <w:rPr>
                <w:rFonts w:ascii="Times New Roman" w:eastAsia="Times New Roman" w:hAnsi="Times New Roman" w:cs="Times New Roman"/>
                <w:color w:val="000000"/>
                <w:sz w:val="20"/>
                <w:szCs w:val="20"/>
              </w:rPr>
              <w:t>capacity needed to support must serve loads, and (3) the barriers or economic forces that impede generators from contracting for services to meet must serve loads.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r>
      <w:tr w:rsidR="00CB0E0A">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RTO/ISO markets, with consideration for how plants are dispatched, the </w:t>
            </w:r>
            <w:r>
              <w:rPr>
                <w:rFonts w:ascii="Times New Roman" w:eastAsia="Times New Roman" w:hAnsi="Times New Roman" w:cs="Times New Roman"/>
                <w:color w:val="000000"/>
                <w:sz w:val="20"/>
                <w:szCs w:val="20"/>
              </w:rPr>
              <w:t>cost differentials between firm service and interruptible service should be examined, which may highlight the need for customer education and the definition of reasonable costs to support reliable service.</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CB0E0A">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2-4</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Variability in demand, such as </w:t>
            </w:r>
            <w:r>
              <w:rPr>
                <w:rFonts w:ascii="Times New Roman" w:eastAsia="Times New Roman" w:hAnsi="Times New Roman" w:cs="Times New Roman"/>
                <w:color w:val="000000"/>
                <w:sz w:val="20"/>
                <w:szCs w:val="20"/>
              </w:rPr>
              <w:t>unanticipated demand for natural gas or electricity, may be reflected as increased demand on gas-fired plants and other resources having short notice energy dispatch flexibility.  Depending on the circumstances, costs and or prices may increase.</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w:t>
            </w:r>
            <w:r>
              <w:rPr>
                <w:rFonts w:ascii="Times New Roman" w:eastAsia="Times New Roman" w:hAnsi="Times New Roman" w:cs="Times New Roman"/>
                <w:color w:val="000000"/>
                <w:sz w:val="20"/>
                <w:szCs w:val="20"/>
              </w:rPr>
              <w:t xml:space="preserve"> may have policies in place that identify a preferred loading order to generation.</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CB0E0A">
        <w:trPr>
          <w:trHeight w:val="1637"/>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Market design issues are regional and may be most appropriately addressed by the ISOs and RTOs directly – an example of which could be the coordination issues</w:t>
            </w:r>
            <w:r>
              <w:rPr>
                <w:rFonts w:ascii="Times New Roman" w:eastAsia="Times New Roman" w:hAnsi="Times New Roman" w:cs="Times New Roman"/>
                <w:color w:val="000000"/>
                <w:sz w:val="20"/>
                <w:szCs w:val="20"/>
              </w:rPr>
              <w:t xml:space="preserve"> for long term forward capacity electric markets.  Gas service fixed cost recovery should be considered, including who holds and pays for the gas pipeline capacity needed to back up renewables or to serve normal load requirements. Product definition requir</w:t>
            </w:r>
            <w:r>
              <w:rPr>
                <w:rFonts w:ascii="Times New Roman" w:eastAsia="Times New Roman" w:hAnsi="Times New Roman" w:cs="Times New Roman"/>
                <w:color w:val="000000"/>
                <w:sz w:val="20"/>
                <w:szCs w:val="20"/>
              </w:rPr>
              <w:t>ements and the form of firm service appropriate to the operational obligations may need to align with those regional requirements, although there may be common elements that would facilitate defining the service characteristics and scheduling rights needed</w:t>
            </w:r>
            <w:r>
              <w:rPr>
                <w:rFonts w:ascii="Times New Roman" w:eastAsia="Times New Roman" w:hAnsi="Times New Roman" w:cs="Times New Roman"/>
                <w:color w:val="000000"/>
                <w:sz w:val="20"/>
                <w:szCs w:val="20"/>
              </w:rPr>
              <w:t xml:space="preserve"> to serve the electric sector.</w:t>
            </w:r>
          </w:p>
        </w:tc>
        <w:tc>
          <w:tcPr>
            <w:tcW w:w="888" w:type="dxa"/>
            <w:tcBorders>
              <w:top w:val="single" w:sz="4" w:space="0" w:color="auto"/>
              <w:left w:val="nil"/>
              <w:bottom w:val="single" w:sz="4" w:space="0" w:color="auto"/>
              <w:right w:val="single" w:sz="4" w:space="0" w:color="auto"/>
            </w:tcBorders>
            <w:shd w:val="clear" w:color="auto" w:fill="auto"/>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CB0E0A">
        <w:trPr>
          <w:trHeight w:val="315"/>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[Deleted.]</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692"/>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r>
      <w:tr w:rsidR="00CB0E0A">
        <w:trPr>
          <w:trHeight w:val="431"/>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Price signal</w:t>
            </w:r>
            <w:r>
              <w:rPr>
                <w:rFonts w:ascii="Times New Roman" w:eastAsia="Times New Roman" w:hAnsi="Times New Roman" w:cs="Times New Roman"/>
                <w:color w:val="000000"/>
                <w:sz w:val="20"/>
                <w:szCs w:val="20"/>
              </w:rPr>
              <w:t xml:space="preserve"> information, which could be an input to cost recovery, is needed by generators when making economic decisions on fuels and services in support of reliable service.</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r>
      <w:tr w:rsidR="00CB0E0A">
        <w:trPr>
          <w:trHeight w:val="50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Incorporating use of LNG and storage facilities as peak shaving units can </w:t>
            </w:r>
            <w:r>
              <w:rPr>
                <w:rFonts w:ascii="Times New Roman" w:eastAsia="Times New Roman" w:hAnsi="Times New Roman" w:cs="Times New Roman"/>
                <w:color w:val="000000"/>
                <w:sz w:val="20"/>
                <w:szCs w:val="20"/>
              </w:rPr>
              <w:t>provide flexibility for power generation and expands the capability of the market in meeting demand for power.</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CB0E0A">
        <w:trPr>
          <w:trHeight w:val="377"/>
          <w:jc w:val="right"/>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2-11</w:t>
            </w:r>
          </w:p>
        </w:tc>
        <w:tc>
          <w:tcPr>
            <w:tcW w:w="9586" w:type="dxa"/>
            <w:tcBorders>
              <w:top w:val="single" w:sz="4" w:space="0" w:color="auto"/>
              <w:left w:val="nil"/>
              <w:bottom w:val="single" w:sz="4" w:space="0" w:color="auto"/>
              <w:right w:val="single" w:sz="4" w:space="0" w:color="auto"/>
            </w:tcBorders>
            <w:shd w:val="clear" w:color="000000" w:fill="FFFFFF"/>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68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w:t>
            </w:r>
            <w:r>
              <w:rPr>
                <w:rFonts w:ascii="Times New Roman" w:eastAsia="Times New Roman" w:hAnsi="Times New Roman" w:cs="Times New Roman"/>
                <w:color w:val="000000"/>
                <w:sz w:val="20"/>
                <w:szCs w:val="20"/>
              </w:rPr>
              <w:t>g unit.</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r>
      <w:tr w:rsidR="00CB0E0A">
        <w:trPr>
          <w:trHeight w:val="431"/>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Adequate lead times to secure the replacement capacity and energy is needed in order to reliably address any stress that is introduced when generation units are retired or taken offline. </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CB0E0A">
        <w:trPr>
          <w:trHeight w:val="113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Intermittent wind and solar</w:t>
            </w:r>
            <w:r>
              <w:rPr>
                <w:rFonts w:ascii="Times New Roman" w:eastAsia="Times New Roman" w:hAnsi="Times New Roman" w:cs="Times New Roman"/>
                <w:color w:val="000000"/>
                <w:sz w:val="20"/>
                <w:szCs w:val="20"/>
              </w:rPr>
              <w:t xml:space="preserve"> generation have an impact on pipeline capacity when gas-fired generation is used as a backstop to balance the system.  ERCOT provides the data related to such generation in 15 minute increments to support planning.  Weather conditions upwind of wind gener</w:t>
            </w:r>
            <w:r>
              <w:rPr>
                <w:rFonts w:ascii="Times New Roman" w:eastAsia="Times New Roman" w:hAnsi="Times New Roman" w:cs="Times New Roman"/>
                <w:color w:val="000000"/>
                <w:sz w:val="20"/>
                <w:szCs w:val="20"/>
              </w:rPr>
              <w:t>ation can be monitored to better plan for the requirements to be placed on all supply/demand responsive sources, which would include gas-fired generators and their pipelines.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CB0E0A">
        <w:trPr>
          <w:trHeight w:val="1862"/>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NAESB WGQ Standard 1.3.80 may be extended to better facilitate </w:t>
            </w:r>
            <w:r>
              <w:rPr>
                <w:rFonts w:ascii="Times New Roman" w:eastAsia="Times New Roman" w:hAnsi="Times New Roman" w:cs="Times New Roman"/>
                <w:color w:val="000000"/>
                <w:sz w:val="20"/>
                <w:szCs w:val="20"/>
              </w:rPr>
              <w:t xml:space="preserve">the quick movement of gas and/or capacity between shippers and generators downstream of a pipeline constraint, and in doing so, provide more effective use of existing infrastructure, and more liquidity to the market in an ICE like market:   1.3.80  To the </w:t>
            </w:r>
            <w:r>
              <w:rPr>
                <w:rFonts w:ascii="Times New Roman" w:eastAsia="Times New Roman" w:hAnsi="Times New Roman" w:cs="Times New Roman"/>
                <w:color w:val="000000"/>
                <w:sz w:val="20"/>
                <w:szCs w:val="20"/>
              </w:rPr>
              <w:t>extent the Transportation Service Provider's (TSP) other scheduling requirements are met, a TSP should support the ability of a Service Requester to redirect scheduled quantities to other receipt points upstream of a constraint point or delivery points dow</w:t>
            </w:r>
            <w:r>
              <w:rPr>
                <w:rFonts w:ascii="Times New Roman" w:eastAsia="Times New Roman" w:hAnsi="Times New Roman" w:cs="Times New Roman"/>
                <w:color w:val="000000"/>
                <w:sz w:val="20"/>
                <w:szCs w:val="20"/>
              </w:rPr>
              <w:t>nstream of a constraint point at any of the TSP’s subsequent nomination cycle(s) for the subject gas day, at least under the same contract, without a requirement that the quantities be rescheduled through the point of constraint.</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w:t>
            </w:r>
            <w:r>
              <w:rPr>
                <w:rFonts w:ascii="Times New Roman" w:eastAsia="Times New Roman" w:hAnsi="Times New Roman" w:cs="Times New Roman"/>
                <w:color w:val="000000"/>
                <w:sz w:val="20"/>
                <w:szCs w:val="20"/>
              </w:rPr>
              <w:t>economic decisions should be made regarding the costs assumed by the gas fired generators to back up the variable energy resources used? (Would this be similar to costs assumed for providing net load following service needed, (weather variability affecting</w:t>
            </w:r>
            <w:r>
              <w:rPr>
                <w:rFonts w:ascii="Times New Roman" w:eastAsia="Times New Roman" w:hAnsi="Times New Roman" w:cs="Times New Roman"/>
                <w:color w:val="000000"/>
                <w:sz w:val="20"/>
                <w:szCs w:val="20"/>
              </w:rPr>
              <w:t xml:space="preserve"> consumption in conjunction with output of variable energy resources?)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CB0E0A">
        <w:trPr>
          <w:trHeight w:val="1367"/>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2-17</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Optimizing and servicing the growing electricity and natural gas capacity markets, and adding capacity to the markets may point to process improvement measures and structured communications, among other actions – which would necessarily involve all segment</w:t>
            </w:r>
            <w:r>
              <w:rPr>
                <w:rFonts w:ascii="Times New Roman" w:eastAsia="Times New Roman" w:hAnsi="Times New Roman" w:cs="Times New Roman"/>
                <w:color w:val="000000"/>
                <w:sz w:val="20"/>
                <w:szCs w:val="20"/>
              </w:rPr>
              <w:t>s of the markets.  Both natural gas and electricity capacity products in the future may need to divide into sub product characteristics, which for the electricity products, may impact the fuel service requirements- e.g. contingency reserves or peaking, net</w:t>
            </w:r>
            <w:r>
              <w:rPr>
                <w:rFonts w:ascii="Times New Roman" w:eastAsia="Times New Roman" w:hAnsi="Times New Roman" w:cs="Times New Roman"/>
                <w:color w:val="000000"/>
                <w:sz w:val="20"/>
                <w:szCs w:val="20"/>
              </w:rPr>
              <w:t xml:space="preserve"> load following and the like.  </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r>
      <w:tr w:rsidR="00CB0E0A">
        <w:trPr>
          <w:trHeight w:val="368"/>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 the extent that gas storage is sought to enhance reliability, need to address areas of the country where storage is geologically infeasible (perhaps via innovative above-ground storage technology for </w:t>
            </w:r>
            <w:r>
              <w:rPr>
                <w:rFonts w:ascii="Times New Roman" w:eastAsia="Times New Roman" w:hAnsi="Times New Roman" w:cs="Times New Roman"/>
                <w:color w:val="000000"/>
                <w:sz w:val="20"/>
                <w:szCs w:val="20"/>
              </w:rPr>
              <w:t>power plants or LNG needle peaking facilities or alternate fuel requirement).</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CB0E0A">
        <w:trPr>
          <w:trHeight w:val="255"/>
          <w:jc w:val="right"/>
        </w:trPr>
        <w:tc>
          <w:tcPr>
            <w:tcW w:w="630" w:type="dxa"/>
            <w:tcBorders>
              <w:top w:val="single" w:sz="4" w:space="0" w:color="auto"/>
              <w:left w:val="single" w:sz="4" w:space="0" w:color="auto"/>
              <w:bottom w:val="single" w:sz="4" w:space="0" w:color="auto"/>
              <w:right w:val="single" w:sz="4" w:space="0" w:color="auto"/>
            </w:tcBorders>
            <w:shd w:val="clear" w:color="000000" w:fill="D9D9D9"/>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586" w:type="dxa"/>
            <w:tcBorders>
              <w:top w:val="single" w:sz="4" w:space="0" w:color="auto"/>
              <w:left w:val="nil"/>
              <w:bottom w:val="single" w:sz="4" w:space="0" w:color="auto"/>
              <w:right w:val="single" w:sz="4" w:space="0" w:color="auto"/>
            </w:tcBorders>
            <w:shd w:val="clear" w:color="000000" w:fill="D9D9D9"/>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D9D9D9"/>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D9D9D9"/>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D9D9D9"/>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1065"/>
          <w:jc w:val="right"/>
        </w:trPr>
        <w:tc>
          <w:tcPr>
            <w:tcW w:w="10216" w:type="dxa"/>
            <w:gridSpan w:val="2"/>
            <w:tcBorders>
              <w:top w:val="single" w:sz="4" w:space="0" w:color="auto"/>
              <w:left w:val="single" w:sz="4" w:space="0" w:color="auto"/>
              <w:bottom w:val="single" w:sz="4" w:space="0" w:color="auto"/>
              <w:right w:val="single" w:sz="4" w:space="0" w:color="auto"/>
            </w:tcBorders>
            <w:shd w:val="clear" w:color="auto" w:fill="auto"/>
            <w:noWrap/>
          </w:tcPr>
          <w:p w:rsidR="00CB0E0A" w:rsidRDefault="000228AE">
            <w:pPr>
              <w:pStyle w:val="Title"/>
              <w:spacing w:before="120" w:after="120"/>
              <w:jc w:val="left"/>
              <w:rPr>
                <w:rFonts w:ascii="Times New Roman" w:hAnsi="Times New Roman"/>
                <w:smallCaps/>
                <w:sz w:val="20"/>
                <w:szCs w:val="20"/>
              </w:rPr>
            </w:pPr>
            <w:r>
              <w:rPr>
                <w:rFonts w:ascii="Times New Roman" w:hAnsi="Times New Roman"/>
                <w:smallCaps/>
                <w:sz w:val="20"/>
                <w:szCs w:val="20"/>
              </w:rPr>
              <w:t>3.  Observations and Core Issues as of April 24, 2012 :</w:t>
            </w:r>
          </w:p>
          <w:p w:rsidR="00CB0E0A" w:rsidRDefault="000228AE">
            <w:pPr>
              <w:keepNext/>
              <w:keepLines/>
              <w:pageBreakBefore/>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Curtailment policies and practices are components of the interdependency of the two markets that </w:t>
            </w:r>
            <w:r>
              <w:rPr>
                <w:rFonts w:ascii="Times New Roman" w:hAnsi="Times New Roman" w:cs="Times New Roman"/>
                <w:sz w:val="20"/>
                <w:szCs w:val="20"/>
              </w:rPr>
              <w:t>impacts harmonization.  Curtailment is interruption of service that has been scheduled.</w:t>
            </w:r>
          </w:p>
          <w:p w:rsidR="00CB0E0A" w:rsidRDefault="000228AE">
            <w:pPr>
              <w:keepNext/>
              <w:keepLines/>
              <w:pageBreakBefore/>
              <w:spacing w:before="120" w:after="120" w:line="240" w:lineRule="auto"/>
              <w:rPr>
                <w:rFonts w:ascii="Times New Roman" w:hAnsi="Times New Roman" w:cs="Times New Roman"/>
                <w:sz w:val="20"/>
                <w:szCs w:val="20"/>
              </w:rPr>
            </w:pPr>
            <w:r>
              <w:rPr>
                <w:rFonts w:ascii="Times New Roman" w:hAnsi="Times New Roman" w:cs="Times New Roman"/>
                <w:sz w:val="20"/>
                <w:szCs w:val="20"/>
              </w:rPr>
              <w:t>Core Issue:</w:t>
            </w:r>
          </w:p>
          <w:p w:rsidR="00CB0E0A" w:rsidRDefault="000228AE">
            <w:pPr>
              <w:keepNext/>
              <w:keepLines/>
              <w:pageBreakBefore/>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Should NAESB examine its existing or new standards (NAESB Std. No. 1.3.80 as an example) to support the movement of natural gas to support electric generati</w:t>
            </w:r>
            <w:r>
              <w:rPr>
                <w:rFonts w:ascii="Times New Roman" w:hAnsi="Times New Roman" w:cs="Times New Roman"/>
                <w:sz w:val="20"/>
                <w:szCs w:val="20"/>
              </w:rPr>
              <w:t xml:space="preserve">on, and conversely, electricity needed by natural gas pipelines, to better respond in situations of potential curtailment and involuntary interruption of service, (improving capacity release program is an example)? </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548"/>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keepNext/>
              <w:keepLines/>
              <w:pageBreakBefore/>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Generators can introduce </w:t>
            </w:r>
            <w:r>
              <w:rPr>
                <w:rFonts w:ascii="Times New Roman" w:eastAsia="Times New Roman" w:hAnsi="Times New Roman" w:cs="Times New Roman"/>
                <w:color w:val="000000"/>
                <w:sz w:val="20"/>
                <w:szCs w:val="20"/>
              </w:rPr>
              <w:t>flexibility through the use of reserves and ancillary services, which is determined through regionally based decisions and considered part of market design.</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tabs>
                <w:tab w:val="left" w:pos="360"/>
                <w:tab w:val="center" w:pos="489"/>
              </w:tabs>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11</w:t>
            </w:r>
          </w:p>
        </w:tc>
      </w:tr>
      <w:tr w:rsidR="00CB0E0A">
        <w:trPr>
          <w:trHeight w:val="170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3-2</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keepNext/>
              <w:keepLines/>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Most pipelines already offer a park-and-loan service that uses linepack</w:t>
            </w:r>
            <w:r>
              <w:rPr>
                <w:rFonts w:ascii="Times New Roman" w:eastAsia="Times New Roman" w:hAnsi="Times New Roman" w:cs="Times New Roman"/>
                <w:color w:val="000000"/>
                <w:sz w:val="20"/>
                <w:szCs w:val="20"/>
              </w:rPr>
              <w:t xml:space="preserve"> in meeting intermittent capacity requirements and provides for greater market flexibility.  The flexibility provided by the use of non-ratable takes is made possible through the use of linepack.  Linepack however may not be suitable to address issues that</w:t>
            </w:r>
            <w:r>
              <w:rPr>
                <w:rFonts w:ascii="Times New Roman" w:eastAsia="Times New Roman" w:hAnsi="Times New Roman" w:cs="Times New Roman"/>
                <w:color w:val="000000"/>
                <w:sz w:val="20"/>
                <w:szCs w:val="20"/>
              </w:rPr>
              <w:t xml:space="preserve"> arise in peak day demand conditions for generators that have not already contracted for park-and-loan service or non-ratable takes. Taking linepack can impact the pipeline’s deliverability and cause the pipeline to shut down the unauthorized party to pres</w:t>
            </w:r>
            <w:r>
              <w:rPr>
                <w:rFonts w:ascii="Times New Roman" w:eastAsia="Times New Roman" w:hAnsi="Times New Roman" w:cs="Times New Roman"/>
                <w:color w:val="000000"/>
                <w:sz w:val="20"/>
                <w:szCs w:val="20"/>
              </w:rPr>
              <w:t>erve the reliability of the system.  In addition, there may well be occasions when linepack is fully utilized to support other pipeline operations.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r>
      <w:tr w:rsidR="00CB0E0A">
        <w:trPr>
          <w:trHeight w:val="46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pStyle w:val="Title"/>
              <w:spacing w:before="120" w:after="120"/>
              <w:jc w:val="left"/>
              <w:rPr>
                <w:rFonts w:ascii="Times New Roman" w:hAnsi="Times New Roman"/>
                <w:b w:val="0"/>
                <w:bCs w:val="0"/>
                <w:sz w:val="20"/>
                <w:szCs w:val="20"/>
              </w:rPr>
            </w:pPr>
            <w:r>
              <w:rPr>
                <w:rFonts w:ascii="Times New Roman" w:hAnsi="Times New Roman"/>
                <w:b w:val="0"/>
                <w:bCs w:val="0"/>
                <w:sz w:val="20"/>
                <w:szCs w:val="20"/>
              </w:rPr>
              <w:t>Knowing the status on dispatchable</w:t>
            </w:r>
            <w:r>
              <w:rPr>
                <w:rFonts w:ascii="Times New Roman" w:hAnsi="Times New Roman"/>
                <w:b w:val="0"/>
                <w:bCs w:val="0"/>
                <w:sz w:val="20"/>
                <w:szCs w:val="20"/>
              </w:rPr>
              <w:t xml:space="preserve"> generation and pipeline capacity can be important in decisions to modify planned outages scheduled for gas-fired facilities, transmission, and pipelines.   The information is also crucial in addressing unplanned outages.  However, it is not clear how this</w:t>
            </w:r>
            <w:r>
              <w:rPr>
                <w:rFonts w:ascii="Times New Roman" w:hAnsi="Times New Roman"/>
                <w:b w:val="0"/>
                <w:bCs w:val="0"/>
                <w:sz w:val="20"/>
                <w:szCs w:val="20"/>
              </w:rPr>
              <w:t xml:space="preserve"> impacts gas-electric market harmonization, </w:t>
            </w:r>
          </w:p>
          <w:p w:rsidR="00CB0E0A" w:rsidRDefault="000228AE">
            <w:pPr>
              <w:pStyle w:val="Title"/>
              <w:spacing w:before="120" w:after="120"/>
              <w:jc w:val="left"/>
              <w:rPr>
                <w:rFonts w:ascii="Times New Roman" w:hAnsi="Times New Roman"/>
                <w:b w:val="0"/>
                <w:bCs w:val="0"/>
                <w:sz w:val="20"/>
                <w:szCs w:val="20"/>
              </w:rPr>
            </w:pPr>
            <w:r>
              <w:rPr>
                <w:rFonts w:ascii="Times New Roman" w:hAnsi="Times New Roman"/>
                <w:b w:val="0"/>
                <w:bCs w:val="0"/>
                <w:sz w:val="20"/>
                <w:szCs w:val="20"/>
              </w:rPr>
              <w:t>Entities responsible for balancing electricity supply and demand need improved overall situational awareness of the potential impacts of pipeline operations.  This includes ensuring sufficient notice of schedule</w:t>
            </w:r>
            <w:r>
              <w:rPr>
                <w:rFonts w:ascii="Times New Roman" w:hAnsi="Times New Roman"/>
                <w:b w:val="0"/>
                <w:bCs w:val="0"/>
                <w:sz w:val="20"/>
                <w:szCs w:val="20"/>
              </w:rPr>
              <w:t xml:space="preserve">d outages on natural gas pipelines; balancing authority knowledge regarding those entities that can be impacted by pipeline outages; and understanding between the balancing authority and the generator regarding the impact of a pipeline outage to generator </w:t>
            </w:r>
            <w:r>
              <w:rPr>
                <w:rFonts w:ascii="Times New Roman" w:hAnsi="Times New Roman"/>
                <w:b w:val="0"/>
                <w:bCs w:val="0"/>
                <w:sz w:val="20"/>
                <w:szCs w:val="20"/>
              </w:rPr>
              <w:t xml:space="preserve">operations. </w:t>
            </w:r>
          </w:p>
          <w:p w:rsidR="00CB0E0A" w:rsidRDefault="000228AE">
            <w:pPr>
              <w:pStyle w:val="Title"/>
              <w:spacing w:before="120" w:after="120"/>
              <w:jc w:val="left"/>
              <w:rPr>
                <w:rFonts w:ascii="Times New Roman" w:hAnsi="Times New Roman"/>
                <w:b w:val="0"/>
                <w:bCs w:val="0"/>
                <w:sz w:val="20"/>
                <w:szCs w:val="20"/>
              </w:rPr>
            </w:pPr>
            <w:r>
              <w:rPr>
                <w:rFonts w:ascii="Times New Roman" w:hAnsi="Times New Roman"/>
                <w:b w:val="0"/>
                <w:bCs w:val="0"/>
                <w:sz w:val="20"/>
                <w:szCs w:val="20"/>
              </w:rPr>
              <w:t>Similarly, pipeline and storage operators as well as LDC with gas generation behind their citygate need improved overall situational awareness of the potential impacts on their operations from planned or unplanned generation or transmission ou</w:t>
            </w:r>
            <w:r>
              <w:rPr>
                <w:rFonts w:ascii="Times New Roman" w:hAnsi="Times New Roman"/>
                <w:b w:val="0"/>
                <w:bCs w:val="0"/>
                <w:sz w:val="20"/>
                <w:szCs w:val="20"/>
              </w:rPr>
              <w:t>tages, expected changes in electricity demand, and expected changes is renewable generation and the potential impact on gas generation requirements. This includes ensuring sufficient notice of likely impacts on gas generation served by the pipeline, storag</w:t>
            </w:r>
            <w:r>
              <w:rPr>
                <w:rFonts w:ascii="Times New Roman" w:hAnsi="Times New Roman"/>
                <w:b w:val="0"/>
                <w:bCs w:val="0"/>
                <w:sz w:val="20"/>
                <w:szCs w:val="20"/>
              </w:rPr>
              <w:t>e or LDC.</w:t>
            </w:r>
          </w:p>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Nonetheless, public disclosure of information of this type could have unintended anti-competitive inter-fuel impacts.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CB0E0A">
        <w:trPr>
          <w:trHeight w:val="161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3-4</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When determining actions to be taken by electric service providers in curtailment conditions, the information on </w:t>
            </w:r>
            <w:r>
              <w:rPr>
                <w:rFonts w:ascii="Times New Roman" w:eastAsia="Times New Roman" w:hAnsi="Times New Roman" w:cs="Times New Roman"/>
                <w:color w:val="000000"/>
                <w:sz w:val="20"/>
                <w:szCs w:val="20"/>
              </w:rPr>
              <w:t>critical infrastructure is needed.  That information includes electric compressor locations for those interstate and intrastate pipelines’ that use electric compressors, electric compressor locations for those LDCs that use electric compressors, gas proces</w:t>
            </w:r>
            <w:r>
              <w:rPr>
                <w:rFonts w:ascii="Times New Roman" w:eastAsia="Times New Roman" w:hAnsi="Times New Roman" w:cs="Times New Roman"/>
                <w:color w:val="000000"/>
                <w:sz w:val="20"/>
                <w:szCs w:val="20"/>
              </w:rPr>
              <w:t>sors’ locations that use grid or utility provided electricity to maintain operations,  storage operators locations that use grid or utility provided electricity to maintain operations, other locations that require electricity to maintain flow measurement a</w:t>
            </w:r>
            <w:r>
              <w:rPr>
                <w:rFonts w:ascii="Times New Roman" w:eastAsia="Times New Roman" w:hAnsi="Times New Roman" w:cs="Times New Roman"/>
                <w:color w:val="000000"/>
                <w:sz w:val="20"/>
                <w:szCs w:val="20"/>
              </w:rPr>
              <w:t>nd flow management/control would be helpful.</w:t>
            </w:r>
          </w:p>
        </w:tc>
        <w:tc>
          <w:tcPr>
            <w:tcW w:w="888" w:type="dxa"/>
            <w:tcBorders>
              <w:top w:val="single" w:sz="4" w:space="0" w:color="auto"/>
              <w:left w:val="nil"/>
              <w:bottom w:val="single" w:sz="4" w:space="0" w:color="auto"/>
              <w:right w:val="single" w:sz="4" w:space="0" w:color="auto"/>
            </w:tcBorders>
            <w:shd w:val="clear" w:color="auto" w:fill="auto"/>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0E0A">
        <w:trPr>
          <w:trHeight w:val="89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w:t>
            </w:r>
            <w:r>
              <w:rPr>
                <w:rFonts w:ascii="Times New Roman" w:eastAsia="Times New Roman" w:hAnsi="Times New Roman" w:cs="Times New Roman"/>
                <w:color w:val="000000"/>
                <w:sz w:val="20"/>
                <w:szCs w:val="20"/>
              </w:rPr>
              <w:t xml:space="preserve">information that is helpful to the decision making entities in both markets.  </w:t>
            </w:r>
          </w:p>
        </w:tc>
        <w:tc>
          <w:tcPr>
            <w:tcW w:w="888" w:type="dxa"/>
            <w:tcBorders>
              <w:top w:val="single" w:sz="4" w:space="0" w:color="auto"/>
              <w:left w:val="nil"/>
              <w:bottom w:val="single" w:sz="4" w:space="0" w:color="auto"/>
              <w:right w:val="single" w:sz="4" w:space="0" w:color="auto"/>
            </w:tcBorders>
            <w:shd w:val="clear" w:color="auto" w:fill="auto"/>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CB0E0A">
        <w:trPr>
          <w:trHeight w:val="773"/>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decisions made as the two markets work together should focus on how best to serve the customer and balance the cost of delivered power against the assurance </w:t>
            </w:r>
            <w:r>
              <w:rPr>
                <w:rFonts w:ascii="Times New Roman" w:eastAsia="Times New Roman" w:hAnsi="Times New Roman" w:cs="Times New Roman"/>
                <w:color w:val="000000"/>
                <w:sz w:val="20"/>
                <w:szCs w:val="20"/>
              </w:rPr>
              <w:t>that firm service is not interrupted on days experiencing peak day conditions or other stress conditions.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CB0E0A">
        <w:trPr>
          <w:trHeight w:val="11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Supply curtailment policies at the state level may need review, as well as state commissions’ use of base gas instead of operational capacity to address shortages.  Some generators may purchase gas from LDCs, and even those that purchase their own gas may </w:t>
            </w:r>
            <w:r>
              <w:rPr>
                <w:rFonts w:ascii="Times New Roman" w:eastAsia="Times New Roman" w:hAnsi="Times New Roman" w:cs="Times New Roman"/>
                <w:color w:val="000000"/>
                <w:sz w:val="20"/>
                <w:szCs w:val="20"/>
              </w:rPr>
              <w:t xml:space="preserve">be behind an LDC citygate and its transportation policies.  LDCs may use end use curtailment to support residential demand.   Storage factors into curtailment policies if it is behind the city gate, and may relieve constraints that could occur during peak </w:t>
            </w:r>
            <w:r>
              <w:rPr>
                <w:rFonts w:ascii="Times New Roman" w:eastAsia="Times New Roman" w:hAnsi="Times New Roman" w:cs="Times New Roman"/>
                <w:color w:val="000000"/>
                <w:sz w:val="20"/>
                <w:szCs w:val="20"/>
              </w:rPr>
              <w:t>periods.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0E0A">
        <w:trPr>
          <w:trHeight w:val="386"/>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 – combined with observation 3-3.]</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135"/>
          <w:jc w:val="right"/>
        </w:trPr>
        <w:tc>
          <w:tcPr>
            <w:tcW w:w="630" w:type="dxa"/>
            <w:tcBorders>
              <w:top w:val="single" w:sz="4" w:space="0" w:color="auto"/>
              <w:left w:val="single" w:sz="4" w:space="0" w:color="auto"/>
              <w:bottom w:val="single" w:sz="4" w:space="0" w:color="auto"/>
              <w:right w:val="single" w:sz="4" w:space="0" w:color="auto"/>
            </w:tcBorders>
            <w:shd w:val="clear" w:color="000000" w:fill="D9D9D9"/>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586" w:type="dxa"/>
            <w:tcBorders>
              <w:top w:val="single" w:sz="4" w:space="0" w:color="auto"/>
              <w:left w:val="nil"/>
              <w:bottom w:val="single" w:sz="4" w:space="0" w:color="auto"/>
              <w:right w:val="single" w:sz="4" w:space="0" w:color="auto"/>
            </w:tcBorders>
            <w:shd w:val="clear" w:color="000000" w:fill="D9D9D9"/>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D9D9D9"/>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D9D9D9"/>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D9D9D9"/>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1920"/>
          <w:jc w:val="right"/>
        </w:trPr>
        <w:tc>
          <w:tcPr>
            <w:tcW w:w="10216" w:type="dxa"/>
            <w:gridSpan w:val="2"/>
            <w:tcBorders>
              <w:top w:val="single" w:sz="4" w:space="0" w:color="auto"/>
              <w:left w:val="single" w:sz="4" w:space="0" w:color="auto"/>
              <w:bottom w:val="single" w:sz="4" w:space="0" w:color="auto"/>
              <w:right w:val="single" w:sz="4" w:space="0" w:color="auto"/>
            </w:tcBorders>
            <w:shd w:val="clear" w:color="000000" w:fill="FFFFFF"/>
            <w:noWrap/>
          </w:tcPr>
          <w:p w:rsidR="00CB0E0A" w:rsidRDefault="000228AE">
            <w:pPr>
              <w:pStyle w:val="Title"/>
              <w:keepNext/>
              <w:spacing w:before="120" w:after="120"/>
              <w:jc w:val="left"/>
              <w:rPr>
                <w:rFonts w:ascii="Times New Roman" w:hAnsi="Times New Roman"/>
                <w:smallCaps/>
                <w:sz w:val="20"/>
                <w:szCs w:val="20"/>
              </w:rPr>
            </w:pPr>
            <w:r>
              <w:rPr>
                <w:rFonts w:ascii="Times New Roman" w:hAnsi="Times New Roman"/>
                <w:smallCaps/>
                <w:sz w:val="20"/>
                <w:szCs w:val="20"/>
              </w:rPr>
              <w:lastRenderedPageBreak/>
              <w:t>4.  Observations and Core Issues as of April 24, 2012 :</w:t>
            </w:r>
          </w:p>
          <w:p w:rsidR="00CB0E0A" w:rsidRDefault="000228AE">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Additional and more formal structure for communications of the parties in the gas and electric markets is needed, </w:t>
            </w:r>
            <w:r>
              <w:rPr>
                <w:rFonts w:ascii="Times New Roman" w:hAnsi="Times New Roman" w:cs="Times New Roman"/>
                <w:sz w:val="20"/>
                <w:szCs w:val="20"/>
              </w:rPr>
              <w:t>particularly for unanticipated demand situations.</w:t>
            </w:r>
          </w:p>
          <w:p w:rsidR="00CB0E0A" w:rsidRDefault="000228AE">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Core Issue:</w:t>
            </w:r>
          </w:p>
          <w:p w:rsidR="00CB0E0A" w:rsidRDefault="000228AE">
            <w:pPr>
              <w:keepNext/>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Should NAESB examine a more comprehensive approach to communications between the two markets and among participants in each of the markets as the communications impact the interdependency of the</w:t>
            </w:r>
            <w:r>
              <w:rPr>
                <w:rFonts w:ascii="Times New Roman" w:hAnsi="Times New Roman" w:cs="Times New Roman"/>
                <w:sz w:val="20"/>
                <w:szCs w:val="20"/>
              </w:rPr>
              <w:t xml:space="preserve"> markets?</w:t>
            </w:r>
          </w:p>
        </w:tc>
        <w:tc>
          <w:tcPr>
            <w:tcW w:w="888"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1196"/>
          <w:jc w:val="right"/>
        </w:trPr>
        <w:tc>
          <w:tcPr>
            <w:tcW w:w="630" w:type="dxa"/>
            <w:tcBorders>
              <w:top w:val="single" w:sz="4" w:space="0" w:color="auto"/>
              <w:left w:val="single" w:sz="4" w:space="0" w:color="auto"/>
              <w:bottom w:val="single" w:sz="4" w:space="0" w:color="auto"/>
              <w:right w:val="single" w:sz="4" w:space="0" w:color="auto"/>
            </w:tcBorders>
            <w:shd w:val="clear" w:color="000000" w:fill="FFFFFF"/>
            <w:noWrap/>
            <w:hideMark/>
          </w:tcPr>
          <w:p w:rsidR="00CB0E0A" w:rsidRDefault="000228AE">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586" w:type="dxa"/>
            <w:tcBorders>
              <w:top w:val="single" w:sz="4" w:space="0" w:color="auto"/>
              <w:left w:val="nil"/>
              <w:bottom w:val="single" w:sz="4" w:space="0" w:color="auto"/>
              <w:right w:val="single" w:sz="4" w:space="0" w:color="auto"/>
            </w:tcBorders>
            <w:shd w:val="clear" w:color="000000" w:fill="FFFFFF"/>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information is made available to support market transparency and decision making that enhances market interoperability, care should be taken that the needed confidentiality is preserved so that anti-competitive aspects are not introduced.  The purpose o</w:t>
            </w:r>
            <w:r>
              <w:rPr>
                <w:rFonts w:ascii="Times New Roman" w:eastAsia="Times New Roman" w:hAnsi="Times New Roman" w:cs="Times New Roman"/>
                <w:color w:val="000000"/>
                <w:sz w:val="20"/>
                <w:szCs w:val="20"/>
              </w:rPr>
              <w:t xml:space="preserve">f the information, who provides the information, who accesses the information, and how the information is presented, should be analyzed to ensure that the needed confidentiality is preserved. </w:t>
            </w:r>
          </w:p>
        </w:tc>
        <w:tc>
          <w:tcPr>
            <w:tcW w:w="888" w:type="dxa"/>
            <w:tcBorders>
              <w:top w:val="single" w:sz="4" w:space="0" w:color="auto"/>
              <w:left w:val="nil"/>
              <w:bottom w:val="single" w:sz="4" w:space="0" w:color="auto"/>
              <w:right w:val="single" w:sz="4" w:space="0" w:color="auto"/>
            </w:tcBorders>
            <w:shd w:val="clear" w:color="000000" w:fill="FFFFFF"/>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205" w:type="dxa"/>
            <w:tcBorders>
              <w:top w:val="single" w:sz="4" w:space="0" w:color="auto"/>
              <w:left w:val="nil"/>
              <w:bottom w:val="single" w:sz="4" w:space="0" w:color="auto"/>
              <w:right w:val="single" w:sz="4" w:space="0" w:color="auto"/>
            </w:tcBorders>
            <w:shd w:val="clear" w:color="000000" w:fill="FFFFFF"/>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94" w:type="dxa"/>
            <w:tcBorders>
              <w:top w:val="single" w:sz="4" w:space="0" w:color="auto"/>
              <w:left w:val="nil"/>
              <w:bottom w:val="single" w:sz="4" w:space="0" w:color="auto"/>
              <w:right w:val="single" w:sz="4" w:space="0" w:color="auto"/>
            </w:tcBorders>
            <w:shd w:val="clear" w:color="000000" w:fill="FFFFFF"/>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CB0E0A">
        <w:trPr>
          <w:trHeight w:val="539"/>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Communication and associated procedures may </w:t>
            </w:r>
            <w:r>
              <w:rPr>
                <w:rFonts w:ascii="Times New Roman" w:eastAsia="Times New Roman" w:hAnsi="Times New Roman" w:cs="Times New Roman"/>
                <w:color w:val="000000"/>
                <w:sz w:val="20"/>
                <w:szCs w:val="20"/>
              </w:rPr>
              <w:t>support the development of decision enabling tools with respect to day-of service, that may support efforts for contingency response.</w:t>
            </w:r>
          </w:p>
        </w:tc>
        <w:tc>
          <w:tcPr>
            <w:tcW w:w="888" w:type="dxa"/>
            <w:tcBorders>
              <w:top w:val="single" w:sz="4" w:space="0" w:color="auto"/>
              <w:left w:val="nil"/>
              <w:bottom w:val="single" w:sz="4" w:space="0" w:color="auto"/>
              <w:right w:val="single" w:sz="4" w:space="0" w:color="auto"/>
            </w:tcBorders>
            <w:shd w:val="clear" w:color="000000" w:fill="FFFFFF"/>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05" w:type="dxa"/>
            <w:tcBorders>
              <w:top w:val="single" w:sz="4" w:space="0" w:color="auto"/>
              <w:left w:val="nil"/>
              <w:bottom w:val="single" w:sz="4" w:space="0" w:color="auto"/>
              <w:right w:val="single" w:sz="4" w:space="0" w:color="auto"/>
            </w:tcBorders>
            <w:shd w:val="clear" w:color="000000" w:fill="FFFFFF"/>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94" w:type="dxa"/>
            <w:tcBorders>
              <w:top w:val="single" w:sz="4" w:space="0" w:color="auto"/>
              <w:left w:val="nil"/>
              <w:bottom w:val="single" w:sz="4" w:space="0" w:color="auto"/>
              <w:right w:val="single" w:sz="4" w:space="0" w:color="auto"/>
            </w:tcBorders>
            <w:shd w:val="clear" w:color="000000" w:fill="FFFFFF"/>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CB0E0A">
        <w:trPr>
          <w:trHeight w:val="7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Nuclear Power Plant Communications (Report 16, Nuclear Plant Interface Coordination – Standard NUC-001-2, </w:t>
            </w:r>
            <w:r>
              <w:rPr>
                <w:rFonts w:ascii="Times New Roman" w:eastAsia="Times New Roman" w:hAnsi="Times New Roman" w:cs="Times New Roman"/>
                <w:color w:val="000000"/>
                <w:sz w:val="20"/>
                <w:szCs w:val="20"/>
              </w:rPr>
              <w:t>NERC, April 2010, http://www.nerc.com/files/NUC-001-2.pdf) could be used as a template for a more formal structure for communications.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r>
      <w:tr w:rsidR="00CB0E0A">
        <w:trPr>
          <w:trHeight w:val="2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[Deleted – replaced by 4-0.]</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r w:rsidR="00CB0E0A">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 information clearinghouse may be considered as a mechanism for </w:t>
            </w:r>
            <w:r>
              <w:rPr>
                <w:rFonts w:ascii="Times New Roman" w:eastAsia="Times New Roman" w:hAnsi="Times New Roman" w:cs="Times New Roman"/>
                <w:color w:val="000000"/>
                <w:sz w:val="20"/>
                <w:szCs w:val="20"/>
              </w:rPr>
              <w:t>accessing posted information and providing information to be posted, as not all electric utilities are represented by ISOs and RTOs, who as regional entities can provide a similar function to their stakeholders.</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CB0E0A">
        <w:trPr>
          <w:trHeight w:val="125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4-5</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Under FERC Order No. 698, </w:t>
            </w:r>
            <w:r>
              <w:rPr>
                <w:rFonts w:ascii="Times New Roman" w:eastAsia="Times New Roman" w:hAnsi="Times New Roman" w:cs="Times New Roman"/>
                <w:color w:val="000000"/>
                <w:sz w:val="20"/>
                <w:szCs w:val="20"/>
              </w:rPr>
              <w:t xml:space="preserve">mechanisms are in place to provide information between the pipelines and gas operations group of the generators.  Additional information needed is managed on an informal basis.  It may be that a more formal structure would be advisable on the state of the </w:t>
            </w:r>
            <w:r>
              <w:rPr>
                <w:rFonts w:ascii="Times New Roman" w:eastAsia="Times New Roman" w:hAnsi="Times New Roman" w:cs="Times New Roman"/>
                <w:color w:val="000000"/>
                <w:sz w:val="20"/>
                <w:szCs w:val="20"/>
              </w:rPr>
              <w:t>electric system and the availability of gas from the pipelines.  On peak days, notifications are sent when there are issues.  It may be reasonable to provide additional structure on the communications. (Referenced also in item no. 3-8)</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With an increased focus on safety and integrity management issues in both natural gas and electric markets, as infrastructure ages there may be an increase in the number of planned outages due to maintenance, which emphasizes the importance of communicatio</w:t>
            </w:r>
            <w:r>
              <w:rPr>
                <w:rFonts w:ascii="Times New Roman" w:eastAsia="Times New Roman" w:hAnsi="Times New Roman" w:cs="Times New Roman"/>
                <w:color w:val="000000"/>
                <w:sz w:val="20"/>
                <w:szCs w:val="20"/>
              </w:rPr>
              <w:t xml:space="preserve">n process in notifications to affected parties to ensure that appropriate planning occurs.   </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05" w:type="dxa"/>
            <w:tcBorders>
              <w:top w:val="single" w:sz="4" w:space="0" w:color="auto"/>
              <w:left w:val="nil"/>
              <w:bottom w:val="single" w:sz="4" w:space="0" w:color="auto"/>
              <w:right w:val="single" w:sz="4" w:space="0" w:color="auto"/>
            </w:tcBorders>
            <w:shd w:val="clear" w:color="auto" w:fill="auto"/>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r>
      <w:tr w:rsidR="00CB0E0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More formalized structure for communication should extend past pipeline and plant operators to any segment of the two markets that is impacted by </w:t>
            </w:r>
            <w:r>
              <w:rPr>
                <w:rFonts w:ascii="Times New Roman" w:eastAsia="Times New Roman" w:hAnsi="Times New Roman" w:cs="Times New Roman"/>
                <w:color w:val="000000"/>
                <w:sz w:val="20"/>
                <w:szCs w:val="20"/>
              </w:rPr>
              <w:t>or makes decisions that affects the interdependency of the two markets.  This broader accessibility is tempered by the protection of and limited access to commercially or operationally sensitive data.</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CB0E0A">
        <w:trPr>
          <w:trHeight w:val="53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Communications protocols may reflect the</w:t>
            </w:r>
            <w:r>
              <w:rPr>
                <w:rFonts w:ascii="Times New Roman" w:eastAsia="Times New Roman" w:hAnsi="Times New Roman" w:cs="Times New Roman"/>
                <w:color w:val="000000"/>
                <w:sz w:val="20"/>
                <w:szCs w:val="20"/>
              </w:rPr>
              <w:t xml:space="preserve"> technology that was common when the protocols were adopted such that both now need updating in order to support provision of greater flexibility.</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0228AE">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CB0E0A">
        <w:trPr>
          <w:trHeight w:val="35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586" w:type="dxa"/>
            <w:tcBorders>
              <w:top w:val="single" w:sz="4" w:space="0" w:color="auto"/>
              <w:left w:val="nil"/>
              <w:bottom w:val="single" w:sz="4" w:space="0" w:color="auto"/>
              <w:right w:val="single" w:sz="4" w:space="0" w:color="auto"/>
            </w:tcBorders>
            <w:shd w:val="clear" w:color="auto" w:fill="auto"/>
            <w:hideMark/>
          </w:tcPr>
          <w:p w:rsidR="00CB0E0A" w:rsidRDefault="000228A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CB0E0A" w:rsidRDefault="00CB0E0A">
            <w:pPr>
              <w:spacing w:before="120" w:after="120" w:line="240" w:lineRule="auto"/>
              <w:jc w:val="center"/>
              <w:rPr>
                <w:rFonts w:ascii="Times New Roman" w:eastAsia="Times New Roman" w:hAnsi="Times New Roman" w:cs="Times New Roman"/>
                <w:color w:val="000000"/>
                <w:sz w:val="20"/>
                <w:szCs w:val="20"/>
              </w:rPr>
            </w:pPr>
          </w:p>
        </w:tc>
      </w:tr>
    </w:tbl>
    <w:p w:rsidR="00CB0E0A" w:rsidRDefault="00CB0E0A">
      <w:pPr>
        <w:sectPr w:rsidR="00CB0E0A">
          <w:pgSz w:w="15840" w:h="12240" w:orient="landscape"/>
          <w:pgMar w:top="720" w:right="720" w:bottom="720" w:left="720" w:header="720" w:footer="720" w:gutter="0"/>
          <w:cols w:space="720"/>
          <w:docGrid w:linePitch="360"/>
        </w:sectPr>
      </w:pPr>
    </w:p>
    <w:p w:rsidR="00CB0E0A" w:rsidRDefault="000228AE">
      <w:r>
        <w:rPr>
          <w:noProof/>
        </w:rPr>
        <w:lastRenderedPageBreak/>
        <w:drawing>
          <wp:inline distT="0" distB="0" distL="0" distR="0">
            <wp:extent cx="9067800" cy="48863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0E0A" w:rsidRDefault="00CB0E0A"/>
    <w:p w:rsidR="00CB0E0A" w:rsidRDefault="00CB0E0A">
      <w:pPr>
        <w:sectPr w:rsidR="00CB0E0A">
          <w:pgSz w:w="15840" w:h="12240" w:orient="landscape"/>
          <w:pgMar w:top="720" w:right="720" w:bottom="720" w:left="720" w:header="720" w:footer="720" w:gutter="0"/>
          <w:cols w:space="720"/>
          <w:docGrid w:linePitch="360"/>
        </w:sectPr>
      </w:pPr>
    </w:p>
    <w:p w:rsidR="00CB0E0A" w:rsidRDefault="000228AE">
      <w:r>
        <w:rPr>
          <w:noProof/>
        </w:rPr>
        <w:lastRenderedPageBreak/>
        <w:drawing>
          <wp:inline distT="0" distB="0" distL="0" distR="0">
            <wp:extent cx="9086850" cy="48863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0E0A" w:rsidRDefault="00CB0E0A"/>
    <w:p w:rsidR="00CB0E0A" w:rsidRDefault="00CB0E0A">
      <w:pPr>
        <w:sectPr w:rsidR="00CB0E0A">
          <w:pgSz w:w="15840" w:h="12240" w:orient="landscape"/>
          <w:pgMar w:top="720" w:right="720" w:bottom="720" w:left="720" w:header="720" w:footer="720" w:gutter="0"/>
          <w:cols w:space="720"/>
          <w:docGrid w:linePitch="360"/>
        </w:sectPr>
      </w:pPr>
    </w:p>
    <w:p w:rsidR="00CB0E0A" w:rsidRDefault="000228AE">
      <w:r>
        <w:rPr>
          <w:noProof/>
        </w:rPr>
        <w:lastRenderedPageBreak/>
        <w:drawing>
          <wp:inline distT="0" distB="0" distL="0" distR="0">
            <wp:extent cx="9096375" cy="48863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B0E0A" w:rsidRDefault="00CB0E0A"/>
    <w:p w:rsidR="00CB0E0A" w:rsidRDefault="00CB0E0A">
      <w:pPr>
        <w:sectPr w:rsidR="00CB0E0A">
          <w:pgSz w:w="15840" w:h="12240" w:orient="landscape"/>
          <w:pgMar w:top="720" w:right="720" w:bottom="720" w:left="720" w:header="720" w:footer="720" w:gutter="0"/>
          <w:cols w:space="720"/>
          <w:docGrid w:linePitch="360"/>
        </w:sectPr>
      </w:pPr>
    </w:p>
    <w:p w:rsidR="00CB0E0A" w:rsidRDefault="000228AE">
      <w:r>
        <w:rPr>
          <w:noProof/>
        </w:rPr>
        <w:lastRenderedPageBreak/>
        <w:drawing>
          <wp:inline distT="0" distB="0" distL="0" distR="0">
            <wp:extent cx="9077325" cy="4867275"/>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B0E0A" w:rsidRDefault="00CB0E0A"/>
    <w:p w:rsidR="00CB0E0A" w:rsidRDefault="00CB0E0A">
      <w:pPr>
        <w:sectPr w:rsidR="00CB0E0A">
          <w:pgSz w:w="15840" w:h="12240" w:orient="landscape"/>
          <w:pgMar w:top="720" w:right="720" w:bottom="720" w:left="720" w:header="720" w:footer="720" w:gutter="0"/>
          <w:cols w:space="720"/>
          <w:docGrid w:linePitch="360"/>
        </w:sectPr>
      </w:pPr>
    </w:p>
    <w:p w:rsidR="00CB0E0A" w:rsidRDefault="000228AE">
      <w:r>
        <w:rPr>
          <w:noProof/>
        </w:rPr>
        <w:lastRenderedPageBreak/>
        <w:drawing>
          <wp:inline distT="0" distB="0" distL="0" distR="0">
            <wp:extent cx="9067800" cy="489585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B0E0A" w:rsidRDefault="00CB0E0A"/>
    <w:sectPr w:rsidR="00CB0E0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8AE" w:rsidRDefault="000228AE">
      <w:pPr>
        <w:spacing w:after="0" w:line="240" w:lineRule="auto"/>
      </w:pPr>
      <w:r>
        <w:separator/>
      </w:r>
    </w:p>
  </w:endnote>
  <w:endnote w:type="continuationSeparator" w:id="0">
    <w:p w:rsidR="000228AE" w:rsidRDefault="0002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80F" w:rsidRDefault="009E3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0A" w:rsidRDefault="000228AE">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GEH Survey</w:t>
    </w:r>
    <w:r w:rsidR="009E380F">
      <w:rPr>
        <w:rFonts w:ascii="Times New Roman" w:hAnsi="Times New Roman" w:cs="Times New Roman"/>
        <w:sz w:val="20"/>
        <w:szCs w:val="20"/>
      </w:rPr>
      <w:t xml:space="preserve"> Results</w:t>
    </w:r>
    <w:bookmarkStart w:id="0" w:name="_GoBack"/>
    <w:bookmarkEnd w:id="0"/>
    <w:r>
      <w:rPr>
        <w:rFonts w:ascii="Times New Roman" w:hAnsi="Times New Roman" w:cs="Times New Roman"/>
        <w:sz w:val="20"/>
        <w:szCs w:val="20"/>
      </w:rPr>
      <w:t>, April 26, 2012</w:t>
    </w:r>
  </w:p>
  <w:p w:rsidR="00CB0E0A" w:rsidRDefault="000228AE">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9E380F">
      <w:rPr>
        <w:rFonts w:ascii="Times New Roman" w:hAnsi="Times New Roman" w:cs="Times New Roman"/>
        <w:noProof/>
        <w:sz w:val="20"/>
        <w:szCs w:val="20"/>
      </w:rPr>
      <w:t>1</w:t>
    </w:r>
    <w:r>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Pr>
        <w:rFonts w:ascii="Times New Roman" w:hAnsi="Times New Roman" w:cs="Times New Roman"/>
        <w:noProof/>
        <w:sz w:val="20"/>
        <w:szCs w:val="20"/>
      </w:rPr>
      <w:fldChar w:fldCharType="separate"/>
    </w:r>
    <w:r w:rsidR="009E380F">
      <w:rPr>
        <w:rFonts w:ascii="Times New Roman" w:hAnsi="Times New Roman" w:cs="Times New Roman"/>
        <w:noProof/>
        <w:sz w:val="20"/>
        <w:szCs w:val="20"/>
      </w:rPr>
      <w:t>17</w:t>
    </w:r>
    <w:r>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80F" w:rsidRDefault="009E3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8AE" w:rsidRDefault="000228AE">
      <w:pPr>
        <w:spacing w:after="0" w:line="240" w:lineRule="auto"/>
      </w:pPr>
      <w:r>
        <w:separator/>
      </w:r>
    </w:p>
  </w:footnote>
  <w:footnote w:type="continuationSeparator" w:id="0">
    <w:p w:rsidR="000228AE" w:rsidRDefault="00022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80F" w:rsidRDefault="009E3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0A" w:rsidRDefault="000228AE">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p>
  <w:p w:rsidR="00CB0E0A" w:rsidRDefault="00CB0E0A">
    <w:pPr>
      <w:pStyle w:val="Header"/>
      <w:tabs>
        <w:tab w:val="left" w:pos="1080"/>
      </w:tabs>
      <w:ind w:left="2160"/>
      <w:rPr>
        <w:rFonts w:ascii="Bookman Old Style" w:hAnsi="Bookman Old Style"/>
        <w:b/>
        <w:sz w:val="28"/>
      </w:rPr>
    </w:pPr>
  </w:p>
  <w:p w:rsidR="00CB0E0A" w:rsidRDefault="000228AE">
    <w:pPr>
      <w:pStyle w:val="Header"/>
      <w:tabs>
        <w:tab w:val="left" w:pos="1080"/>
      </w:tabs>
      <w:ind w:left="1800"/>
      <w:jc w:val="right"/>
      <w:rPr>
        <w:b/>
        <w:spacing w:val="20"/>
        <w:sz w:val="32"/>
      </w:rPr>
    </w:pPr>
    <w:r>
      <w:rPr>
        <w:b/>
        <w:spacing w:val="20"/>
        <w:sz w:val="32"/>
      </w:rPr>
      <w:t>North American Energy Standards Board</w:t>
    </w:r>
  </w:p>
  <w:p w:rsidR="00CB0E0A" w:rsidRDefault="000228AE">
    <w:pPr>
      <w:pStyle w:val="Header"/>
      <w:tabs>
        <w:tab w:val="left" w:pos="680"/>
        <w:tab w:val="right" w:pos="9810"/>
      </w:tabs>
      <w:spacing w:before="60"/>
      <w:ind w:left="1800"/>
      <w:jc w:val="right"/>
    </w:pPr>
    <w:r>
      <w:t>801 Travis, Suite 1675, Houston, Texas 77002</w:t>
    </w:r>
  </w:p>
  <w:p w:rsidR="00CB0E0A" w:rsidRDefault="000228AE">
    <w:pPr>
      <w:pStyle w:val="Header"/>
      <w:ind w:left="1800"/>
      <w:jc w:val="right"/>
      <w:rPr>
        <w:lang w:val="fr-FR"/>
      </w:rPr>
    </w:pPr>
    <w:r>
      <w:rPr>
        <w:lang w:val="fr-FR"/>
      </w:rPr>
      <w:t>Phone:  (713) 356-0060, Fax:  (713) 356-0067, E-mail: naesb@naesb.org</w:t>
    </w:r>
  </w:p>
  <w:p w:rsidR="00CB0E0A" w:rsidRDefault="000228AE">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CB0E0A" w:rsidRDefault="00CB0E0A">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80F" w:rsidRDefault="009E3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0A"/>
    <w:rsid w:val="000228AE"/>
    <w:rsid w:val="009E380F"/>
    <w:rsid w:val="00CB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link w:val="TitleChar"/>
    <w:qFormat/>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Pr>
      <w:rFonts w:ascii="Bookman Old Style" w:hAnsi="Bookman Old Style" w:cs="Times New Roman"/>
      <w:b/>
      <w:bCs/>
      <w:sz w:val="18"/>
      <w:szCs w:val="18"/>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link w:val="TitleChar"/>
    <w:qFormat/>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Pr>
      <w:rFonts w:ascii="Bookman Old Style" w:hAnsi="Bookman Old Style" w:cs="Times New Roman"/>
      <w:b/>
      <w:bCs/>
      <w:sz w:val="18"/>
      <w:szCs w:val="18"/>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499665229">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779951826">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69257329">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library.ferc.gov/idmws/file_list.asp?accession_num=20120315-3006" TargetMode="External"/><Relationship Id="rId10" Type="http://schemas.openxmlformats.org/officeDocument/2006/relationships/header" Target="header2.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3600" b="0">
                <a:latin typeface="+mn-lt"/>
              </a:rPr>
              <a:t>GEH Survey Totals </a:t>
            </a:r>
          </a:p>
        </c:rich>
      </c:tx>
      <c:overlay val="1"/>
    </c:title>
    <c:autoTitleDeleted val="0"/>
    <c:plotArea>
      <c:layout>
        <c:manualLayout>
          <c:layoutTarget val="inner"/>
          <c:xMode val="edge"/>
          <c:yMode val="edge"/>
          <c:x val="4.901338396530254E-2"/>
          <c:y val="0.17059800395320956"/>
          <c:w val="0.91573455445728869"/>
          <c:h val="0.68144219241113402"/>
        </c:manualLayout>
      </c:layout>
      <c:barChart>
        <c:barDir val="col"/>
        <c:grouping val="clustered"/>
        <c:varyColors val="0"/>
        <c:ser>
          <c:idx val="1"/>
          <c:order val="0"/>
          <c:tx>
            <c:strRef>
              <c:f>Totals!$D$2</c:f>
              <c:strCache>
                <c:ptCount val="1"/>
                <c:pt idx="0">
                  <c:v>Policy</c:v>
                </c:pt>
              </c:strCache>
            </c:strRef>
          </c:tx>
          <c:invertIfNegative val="0"/>
          <c:dLbls>
            <c:dLbl>
              <c:idx val="0"/>
              <c:layout>
                <c:manualLayout>
                  <c:x val="2.6397586214685463E-17"/>
                  <c:y val="9.2592592592593073E-2"/>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Totals!$D$57</c:f>
              <c:numCache>
                <c:formatCode>General</c:formatCode>
                <c:ptCount val="1"/>
                <c:pt idx="0">
                  <c:v>583</c:v>
                </c:pt>
              </c:numCache>
            </c:numRef>
          </c:val>
        </c:ser>
        <c:ser>
          <c:idx val="0"/>
          <c:order val="1"/>
          <c:tx>
            <c:strRef>
              <c:f>Totals!$E$58</c:f>
              <c:strCache>
                <c:ptCount val="1"/>
                <c:pt idx="0">
                  <c:v>Commercial</c:v>
                </c:pt>
              </c:strCache>
            </c:strRef>
          </c:tx>
          <c:invertIfNegative val="0"/>
          <c:dLbls>
            <c:dLbl>
              <c:idx val="0"/>
              <c:layout>
                <c:manualLayout>
                  <c:x val="0"/>
                  <c:y val="9.7736625514403597E-2"/>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Totals!$E$57</c:f>
              <c:numCache>
                <c:formatCode>General</c:formatCode>
                <c:ptCount val="1"/>
                <c:pt idx="0">
                  <c:v>489</c:v>
                </c:pt>
              </c:numCache>
            </c:numRef>
          </c:val>
        </c:ser>
        <c:ser>
          <c:idx val="2"/>
          <c:order val="2"/>
          <c:tx>
            <c:strRef>
              <c:f>Totals!$F$2</c:f>
              <c:strCache>
                <c:ptCount val="1"/>
                <c:pt idx="0">
                  <c:v>Standards</c:v>
                </c:pt>
              </c:strCache>
            </c:strRef>
          </c:tx>
          <c:invertIfNegative val="0"/>
          <c:dLbls>
            <c:dLbl>
              <c:idx val="0"/>
              <c:layout>
                <c:manualLayout>
                  <c:x val="0"/>
                  <c:y val="0.10030864197530864"/>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Totals!$F$57</c:f>
              <c:numCache>
                <c:formatCode>General</c:formatCode>
                <c:ptCount val="1"/>
                <c:pt idx="0">
                  <c:v>619</c:v>
                </c:pt>
              </c:numCache>
            </c:numRef>
          </c:val>
        </c:ser>
        <c:ser>
          <c:idx val="3"/>
          <c:order val="3"/>
          <c:tx>
            <c:strRef>
              <c:f>Totals!$G$2</c:f>
              <c:strCache>
                <c:ptCount val="1"/>
                <c:pt idx="0">
                  <c:v>Comment</c:v>
                </c:pt>
              </c:strCache>
            </c:strRef>
          </c:tx>
          <c:invertIfNegative val="0"/>
          <c:dLbls>
            <c:dLbl>
              <c:idx val="0"/>
              <c:layout>
                <c:manualLayout>
                  <c:x val="0"/>
                  <c:y val="0.10545267489711957"/>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Totals!$G$57</c:f>
              <c:numCache>
                <c:formatCode>General</c:formatCode>
                <c:ptCount val="1"/>
                <c:pt idx="0">
                  <c:v>451</c:v>
                </c:pt>
              </c:numCache>
            </c:numRef>
          </c:val>
        </c:ser>
        <c:dLbls>
          <c:showLegendKey val="0"/>
          <c:showVal val="0"/>
          <c:showCatName val="0"/>
          <c:showSerName val="0"/>
          <c:showPercent val="0"/>
          <c:showBubbleSize val="0"/>
        </c:dLbls>
        <c:gapWidth val="150"/>
        <c:axId val="71525504"/>
        <c:axId val="71527040"/>
      </c:barChart>
      <c:catAx>
        <c:axId val="71525504"/>
        <c:scaling>
          <c:orientation val="minMax"/>
        </c:scaling>
        <c:delete val="0"/>
        <c:axPos val="b"/>
        <c:numFmt formatCode="General" sourceLinked="1"/>
        <c:majorTickMark val="none"/>
        <c:minorTickMark val="none"/>
        <c:tickLblPos val="none"/>
        <c:crossAx val="71527040"/>
        <c:crosses val="autoZero"/>
        <c:auto val="1"/>
        <c:lblAlgn val="ctr"/>
        <c:lblOffset val="100"/>
        <c:noMultiLvlLbl val="0"/>
      </c:catAx>
      <c:valAx>
        <c:axId val="71527040"/>
        <c:scaling>
          <c:orientation val="minMax"/>
        </c:scaling>
        <c:delete val="0"/>
        <c:axPos val="l"/>
        <c:majorGridlines/>
        <c:numFmt formatCode="General" sourceLinked="1"/>
        <c:majorTickMark val="none"/>
        <c:minorTickMark val="none"/>
        <c:tickLblPos val="nextTo"/>
        <c:crossAx val="71525504"/>
        <c:crosses val="autoZero"/>
        <c:crossBetween val="between"/>
      </c:valAx>
    </c:plotArea>
    <c:legend>
      <c:legendPos val="b"/>
      <c:layout>
        <c:manualLayout>
          <c:xMode val="edge"/>
          <c:yMode val="edge"/>
          <c:x val="0.17698068365965247"/>
          <c:y val="0.89404588315349731"/>
          <c:w val="0.66331713897350264"/>
          <c:h val="6.9873991445514053E-2"/>
        </c:manualLayout>
      </c:layout>
      <c:overlay val="0"/>
      <c:txPr>
        <a:bodyPr/>
        <a:lstStyle/>
        <a:p>
          <a:pPr>
            <a:defRPr sz="20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2000" b="0" cap="small"/>
              <a:t>1. </a:t>
            </a:r>
            <a:r>
              <a:rPr lang="en-US" sz="2000" b="0" cap="small" baseline="0"/>
              <a:t> </a:t>
            </a:r>
            <a:r>
              <a:rPr lang="en-US" sz="2000" b="0" cap="small"/>
              <a:t>Scheduling and other inconsistencies in the interactions of the two markets impact the effectiveness of providing gas and electric service.</a:t>
            </a:r>
          </a:p>
        </c:rich>
      </c:tx>
      <c:layout>
        <c:manualLayout>
          <c:xMode val="edge"/>
          <c:yMode val="edge"/>
          <c:x val="4.6912455092049714E-2"/>
          <c:y val="1.6304347826086956E-2"/>
        </c:manualLayout>
      </c:layout>
      <c:overlay val="1"/>
    </c:title>
    <c:autoTitleDeleted val="0"/>
    <c:plotArea>
      <c:layout>
        <c:manualLayout>
          <c:layoutTarget val="inner"/>
          <c:xMode val="edge"/>
          <c:yMode val="edge"/>
          <c:x val="4.9013383965302464E-2"/>
          <c:y val="0.28768724561603715"/>
          <c:w val="0.91573455445728869"/>
          <c:h val="0.65180151394119634"/>
        </c:manualLayout>
      </c:layout>
      <c:barChart>
        <c:barDir val="col"/>
        <c:grouping val="clustered"/>
        <c:varyColors val="0"/>
        <c:ser>
          <c:idx val="1"/>
          <c:order val="0"/>
          <c:tx>
            <c:strRef>
              <c:f>Totals!$D$2</c:f>
              <c:strCache>
                <c:ptCount val="1"/>
                <c:pt idx="0">
                  <c:v>Policy</c:v>
                </c:pt>
              </c:strCache>
            </c:strRef>
          </c:tx>
          <c:invertIfNegative val="0"/>
          <c:val>
            <c:numRef>
              <c:f>Totals!$D$4:$D$16</c:f>
              <c:numCache>
                <c:formatCode>General</c:formatCode>
                <c:ptCount val="13"/>
                <c:pt idx="0">
                  <c:v>10</c:v>
                </c:pt>
                <c:pt idx="1">
                  <c:v>15</c:v>
                </c:pt>
                <c:pt idx="2">
                  <c:v>12</c:v>
                </c:pt>
                <c:pt idx="3">
                  <c:v>9</c:v>
                </c:pt>
                <c:pt idx="4">
                  <c:v>22</c:v>
                </c:pt>
                <c:pt idx="5">
                  <c:v>15</c:v>
                </c:pt>
                <c:pt idx="6">
                  <c:v>5</c:v>
                </c:pt>
                <c:pt idx="7">
                  <c:v>13</c:v>
                </c:pt>
                <c:pt idx="8">
                  <c:v>8</c:v>
                </c:pt>
                <c:pt idx="9">
                  <c:v>18</c:v>
                </c:pt>
                <c:pt idx="10">
                  <c:v>16</c:v>
                </c:pt>
                <c:pt idx="11">
                  <c:v>17</c:v>
                </c:pt>
              </c:numCache>
            </c:numRef>
          </c:val>
        </c:ser>
        <c:ser>
          <c:idx val="0"/>
          <c:order val="1"/>
          <c:tx>
            <c:strRef>
              <c:f>Totals!$E$2</c:f>
              <c:strCache>
                <c:ptCount val="1"/>
                <c:pt idx="0">
                  <c:v>Commercial</c:v>
                </c:pt>
              </c:strCache>
            </c:strRef>
          </c:tx>
          <c:invertIfNegative val="0"/>
          <c:val>
            <c:numRef>
              <c:f>Totals!$E$4:$E$16</c:f>
              <c:numCache>
                <c:formatCode>General</c:formatCode>
                <c:ptCount val="13"/>
                <c:pt idx="0">
                  <c:v>14</c:v>
                </c:pt>
                <c:pt idx="1">
                  <c:v>19</c:v>
                </c:pt>
                <c:pt idx="2">
                  <c:v>13</c:v>
                </c:pt>
                <c:pt idx="3">
                  <c:v>12</c:v>
                </c:pt>
                <c:pt idx="4">
                  <c:v>7</c:v>
                </c:pt>
                <c:pt idx="5">
                  <c:v>9</c:v>
                </c:pt>
                <c:pt idx="6">
                  <c:v>8</c:v>
                </c:pt>
                <c:pt idx="7">
                  <c:v>8</c:v>
                </c:pt>
                <c:pt idx="8">
                  <c:v>5</c:v>
                </c:pt>
                <c:pt idx="9">
                  <c:v>9</c:v>
                </c:pt>
                <c:pt idx="10">
                  <c:v>14</c:v>
                </c:pt>
                <c:pt idx="11">
                  <c:v>5</c:v>
                </c:pt>
              </c:numCache>
            </c:numRef>
          </c:val>
        </c:ser>
        <c:ser>
          <c:idx val="2"/>
          <c:order val="2"/>
          <c:tx>
            <c:strRef>
              <c:f>Totals!$F$2</c:f>
              <c:strCache>
                <c:ptCount val="1"/>
                <c:pt idx="0">
                  <c:v>Standards</c:v>
                </c:pt>
              </c:strCache>
            </c:strRef>
          </c:tx>
          <c:invertIfNegative val="0"/>
          <c:val>
            <c:numRef>
              <c:f>Totals!$F$4:$F$16</c:f>
              <c:numCache>
                <c:formatCode>General</c:formatCode>
                <c:ptCount val="13"/>
                <c:pt idx="0">
                  <c:v>22</c:v>
                </c:pt>
                <c:pt idx="1">
                  <c:v>17</c:v>
                </c:pt>
                <c:pt idx="2">
                  <c:v>12</c:v>
                </c:pt>
                <c:pt idx="3">
                  <c:v>21</c:v>
                </c:pt>
                <c:pt idx="4">
                  <c:v>24</c:v>
                </c:pt>
                <c:pt idx="5">
                  <c:v>23</c:v>
                </c:pt>
                <c:pt idx="6">
                  <c:v>21</c:v>
                </c:pt>
                <c:pt idx="7">
                  <c:v>24</c:v>
                </c:pt>
                <c:pt idx="8">
                  <c:v>2</c:v>
                </c:pt>
                <c:pt idx="9">
                  <c:v>24</c:v>
                </c:pt>
                <c:pt idx="10">
                  <c:v>14</c:v>
                </c:pt>
                <c:pt idx="11">
                  <c:v>14</c:v>
                </c:pt>
              </c:numCache>
            </c:numRef>
          </c:val>
        </c:ser>
        <c:ser>
          <c:idx val="3"/>
          <c:order val="3"/>
          <c:tx>
            <c:strRef>
              <c:f>Totals!$G$2</c:f>
              <c:strCache>
                <c:ptCount val="1"/>
                <c:pt idx="0">
                  <c:v>Comment</c:v>
                </c:pt>
              </c:strCache>
            </c:strRef>
          </c:tx>
          <c:invertIfNegative val="0"/>
          <c:val>
            <c:numRef>
              <c:f>Totals!$G$4:$G$16</c:f>
              <c:numCache>
                <c:formatCode>General</c:formatCode>
                <c:ptCount val="13"/>
                <c:pt idx="0">
                  <c:v>5</c:v>
                </c:pt>
                <c:pt idx="1">
                  <c:v>3</c:v>
                </c:pt>
                <c:pt idx="2">
                  <c:v>12</c:v>
                </c:pt>
                <c:pt idx="3">
                  <c:v>11</c:v>
                </c:pt>
                <c:pt idx="4">
                  <c:v>2</c:v>
                </c:pt>
                <c:pt idx="5">
                  <c:v>5</c:v>
                </c:pt>
                <c:pt idx="6">
                  <c:v>10</c:v>
                </c:pt>
                <c:pt idx="7">
                  <c:v>9</c:v>
                </c:pt>
                <c:pt idx="8">
                  <c:v>23</c:v>
                </c:pt>
                <c:pt idx="9">
                  <c:v>5</c:v>
                </c:pt>
                <c:pt idx="10">
                  <c:v>12</c:v>
                </c:pt>
                <c:pt idx="11">
                  <c:v>11</c:v>
                </c:pt>
              </c:numCache>
            </c:numRef>
          </c:val>
        </c:ser>
        <c:dLbls>
          <c:showLegendKey val="0"/>
          <c:showVal val="0"/>
          <c:showCatName val="0"/>
          <c:showSerName val="0"/>
          <c:showPercent val="0"/>
          <c:showBubbleSize val="0"/>
        </c:dLbls>
        <c:gapWidth val="150"/>
        <c:axId val="71554176"/>
        <c:axId val="71555712"/>
      </c:barChart>
      <c:catAx>
        <c:axId val="71554176"/>
        <c:scaling>
          <c:orientation val="minMax"/>
        </c:scaling>
        <c:delete val="0"/>
        <c:axPos val="b"/>
        <c:numFmt formatCode="General" sourceLinked="1"/>
        <c:majorTickMark val="none"/>
        <c:minorTickMark val="none"/>
        <c:tickLblPos val="nextTo"/>
        <c:crossAx val="71555712"/>
        <c:crosses val="autoZero"/>
        <c:auto val="1"/>
        <c:lblAlgn val="ctr"/>
        <c:lblOffset val="100"/>
        <c:noMultiLvlLbl val="0"/>
      </c:catAx>
      <c:valAx>
        <c:axId val="71555712"/>
        <c:scaling>
          <c:orientation val="minMax"/>
        </c:scaling>
        <c:delete val="0"/>
        <c:axPos val="l"/>
        <c:majorGridlines/>
        <c:numFmt formatCode="General" sourceLinked="1"/>
        <c:majorTickMark val="none"/>
        <c:minorTickMark val="none"/>
        <c:tickLblPos val="nextTo"/>
        <c:crossAx val="71554176"/>
        <c:crosses val="autoZero"/>
        <c:crossBetween val="between"/>
      </c:valAx>
    </c:plotArea>
    <c:legend>
      <c:legendPos val="r"/>
      <c:layout>
        <c:manualLayout>
          <c:xMode val="edge"/>
          <c:yMode val="edge"/>
          <c:x val="0.85505526702779366"/>
          <c:y val="5.7570466735136522E-2"/>
          <c:w val="0.12414095046629858"/>
          <c:h val="0.174714138993496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2000" b="0" cap="small"/>
              <a:t>2.  Capacity issues including the availability and determination to use firm and interruptible capacity to support load requirements is a core issue in the interdependencies of the two markets, for both the day of and the day-ahead markets.</a:t>
            </a:r>
          </a:p>
        </c:rich>
      </c:tx>
      <c:layout>
        <c:manualLayout>
          <c:xMode val="edge"/>
          <c:yMode val="edge"/>
          <c:x val="4.5021202136966906E-2"/>
          <c:y val="1.8719806763285041E-2"/>
        </c:manualLayout>
      </c:layout>
      <c:overlay val="1"/>
    </c:title>
    <c:autoTitleDeleted val="0"/>
    <c:plotArea>
      <c:layout>
        <c:manualLayout>
          <c:layoutTarget val="inner"/>
          <c:xMode val="edge"/>
          <c:yMode val="edge"/>
          <c:x val="4.9013383965302484E-2"/>
          <c:y val="0.36015101373197916"/>
          <c:w val="0.91573455445728869"/>
          <c:h val="0.57933774582524633"/>
        </c:manualLayout>
      </c:layout>
      <c:barChart>
        <c:barDir val="col"/>
        <c:grouping val="clustered"/>
        <c:varyColors val="0"/>
        <c:ser>
          <c:idx val="1"/>
          <c:order val="0"/>
          <c:tx>
            <c:strRef>
              <c:f>Totals!$D$2</c:f>
              <c:strCache>
                <c:ptCount val="1"/>
                <c:pt idx="0">
                  <c:v>Policy</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Totals!$D$18:$D$35</c:f>
              <c:numCache>
                <c:formatCode>General</c:formatCode>
                <c:ptCount val="18"/>
                <c:pt idx="0">
                  <c:v>7</c:v>
                </c:pt>
                <c:pt idx="1">
                  <c:v>12</c:v>
                </c:pt>
                <c:pt idx="2">
                  <c:v>25</c:v>
                </c:pt>
                <c:pt idx="3">
                  <c:v>5</c:v>
                </c:pt>
                <c:pt idx="4">
                  <c:v>26</c:v>
                </c:pt>
                <c:pt idx="5">
                  <c:v>25</c:v>
                </c:pt>
                <c:pt idx="7">
                  <c:v>5</c:v>
                </c:pt>
                <c:pt idx="8">
                  <c:v>10</c:v>
                </c:pt>
                <c:pt idx="9">
                  <c:v>7</c:v>
                </c:pt>
                <c:pt idx="11">
                  <c:v>12</c:v>
                </c:pt>
                <c:pt idx="12">
                  <c:v>14</c:v>
                </c:pt>
                <c:pt idx="13">
                  <c:v>11</c:v>
                </c:pt>
                <c:pt idx="14">
                  <c:v>8</c:v>
                </c:pt>
                <c:pt idx="15">
                  <c:v>20</c:v>
                </c:pt>
                <c:pt idx="16">
                  <c:v>14</c:v>
                </c:pt>
                <c:pt idx="17">
                  <c:v>14</c:v>
                </c:pt>
              </c:numCache>
            </c:numRef>
          </c:val>
        </c:ser>
        <c:ser>
          <c:idx val="0"/>
          <c:order val="1"/>
          <c:tx>
            <c:strRef>
              <c:f>Totals!$E$2</c:f>
              <c:strCache>
                <c:ptCount val="1"/>
                <c:pt idx="0">
                  <c:v>Commercial</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Totals!$E$18:$E$35</c:f>
              <c:numCache>
                <c:formatCode>General</c:formatCode>
                <c:ptCount val="18"/>
                <c:pt idx="0">
                  <c:v>12</c:v>
                </c:pt>
                <c:pt idx="1">
                  <c:v>12</c:v>
                </c:pt>
                <c:pt idx="2">
                  <c:v>21</c:v>
                </c:pt>
                <c:pt idx="3">
                  <c:v>13</c:v>
                </c:pt>
                <c:pt idx="4">
                  <c:v>6</c:v>
                </c:pt>
                <c:pt idx="5">
                  <c:v>23</c:v>
                </c:pt>
                <c:pt idx="7">
                  <c:v>15</c:v>
                </c:pt>
                <c:pt idx="8">
                  <c:v>22</c:v>
                </c:pt>
                <c:pt idx="9">
                  <c:v>22</c:v>
                </c:pt>
                <c:pt idx="11">
                  <c:v>9</c:v>
                </c:pt>
                <c:pt idx="12">
                  <c:v>13</c:v>
                </c:pt>
                <c:pt idx="13">
                  <c:v>13</c:v>
                </c:pt>
                <c:pt idx="14">
                  <c:v>11</c:v>
                </c:pt>
                <c:pt idx="15">
                  <c:v>19</c:v>
                </c:pt>
                <c:pt idx="16">
                  <c:v>18</c:v>
                </c:pt>
                <c:pt idx="17">
                  <c:v>20</c:v>
                </c:pt>
              </c:numCache>
            </c:numRef>
          </c:val>
        </c:ser>
        <c:ser>
          <c:idx val="2"/>
          <c:order val="2"/>
          <c:tx>
            <c:strRef>
              <c:f>Totals!$F$2</c:f>
              <c:strCache>
                <c:ptCount val="1"/>
                <c:pt idx="0">
                  <c:v>Standards</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Totals!$F$18:$F$35</c:f>
              <c:numCache>
                <c:formatCode>General</c:formatCode>
                <c:ptCount val="18"/>
                <c:pt idx="0">
                  <c:v>7</c:v>
                </c:pt>
                <c:pt idx="1">
                  <c:v>8</c:v>
                </c:pt>
                <c:pt idx="2">
                  <c:v>3</c:v>
                </c:pt>
                <c:pt idx="3">
                  <c:v>3</c:v>
                </c:pt>
                <c:pt idx="4">
                  <c:v>5</c:v>
                </c:pt>
                <c:pt idx="5">
                  <c:v>15</c:v>
                </c:pt>
                <c:pt idx="7">
                  <c:v>8</c:v>
                </c:pt>
                <c:pt idx="8">
                  <c:v>7</c:v>
                </c:pt>
                <c:pt idx="9">
                  <c:v>1</c:v>
                </c:pt>
                <c:pt idx="11">
                  <c:v>3</c:v>
                </c:pt>
                <c:pt idx="12">
                  <c:v>7</c:v>
                </c:pt>
                <c:pt idx="13">
                  <c:v>11</c:v>
                </c:pt>
                <c:pt idx="14">
                  <c:v>31</c:v>
                </c:pt>
                <c:pt idx="15">
                  <c:v>2</c:v>
                </c:pt>
                <c:pt idx="16">
                  <c:v>12</c:v>
                </c:pt>
                <c:pt idx="17">
                  <c:v>2</c:v>
                </c:pt>
              </c:numCache>
            </c:numRef>
          </c:val>
        </c:ser>
        <c:ser>
          <c:idx val="3"/>
          <c:order val="3"/>
          <c:tx>
            <c:strRef>
              <c:f>Totals!$G$2</c:f>
              <c:strCache>
                <c:ptCount val="1"/>
                <c:pt idx="0">
                  <c:v>Comment</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Totals!$G$18:$G$35</c:f>
              <c:numCache>
                <c:formatCode>General</c:formatCode>
                <c:ptCount val="18"/>
                <c:pt idx="0">
                  <c:v>22</c:v>
                </c:pt>
                <c:pt idx="1">
                  <c:v>18</c:v>
                </c:pt>
                <c:pt idx="2">
                  <c:v>8</c:v>
                </c:pt>
                <c:pt idx="3">
                  <c:v>23</c:v>
                </c:pt>
                <c:pt idx="4">
                  <c:v>12</c:v>
                </c:pt>
                <c:pt idx="5">
                  <c:v>3</c:v>
                </c:pt>
                <c:pt idx="7">
                  <c:v>18</c:v>
                </c:pt>
                <c:pt idx="8">
                  <c:v>13</c:v>
                </c:pt>
                <c:pt idx="9">
                  <c:v>16</c:v>
                </c:pt>
                <c:pt idx="11">
                  <c:v>17</c:v>
                </c:pt>
                <c:pt idx="12">
                  <c:v>14</c:v>
                </c:pt>
                <c:pt idx="13">
                  <c:v>14</c:v>
                </c:pt>
                <c:pt idx="14">
                  <c:v>0</c:v>
                </c:pt>
                <c:pt idx="15">
                  <c:v>7</c:v>
                </c:pt>
                <c:pt idx="16">
                  <c:v>13</c:v>
                </c:pt>
                <c:pt idx="17">
                  <c:v>14</c:v>
                </c:pt>
              </c:numCache>
            </c:numRef>
          </c:val>
        </c:ser>
        <c:dLbls>
          <c:showLegendKey val="0"/>
          <c:showVal val="0"/>
          <c:showCatName val="0"/>
          <c:showSerName val="0"/>
          <c:showPercent val="0"/>
          <c:showBubbleSize val="0"/>
        </c:dLbls>
        <c:gapWidth val="150"/>
        <c:axId val="90788992"/>
        <c:axId val="90790528"/>
      </c:barChart>
      <c:catAx>
        <c:axId val="90788992"/>
        <c:scaling>
          <c:orientation val="minMax"/>
        </c:scaling>
        <c:delete val="0"/>
        <c:axPos val="b"/>
        <c:numFmt formatCode="General" sourceLinked="1"/>
        <c:majorTickMark val="none"/>
        <c:minorTickMark val="none"/>
        <c:tickLblPos val="nextTo"/>
        <c:crossAx val="90790528"/>
        <c:crosses val="autoZero"/>
        <c:auto val="1"/>
        <c:lblAlgn val="ctr"/>
        <c:lblOffset val="100"/>
        <c:noMultiLvlLbl val="0"/>
      </c:catAx>
      <c:valAx>
        <c:axId val="90790528"/>
        <c:scaling>
          <c:orientation val="minMax"/>
        </c:scaling>
        <c:delete val="0"/>
        <c:axPos val="l"/>
        <c:majorGridlines/>
        <c:numFmt formatCode="General" sourceLinked="1"/>
        <c:majorTickMark val="none"/>
        <c:minorTickMark val="none"/>
        <c:tickLblPos val="nextTo"/>
        <c:crossAx val="90788992"/>
        <c:crosses val="autoZero"/>
        <c:crossBetween val="between"/>
      </c:valAx>
    </c:plotArea>
    <c:legend>
      <c:legendPos val="r"/>
      <c:layout>
        <c:manualLayout>
          <c:xMode val="edge"/>
          <c:yMode val="edge"/>
          <c:x val="0.85505526702779389"/>
          <c:y val="5.7570466735136522E-2"/>
          <c:w val="9.2908036177006548E-2"/>
          <c:h val="0.174714138993496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2000" b="0">
                <a:latin typeface="+mn-lt"/>
              </a:rPr>
              <a:t>3. Curtailment policies and practices are components of the interdependency of the two markets that impacts harmonization.  Curtailment is interruption of service that has been scheduled.</a:t>
            </a:r>
          </a:p>
        </c:rich>
      </c:tx>
      <c:layout>
        <c:manualLayout>
          <c:xMode val="edge"/>
          <c:yMode val="edge"/>
          <c:x val="5.4929200728889779E-2"/>
          <c:y val="1.5821294077370762E-2"/>
        </c:manualLayout>
      </c:layout>
      <c:overlay val="1"/>
    </c:title>
    <c:autoTitleDeleted val="0"/>
    <c:plotArea>
      <c:layout>
        <c:manualLayout>
          <c:layoutTarget val="inner"/>
          <c:xMode val="edge"/>
          <c:yMode val="edge"/>
          <c:x val="4.9013383965302498E-2"/>
          <c:y val="0.32630560310396139"/>
          <c:w val="0.91573455445728869"/>
          <c:h val="0.6131831564532696"/>
        </c:manualLayout>
      </c:layout>
      <c:barChart>
        <c:barDir val="col"/>
        <c:grouping val="clustered"/>
        <c:varyColors val="0"/>
        <c:ser>
          <c:idx val="1"/>
          <c:order val="0"/>
          <c:tx>
            <c:strRef>
              <c:f>Totals!$D$2</c:f>
              <c:strCache>
                <c:ptCount val="1"/>
                <c:pt idx="0">
                  <c:v>Policy</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Totals!$D$37:$D$44</c:f>
              <c:numCache>
                <c:formatCode>General</c:formatCode>
                <c:ptCount val="8"/>
                <c:pt idx="0">
                  <c:v>11</c:v>
                </c:pt>
                <c:pt idx="1">
                  <c:v>10</c:v>
                </c:pt>
                <c:pt idx="2">
                  <c:v>19</c:v>
                </c:pt>
                <c:pt idx="3">
                  <c:v>20</c:v>
                </c:pt>
                <c:pt idx="4">
                  <c:v>14</c:v>
                </c:pt>
                <c:pt idx="5">
                  <c:v>16</c:v>
                </c:pt>
                <c:pt idx="6">
                  <c:v>30</c:v>
                </c:pt>
              </c:numCache>
            </c:numRef>
          </c:val>
        </c:ser>
        <c:ser>
          <c:idx val="0"/>
          <c:order val="1"/>
          <c:tx>
            <c:strRef>
              <c:f>Totals!$E$2</c:f>
              <c:strCache>
                <c:ptCount val="1"/>
                <c:pt idx="0">
                  <c:v>Commercial</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Totals!$E$37:$E$44</c:f>
              <c:numCache>
                <c:formatCode>General</c:formatCode>
                <c:ptCount val="8"/>
                <c:pt idx="0">
                  <c:v>17</c:v>
                </c:pt>
                <c:pt idx="1">
                  <c:v>17</c:v>
                </c:pt>
                <c:pt idx="2">
                  <c:v>5</c:v>
                </c:pt>
                <c:pt idx="3">
                  <c:v>9</c:v>
                </c:pt>
                <c:pt idx="4">
                  <c:v>11</c:v>
                </c:pt>
                <c:pt idx="5">
                  <c:v>11</c:v>
                </c:pt>
                <c:pt idx="6">
                  <c:v>6</c:v>
                </c:pt>
              </c:numCache>
            </c:numRef>
          </c:val>
        </c:ser>
        <c:ser>
          <c:idx val="2"/>
          <c:order val="2"/>
          <c:tx>
            <c:strRef>
              <c:f>Totals!$F$2</c:f>
              <c:strCache>
                <c:ptCount val="1"/>
                <c:pt idx="0">
                  <c:v>Standards</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Totals!$F$37:$F$44</c:f>
              <c:numCache>
                <c:formatCode>General</c:formatCode>
                <c:ptCount val="8"/>
                <c:pt idx="0">
                  <c:v>7</c:v>
                </c:pt>
                <c:pt idx="1">
                  <c:v>5</c:v>
                </c:pt>
                <c:pt idx="2">
                  <c:v>26</c:v>
                </c:pt>
                <c:pt idx="3">
                  <c:v>21</c:v>
                </c:pt>
                <c:pt idx="4">
                  <c:v>22</c:v>
                </c:pt>
                <c:pt idx="5">
                  <c:v>8</c:v>
                </c:pt>
                <c:pt idx="6">
                  <c:v>5</c:v>
                </c:pt>
              </c:numCache>
            </c:numRef>
          </c:val>
        </c:ser>
        <c:ser>
          <c:idx val="3"/>
          <c:order val="3"/>
          <c:tx>
            <c:strRef>
              <c:f>Totals!$G$2</c:f>
              <c:strCache>
                <c:ptCount val="1"/>
                <c:pt idx="0">
                  <c:v>Comment</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Totals!$G$37:$G$44</c:f>
              <c:numCache>
                <c:formatCode>General</c:formatCode>
                <c:ptCount val="8"/>
                <c:pt idx="0">
                  <c:v>11</c:v>
                </c:pt>
                <c:pt idx="1">
                  <c:v>13</c:v>
                </c:pt>
                <c:pt idx="2">
                  <c:v>4</c:v>
                </c:pt>
                <c:pt idx="3">
                  <c:v>5</c:v>
                </c:pt>
                <c:pt idx="4">
                  <c:v>8</c:v>
                </c:pt>
                <c:pt idx="5">
                  <c:v>14</c:v>
                </c:pt>
                <c:pt idx="6">
                  <c:v>5</c:v>
                </c:pt>
              </c:numCache>
            </c:numRef>
          </c:val>
        </c:ser>
        <c:dLbls>
          <c:showLegendKey val="0"/>
          <c:showVal val="0"/>
          <c:showCatName val="0"/>
          <c:showSerName val="0"/>
          <c:showPercent val="0"/>
          <c:showBubbleSize val="0"/>
        </c:dLbls>
        <c:gapWidth val="150"/>
        <c:axId val="90818048"/>
        <c:axId val="90819584"/>
      </c:barChart>
      <c:catAx>
        <c:axId val="90818048"/>
        <c:scaling>
          <c:orientation val="minMax"/>
        </c:scaling>
        <c:delete val="0"/>
        <c:axPos val="b"/>
        <c:numFmt formatCode="General" sourceLinked="1"/>
        <c:majorTickMark val="none"/>
        <c:minorTickMark val="none"/>
        <c:tickLblPos val="nextTo"/>
        <c:crossAx val="90819584"/>
        <c:crosses val="autoZero"/>
        <c:auto val="1"/>
        <c:lblAlgn val="ctr"/>
        <c:lblOffset val="100"/>
        <c:noMultiLvlLbl val="0"/>
      </c:catAx>
      <c:valAx>
        <c:axId val="90819584"/>
        <c:scaling>
          <c:orientation val="minMax"/>
        </c:scaling>
        <c:delete val="0"/>
        <c:axPos val="l"/>
        <c:majorGridlines/>
        <c:numFmt formatCode="General" sourceLinked="1"/>
        <c:majorTickMark val="none"/>
        <c:minorTickMark val="none"/>
        <c:tickLblPos val="nextTo"/>
        <c:crossAx val="90818048"/>
        <c:crosses val="autoZero"/>
        <c:crossBetween val="between"/>
      </c:valAx>
    </c:plotArea>
    <c:legend>
      <c:legendPos val="r"/>
      <c:layout>
        <c:manualLayout>
          <c:xMode val="edge"/>
          <c:yMode val="edge"/>
          <c:x val="0.85505526702779411"/>
          <c:y val="5.7570466735136522E-2"/>
          <c:w val="9.2908036177006548E-2"/>
          <c:h val="0.1747141389934964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2000" b="0">
                <a:latin typeface="+mn-lt"/>
              </a:rPr>
              <a:t>4.  Additional and more formal structure for communications of the parties in the gas and electric markets is needed, particularly for unanticipated demand situations.</a:t>
            </a:r>
          </a:p>
        </c:rich>
      </c:tx>
      <c:layout>
        <c:manualLayout>
          <c:xMode val="edge"/>
          <c:yMode val="edge"/>
          <c:x val="4.5021234902040942E-2"/>
          <c:y val="3.2210585327319602E-2"/>
        </c:manualLayout>
      </c:layout>
      <c:overlay val="1"/>
    </c:title>
    <c:autoTitleDeleted val="0"/>
    <c:plotArea>
      <c:layout>
        <c:manualLayout>
          <c:layoutTarget val="inner"/>
          <c:xMode val="edge"/>
          <c:yMode val="edge"/>
          <c:x val="4.9013383965302519E-2"/>
          <c:y val="0.30716958438447767"/>
          <c:w val="0.91573455445728869"/>
          <c:h val="0.6323190377901815"/>
        </c:manualLayout>
      </c:layout>
      <c:barChart>
        <c:barDir val="col"/>
        <c:grouping val="clustered"/>
        <c:varyColors val="0"/>
        <c:ser>
          <c:idx val="1"/>
          <c:order val="0"/>
          <c:tx>
            <c:strRef>
              <c:f>Totals!$D$2</c:f>
              <c:strCache>
                <c:ptCount val="1"/>
                <c:pt idx="0">
                  <c:v>Policy</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Totals!$D$46:$D$55</c:f>
              <c:numCache>
                <c:formatCode>General</c:formatCode>
                <c:ptCount val="10"/>
                <c:pt idx="0">
                  <c:v>22</c:v>
                </c:pt>
                <c:pt idx="1">
                  <c:v>4</c:v>
                </c:pt>
                <c:pt idx="2">
                  <c:v>8</c:v>
                </c:pt>
                <c:pt idx="4">
                  <c:v>14</c:v>
                </c:pt>
                <c:pt idx="5">
                  <c:v>13</c:v>
                </c:pt>
                <c:pt idx="6">
                  <c:v>5</c:v>
                </c:pt>
                <c:pt idx="7">
                  <c:v>19</c:v>
                </c:pt>
                <c:pt idx="8">
                  <c:v>3</c:v>
                </c:pt>
              </c:numCache>
            </c:numRef>
          </c:val>
        </c:ser>
        <c:ser>
          <c:idx val="0"/>
          <c:order val="1"/>
          <c:tx>
            <c:strRef>
              <c:f>Totals!$E$2</c:f>
              <c:strCache>
                <c:ptCount val="1"/>
                <c:pt idx="0">
                  <c:v>Commercial</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Totals!$E$46:$E$55</c:f>
              <c:numCache>
                <c:formatCode>General</c:formatCode>
                <c:ptCount val="10"/>
                <c:pt idx="0">
                  <c:v>5</c:v>
                </c:pt>
                <c:pt idx="1">
                  <c:v>5</c:v>
                </c:pt>
                <c:pt idx="2">
                  <c:v>1</c:v>
                </c:pt>
                <c:pt idx="4">
                  <c:v>10</c:v>
                </c:pt>
                <c:pt idx="5">
                  <c:v>4</c:v>
                </c:pt>
                <c:pt idx="6">
                  <c:v>6</c:v>
                </c:pt>
                <c:pt idx="7">
                  <c:v>6</c:v>
                </c:pt>
                <c:pt idx="8">
                  <c:v>4</c:v>
                </c:pt>
              </c:numCache>
            </c:numRef>
          </c:val>
        </c:ser>
        <c:ser>
          <c:idx val="2"/>
          <c:order val="2"/>
          <c:tx>
            <c:strRef>
              <c:f>Totals!$F$2</c:f>
              <c:strCache>
                <c:ptCount val="1"/>
                <c:pt idx="0">
                  <c:v>Standards</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Totals!$F$46:$F$55</c:f>
              <c:numCache>
                <c:formatCode>General</c:formatCode>
                <c:ptCount val="10"/>
                <c:pt idx="0">
                  <c:v>23</c:v>
                </c:pt>
                <c:pt idx="1">
                  <c:v>24</c:v>
                </c:pt>
                <c:pt idx="2">
                  <c:v>13</c:v>
                </c:pt>
                <c:pt idx="4">
                  <c:v>19</c:v>
                </c:pt>
                <c:pt idx="5">
                  <c:v>28</c:v>
                </c:pt>
                <c:pt idx="6">
                  <c:v>19</c:v>
                </c:pt>
                <c:pt idx="7">
                  <c:v>27</c:v>
                </c:pt>
                <c:pt idx="8">
                  <c:v>29</c:v>
                </c:pt>
              </c:numCache>
            </c:numRef>
          </c:val>
        </c:ser>
        <c:ser>
          <c:idx val="3"/>
          <c:order val="3"/>
          <c:tx>
            <c:strRef>
              <c:f>Totals!$G$2</c:f>
              <c:strCache>
                <c:ptCount val="1"/>
                <c:pt idx="0">
                  <c:v>Comment</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Totals!$G$46:$G$55</c:f>
              <c:numCache>
                <c:formatCode>General</c:formatCode>
                <c:ptCount val="10"/>
                <c:pt idx="0">
                  <c:v>7</c:v>
                </c:pt>
                <c:pt idx="1">
                  <c:v>9</c:v>
                </c:pt>
                <c:pt idx="2">
                  <c:v>19</c:v>
                </c:pt>
                <c:pt idx="4">
                  <c:v>7</c:v>
                </c:pt>
                <c:pt idx="5">
                  <c:v>3</c:v>
                </c:pt>
                <c:pt idx="6">
                  <c:v>15</c:v>
                </c:pt>
                <c:pt idx="7">
                  <c:v>3</c:v>
                </c:pt>
                <c:pt idx="8">
                  <c:v>8</c:v>
                </c:pt>
              </c:numCache>
            </c:numRef>
          </c:val>
        </c:ser>
        <c:dLbls>
          <c:showLegendKey val="0"/>
          <c:showVal val="0"/>
          <c:showCatName val="0"/>
          <c:showSerName val="0"/>
          <c:showPercent val="0"/>
          <c:showBubbleSize val="0"/>
        </c:dLbls>
        <c:gapWidth val="150"/>
        <c:axId val="90842240"/>
        <c:axId val="90843776"/>
      </c:barChart>
      <c:catAx>
        <c:axId val="90842240"/>
        <c:scaling>
          <c:orientation val="minMax"/>
        </c:scaling>
        <c:delete val="0"/>
        <c:axPos val="b"/>
        <c:numFmt formatCode="General" sourceLinked="1"/>
        <c:majorTickMark val="none"/>
        <c:minorTickMark val="none"/>
        <c:tickLblPos val="nextTo"/>
        <c:crossAx val="90843776"/>
        <c:crosses val="autoZero"/>
        <c:auto val="1"/>
        <c:lblAlgn val="ctr"/>
        <c:lblOffset val="100"/>
        <c:noMultiLvlLbl val="0"/>
      </c:catAx>
      <c:valAx>
        <c:axId val="90843776"/>
        <c:scaling>
          <c:orientation val="minMax"/>
        </c:scaling>
        <c:delete val="0"/>
        <c:axPos val="l"/>
        <c:majorGridlines/>
        <c:numFmt formatCode="General" sourceLinked="1"/>
        <c:majorTickMark val="none"/>
        <c:minorTickMark val="none"/>
        <c:tickLblPos val="nextTo"/>
        <c:crossAx val="90842240"/>
        <c:crosses val="autoZero"/>
        <c:crossBetween val="between"/>
      </c:valAx>
    </c:plotArea>
    <c:legend>
      <c:legendPos val="r"/>
      <c:layout>
        <c:manualLayout>
          <c:xMode val="edge"/>
          <c:yMode val="edge"/>
          <c:x val="0.85505526702779433"/>
          <c:y val="5.7570466735136522E-2"/>
          <c:w val="9.2908036177006548E-2"/>
          <c:h val="0.1747141389934965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0CF1-BF0D-49B2-93B5-7C5C4573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McQuade</dc:creator>
  <cp:lastModifiedBy>Rae McQuade</cp:lastModifiedBy>
  <cp:revision>2</cp:revision>
  <cp:lastPrinted>2012-05-18T14:33:00Z</cp:lastPrinted>
  <dcterms:created xsi:type="dcterms:W3CDTF">2012-05-31T14:44:00Z</dcterms:created>
  <dcterms:modified xsi:type="dcterms:W3CDTF">2012-05-31T14:44:00Z</dcterms:modified>
</cp:coreProperties>
</file>