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CA" w:rsidRPr="007914CA" w:rsidRDefault="007914CA" w:rsidP="007914CA">
      <w:pPr>
        <w:spacing w:before="60" w:after="0"/>
        <w:ind w:left="1440" w:hanging="1440"/>
        <w:jc w:val="right"/>
        <w:rPr>
          <w:rFonts w:ascii="Times New Roman" w:hAnsi="Times New Roman" w:cs="Times New Roman"/>
          <w:b/>
          <w:sz w:val="20"/>
          <w:szCs w:val="20"/>
        </w:rPr>
      </w:pPr>
      <w:proofErr w:type="gramStart"/>
      <w:r w:rsidRPr="007914CA">
        <w:rPr>
          <w:rFonts w:ascii="Times New Roman" w:hAnsi="Times New Roman" w:cs="Times New Roman"/>
          <w:b/>
          <w:sz w:val="20"/>
          <w:szCs w:val="20"/>
        </w:rPr>
        <w:t>via</w:t>
      </w:r>
      <w:proofErr w:type="gramEnd"/>
      <w:r w:rsidRPr="007914CA">
        <w:rPr>
          <w:rFonts w:ascii="Times New Roman" w:hAnsi="Times New Roman" w:cs="Times New Roman"/>
          <w:b/>
          <w:sz w:val="20"/>
          <w:szCs w:val="20"/>
        </w:rPr>
        <w:t xml:space="preserve"> </w:t>
      </w:r>
      <w:r>
        <w:rPr>
          <w:rFonts w:ascii="Times New Roman" w:hAnsi="Times New Roman" w:cs="Times New Roman"/>
          <w:b/>
          <w:sz w:val="20"/>
          <w:szCs w:val="20"/>
        </w:rPr>
        <w:t xml:space="preserve">email and </w:t>
      </w:r>
      <w:r w:rsidRPr="007914CA">
        <w:rPr>
          <w:rFonts w:ascii="Times New Roman" w:hAnsi="Times New Roman" w:cs="Times New Roman"/>
          <w:b/>
          <w:sz w:val="20"/>
          <w:szCs w:val="20"/>
        </w:rPr>
        <w:t>posting</w:t>
      </w:r>
    </w:p>
    <w:p w:rsidR="007914CA" w:rsidRPr="00022236" w:rsidRDefault="007914CA" w:rsidP="007914CA">
      <w:pPr>
        <w:spacing w:before="60" w:after="0"/>
        <w:ind w:left="1440" w:hanging="1440"/>
        <w:rPr>
          <w:rFonts w:ascii="Times New Roman" w:hAnsi="Times New Roman" w:cs="Times New Roman"/>
          <w:sz w:val="20"/>
          <w:szCs w:val="20"/>
        </w:rPr>
      </w:pPr>
      <w:r w:rsidRPr="007914CA">
        <w:rPr>
          <w:rFonts w:ascii="Times New Roman" w:hAnsi="Times New Roman" w:cs="Times New Roman"/>
          <w:b/>
          <w:sz w:val="20"/>
          <w:szCs w:val="20"/>
        </w:rPr>
        <w:t>TO:</w:t>
      </w:r>
      <w:r w:rsidRPr="007914CA">
        <w:rPr>
          <w:rFonts w:ascii="Times New Roman" w:hAnsi="Times New Roman" w:cs="Times New Roman"/>
          <w:b/>
          <w:sz w:val="20"/>
          <w:szCs w:val="20"/>
        </w:rPr>
        <w:tab/>
      </w:r>
      <w:r w:rsidRPr="00022236">
        <w:rPr>
          <w:rFonts w:ascii="Times New Roman" w:hAnsi="Times New Roman" w:cs="Times New Roman"/>
          <w:sz w:val="20"/>
          <w:szCs w:val="20"/>
        </w:rPr>
        <w:t>NAESB Board Gas-Electric Harmonization Committee Members and posting for interested industry parties</w:t>
      </w:r>
    </w:p>
    <w:p w:rsidR="007914CA" w:rsidRPr="00022236" w:rsidRDefault="007914CA" w:rsidP="007914CA">
      <w:pPr>
        <w:spacing w:before="60" w:after="0"/>
        <w:rPr>
          <w:rFonts w:ascii="Times New Roman" w:hAnsi="Times New Roman" w:cs="Times New Roman"/>
          <w:sz w:val="20"/>
          <w:szCs w:val="20"/>
        </w:rPr>
      </w:pPr>
      <w:r w:rsidRPr="00022236">
        <w:rPr>
          <w:rFonts w:ascii="Times New Roman" w:hAnsi="Times New Roman" w:cs="Times New Roman"/>
          <w:b/>
          <w:sz w:val="20"/>
          <w:szCs w:val="20"/>
        </w:rPr>
        <w:t xml:space="preserve">FROM: </w:t>
      </w:r>
      <w:r w:rsidRPr="00022236">
        <w:rPr>
          <w:rFonts w:ascii="Times New Roman" w:hAnsi="Times New Roman" w:cs="Times New Roman"/>
          <w:b/>
          <w:sz w:val="20"/>
          <w:szCs w:val="20"/>
        </w:rPr>
        <w:tab/>
      </w:r>
      <w:r w:rsidRPr="00022236">
        <w:rPr>
          <w:rFonts w:ascii="Times New Roman" w:hAnsi="Times New Roman" w:cs="Times New Roman"/>
          <w:sz w:val="20"/>
          <w:szCs w:val="20"/>
        </w:rPr>
        <w:t>Jonathan Booe</w:t>
      </w:r>
    </w:p>
    <w:p w:rsidR="007914CA" w:rsidRPr="00506050" w:rsidRDefault="007914CA" w:rsidP="007914CA">
      <w:pPr>
        <w:spacing w:before="60" w:after="0"/>
        <w:rPr>
          <w:rFonts w:ascii="Times New Roman" w:hAnsi="Times New Roman" w:cs="Times New Roman"/>
          <w:sz w:val="20"/>
          <w:szCs w:val="20"/>
          <w:highlight w:val="yellow"/>
        </w:rPr>
      </w:pPr>
      <w:r w:rsidRPr="00506050">
        <w:rPr>
          <w:rFonts w:ascii="Times New Roman" w:hAnsi="Times New Roman" w:cs="Times New Roman"/>
          <w:b/>
          <w:sz w:val="20"/>
          <w:szCs w:val="20"/>
          <w:highlight w:val="yellow"/>
        </w:rPr>
        <w:t>RE:</w:t>
      </w:r>
      <w:r w:rsidRPr="00506050">
        <w:rPr>
          <w:rFonts w:ascii="Times New Roman" w:hAnsi="Times New Roman" w:cs="Times New Roman"/>
          <w:b/>
          <w:sz w:val="20"/>
          <w:szCs w:val="20"/>
          <w:highlight w:val="yellow"/>
        </w:rPr>
        <w:tab/>
      </w:r>
      <w:r w:rsidRPr="00506050">
        <w:rPr>
          <w:rFonts w:ascii="Times New Roman" w:hAnsi="Times New Roman" w:cs="Times New Roman"/>
          <w:b/>
          <w:sz w:val="20"/>
          <w:szCs w:val="20"/>
          <w:highlight w:val="yellow"/>
        </w:rPr>
        <w:tab/>
      </w:r>
      <w:r w:rsidR="00C07FC9" w:rsidRPr="00C07FC9">
        <w:rPr>
          <w:rFonts w:ascii="Times New Roman" w:hAnsi="Times New Roman" w:cs="Times New Roman"/>
          <w:sz w:val="20"/>
          <w:szCs w:val="20"/>
          <w:highlight w:val="yellow"/>
        </w:rPr>
        <w:t xml:space="preserve">Commercial </w:t>
      </w:r>
      <w:r w:rsidRPr="00506050">
        <w:rPr>
          <w:rFonts w:ascii="Times New Roman" w:hAnsi="Times New Roman" w:cs="Times New Roman"/>
          <w:sz w:val="20"/>
          <w:szCs w:val="20"/>
          <w:highlight w:val="yellow"/>
        </w:rPr>
        <w:t>Survey</w:t>
      </w:r>
      <w:r w:rsidR="00506050" w:rsidRPr="00506050">
        <w:rPr>
          <w:rFonts w:ascii="Times New Roman" w:hAnsi="Times New Roman" w:cs="Times New Roman"/>
          <w:sz w:val="20"/>
          <w:szCs w:val="20"/>
          <w:highlight w:val="yellow"/>
        </w:rPr>
        <w:t xml:space="preserve"> Results</w:t>
      </w:r>
    </w:p>
    <w:p w:rsidR="007914CA" w:rsidRPr="007914CA" w:rsidRDefault="007914CA" w:rsidP="007914CA">
      <w:pPr>
        <w:pBdr>
          <w:bottom w:val="single" w:sz="12" w:space="1" w:color="auto"/>
        </w:pBdr>
        <w:spacing w:before="60" w:after="0"/>
        <w:rPr>
          <w:rFonts w:ascii="Times New Roman" w:hAnsi="Times New Roman" w:cs="Times New Roman"/>
          <w:sz w:val="20"/>
          <w:szCs w:val="20"/>
        </w:rPr>
      </w:pPr>
      <w:r w:rsidRPr="00506050">
        <w:rPr>
          <w:rFonts w:ascii="Times New Roman" w:hAnsi="Times New Roman" w:cs="Times New Roman"/>
          <w:b/>
          <w:sz w:val="20"/>
          <w:szCs w:val="20"/>
          <w:highlight w:val="yellow"/>
        </w:rPr>
        <w:t>DATE:</w:t>
      </w:r>
      <w:r w:rsidRPr="00506050">
        <w:rPr>
          <w:rFonts w:ascii="Times New Roman" w:hAnsi="Times New Roman" w:cs="Times New Roman"/>
          <w:sz w:val="20"/>
          <w:szCs w:val="20"/>
          <w:highlight w:val="yellow"/>
        </w:rPr>
        <w:tab/>
      </w:r>
      <w:r w:rsidRPr="00506050">
        <w:rPr>
          <w:rFonts w:ascii="Times New Roman" w:hAnsi="Times New Roman" w:cs="Times New Roman"/>
          <w:sz w:val="20"/>
          <w:szCs w:val="20"/>
          <w:highlight w:val="yellow"/>
        </w:rPr>
        <w:tab/>
      </w:r>
      <w:r w:rsidR="00506050" w:rsidRPr="00506050">
        <w:rPr>
          <w:rFonts w:ascii="Times New Roman" w:hAnsi="Times New Roman" w:cs="Times New Roman"/>
          <w:sz w:val="20"/>
          <w:szCs w:val="20"/>
          <w:highlight w:val="yellow"/>
        </w:rPr>
        <w:t xml:space="preserve">May </w:t>
      </w:r>
      <w:r w:rsidR="006735EB">
        <w:rPr>
          <w:rFonts w:ascii="Times New Roman" w:hAnsi="Times New Roman" w:cs="Times New Roman"/>
          <w:sz w:val="20"/>
          <w:szCs w:val="20"/>
          <w:highlight w:val="yellow"/>
        </w:rPr>
        <w:t>23</w:t>
      </w:r>
      <w:r w:rsidR="00506050" w:rsidRPr="00506050">
        <w:rPr>
          <w:rFonts w:ascii="Times New Roman" w:hAnsi="Times New Roman" w:cs="Times New Roman"/>
          <w:sz w:val="20"/>
          <w:szCs w:val="20"/>
          <w:highlight w:val="yellow"/>
        </w:rPr>
        <w:t>, 2012</w:t>
      </w:r>
    </w:p>
    <w:p w:rsidR="007914CA" w:rsidRPr="007914CA" w:rsidRDefault="007914CA" w:rsidP="007914CA">
      <w:pPr>
        <w:spacing w:before="120"/>
        <w:outlineLvl w:val="2"/>
        <w:rPr>
          <w:rFonts w:ascii="Times New Roman" w:hAnsi="Times New Roman" w:cs="Times New Roman"/>
          <w:sz w:val="20"/>
          <w:szCs w:val="20"/>
        </w:rPr>
      </w:pPr>
      <w:r w:rsidRPr="007914CA">
        <w:rPr>
          <w:rFonts w:ascii="Times New Roman" w:hAnsi="Times New Roman" w:cs="Times New Roman"/>
          <w:sz w:val="20"/>
          <w:szCs w:val="20"/>
        </w:rPr>
        <w:t>Dear Gas-Electric Harmonization Committee Members,</w:t>
      </w:r>
    </w:p>
    <w:p w:rsidR="007914CA" w:rsidRPr="002A0F47" w:rsidRDefault="007914CA" w:rsidP="007914CA">
      <w:pPr>
        <w:pStyle w:val="Header"/>
        <w:tabs>
          <w:tab w:val="left" w:pos="1080"/>
        </w:tabs>
        <w:rPr>
          <w:rFonts w:ascii="Bookman Old Style" w:hAnsi="Bookman Old Style"/>
          <w:noProof/>
        </w:rPr>
      </w:pPr>
    </w:p>
    <w:p w:rsidR="007B0078" w:rsidRDefault="007B0078">
      <w:pPr>
        <w:rPr>
          <w:rFonts w:ascii="Bookman Old Style" w:hAnsi="Bookman Old Style"/>
          <w:b/>
          <w:noProof/>
        </w:rPr>
        <w:sectPr w:rsidR="007B0078" w:rsidSect="007914CA">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p>
    <w:tbl>
      <w:tblPr>
        <w:tblW w:w="14395" w:type="dxa"/>
        <w:tblInd w:w="93" w:type="dxa"/>
        <w:tblLayout w:type="fixed"/>
        <w:tblLook w:val="04A0"/>
      </w:tblPr>
      <w:tblGrid>
        <w:gridCol w:w="417"/>
        <w:gridCol w:w="519"/>
        <w:gridCol w:w="8169"/>
        <w:gridCol w:w="720"/>
        <w:gridCol w:w="1260"/>
        <w:gridCol w:w="1260"/>
        <w:gridCol w:w="1030"/>
        <w:gridCol w:w="1020"/>
      </w:tblGrid>
      <w:tr w:rsidR="002D407C" w:rsidRPr="002D407C" w:rsidTr="008D3034">
        <w:trPr>
          <w:trHeight w:val="765"/>
          <w:tblHeader/>
        </w:trPr>
        <w:tc>
          <w:tcPr>
            <w:tcW w:w="417" w:type="dxa"/>
            <w:tcBorders>
              <w:top w:val="nil"/>
              <w:left w:val="nil"/>
              <w:bottom w:val="single" w:sz="8" w:space="0" w:color="auto"/>
              <w:right w:val="nil"/>
            </w:tcBorders>
            <w:shd w:val="clear" w:color="000000" w:fill="DDD9C3"/>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lastRenderedPageBreak/>
              <w:t> </w:t>
            </w:r>
          </w:p>
        </w:tc>
        <w:tc>
          <w:tcPr>
            <w:tcW w:w="519" w:type="dxa"/>
            <w:tcBorders>
              <w:top w:val="nil"/>
              <w:left w:val="nil"/>
              <w:bottom w:val="single" w:sz="8" w:space="0" w:color="auto"/>
              <w:right w:val="nil"/>
            </w:tcBorders>
            <w:shd w:val="clear" w:color="000000" w:fill="DDD9C3"/>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8169" w:type="dxa"/>
            <w:tcBorders>
              <w:top w:val="nil"/>
              <w:left w:val="nil"/>
              <w:bottom w:val="single" w:sz="8" w:space="0" w:color="auto"/>
              <w:right w:val="nil"/>
            </w:tcBorders>
            <w:shd w:val="clear" w:color="000000" w:fill="DDD9C3"/>
            <w:hideMark/>
          </w:tcPr>
          <w:p w:rsidR="002D407C" w:rsidRPr="002D407C" w:rsidRDefault="002D407C" w:rsidP="002D407C">
            <w:pPr>
              <w:spacing w:after="0" w:line="240" w:lineRule="auto"/>
              <w:rPr>
                <w:rFonts w:ascii="Calibri" w:eastAsia="Times New Roman" w:hAnsi="Calibri" w:cs="Times New Roman"/>
                <w:b/>
                <w:bCs/>
                <w:color w:val="000000"/>
                <w:sz w:val="28"/>
                <w:szCs w:val="28"/>
              </w:rPr>
            </w:pPr>
            <w:r w:rsidRPr="002D407C">
              <w:rPr>
                <w:rFonts w:ascii="Calibri" w:eastAsia="Times New Roman" w:hAnsi="Calibri" w:cs="Times New Roman"/>
                <w:b/>
                <w:bCs/>
                <w:color w:val="000000"/>
                <w:sz w:val="28"/>
                <w:szCs w:val="28"/>
              </w:rPr>
              <w:t>COMMERCIAL - PRIMARY and SECONDARY</w:t>
            </w:r>
            <w:r w:rsidRPr="002D407C">
              <w:rPr>
                <w:rFonts w:ascii="Calibri" w:eastAsia="Times New Roman" w:hAnsi="Calibri" w:cs="Times New Roman"/>
                <w:b/>
                <w:bCs/>
                <w:color w:val="000000"/>
                <w:sz w:val="28"/>
                <w:szCs w:val="28"/>
              </w:rPr>
              <w:br/>
              <w:t>CORE ISSUES &amp; OBSERVATIONS</w:t>
            </w:r>
          </w:p>
        </w:tc>
        <w:tc>
          <w:tcPr>
            <w:tcW w:w="720" w:type="dxa"/>
            <w:tcBorders>
              <w:top w:val="nil"/>
              <w:left w:val="nil"/>
              <w:bottom w:val="single" w:sz="8" w:space="0" w:color="auto"/>
              <w:right w:val="single" w:sz="24" w:space="0" w:color="auto"/>
            </w:tcBorders>
            <w:shd w:val="clear" w:color="000000" w:fill="DDD9C3"/>
            <w:noWrap/>
            <w:vAlign w:val="bottom"/>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Policy</w:t>
            </w:r>
          </w:p>
        </w:tc>
        <w:tc>
          <w:tcPr>
            <w:tcW w:w="1260" w:type="dxa"/>
            <w:tcBorders>
              <w:top w:val="single" w:sz="24" w:space="0" w:color="auto"/>
              <w:left w:val="single" w:sz="24" w:space="0" w:color="auto"/>
              <w:bottom w:val="single" w:sz="8" w:space="0" w:color="auto"/>
              <w:right w:val="nil"/>
            </w:tcBorders>
            <w:shd w:val="clear" w:color="000000" w:fill="DDD9C3"/>
            <w:vAlign w:val="bottom"/>
            <w:hideMark/>
          </w:tcPr>
          <w:p w:rsidR="002D407C" w:rsidRPr="002D407C" w:rsidRDefault="002D407C" w:rsidP="002D407C">
            <w:pPr>
              <w:spacing w:after="0" w:line="240" w:lineRule="auto"/>
              <w:rPr>
                <w:rFonts w:ascii="Calibri" w:eastAsia="Times New Roman" w:hAnsi="Calibri" w:cs="Times New Roman"/>
                <w:b/>
                <w:bCs/>
                <w:color w:val="000000"/>
                <w:sz w:val="20"/>
                <w:szCs w:val="20"/>
              </w:rPr>
            </w:pPr>
            <w:r w:rsidRPr="002D407C">
              <w:rPr>
                <w:rFonts w:ascii="Calibri" w:eastAsia="Times New Roman" w:hAnsi="Calibri" w:cs="Times New Roman"/>
                <w:b/>
                <w:bCs/>
                <w:color w:val="000000"/>
                <w:sz w:val="20"/>
                <w:szCs w:val="20"/>
              </w:rPr>
              <w:t>Commercial</w:t>
            </w:r>
            <w:r w:rsidRPr="002D407C">
              <w:rPr>
                <w:rFonts w:ascii="Calibri" w:eastAsia="Times New Roman" w:hAnsi="Calibri" w:cs="Times New Roman"/>
                <w:b/>
                <w:bCs/>
                <w:color w:val="000000"/>
                <w:sz w:val="20"/>
                <w:szCs w:val="20"/>
              </w:rPr>
              <w:br/>
              <w:t>Primary</w:t>
            </w:r>
          </w:p>
        </w:tc>
        <w:tc>
          <w:tcPr>
            <w:tcW w:w="1260" w:type="dxa"/>
            <w:tcBorders>
              <w:top w:val="single" w:sz="24" w:space="0" w:color="auto"/>
              <w:left w:val="nil"/>
              <w:bottom w:val="single" w:sz="8" w:space="0" w:color="auto"/>
              <w:right w:val="single" w:sz="24" w:space="0" w:color="auto"/>
            </w:tcBorders>
            <w:shd w:val="clear" w:color="000000" w:fill="DDD9C3"/>
            <w:vAlign w:val="bottom"/>
            <w:hideMark/>
          </w:tcPr>
          <w:p w:rsidR="002D407C" w:rsidRPr="002D407C" w:rsidRDefault="002D407C" w:rsidP="002D407C">
            <w:pPr>
              <w:spacing w:after="0" w:line="240" w:lineRule="auto"/>
              <w:rPr>
                <w:rFonts w:ascii="Calibri" w:eastAsia="Times New Roman" w:hAnsi="Calibri" w:cs="Times New Roman"/>
                <w:b/>
                <w:bCs/>
                <w:color w:val="000000"/>
                <w:sz w:val="20"/>
                <w:szCs w:val="20"/>
              </w:rPr>
            </w:pPr>
            <w:r w:rsidRPr="002D407C">
              <w:rPr>
                <w:rFonts w:ascii="Calibri" w:eastAsia="Times New Roman" w:hAnsi="Calibri" w:cs="Times New Roman"/>
                <w:b/>
                <w:bCs/>
                <w:color w:val="000000"/>
                <w:sz w:val="20"/>
                <w:szCs w:val="20"/>
              </w:rPr>
              <w:t>Commercial</w:t>
            </w:r>
            <w:r w:rsidRPr="002D407C">
              <w:rPr>
                <w:rFonts w:ascii="Calibri" w:eastAsia="Times New Roman" w:hAnsi="Calibri" w:cs="Times New Roman"/>
                <w:b/>
                <w:bCs/>
                <w:color w:val="000000"/>
                <w:sz w:val="20"/>
                <w:szCs w:val="20"/>
              </w:rPr>
              <w:br/>
              <w:t>Secondary</w:t>
            </w:r>
          </w:p>
        </w:tc>
        <w:tc>
          <w:tcPr>
            <w:tcW w:w="1030" w:type="dxa"/>
            <w:tcBorders>
              <w:top w:val="nil"/>
              <w:left w:val="single" w:sz="24" w:space="0" w:color="auto"/>
              <w:bottom w:val="single" w:sz="8" w:space="0" w:color="auto"/>
              <w:right w:val="nil"/>
            </w:tcBorders>
            <w:shd w:val="clear" w:color="000000" w:fill="DDD9C3"/>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Standards</w:t>
            </w:r>
          </w:p>
        </w:tc>
        <w:tc>
          <w:tcPr>
            <w:tcW w:w="1020" w:type="dxa"/>
            <w:tcBorders>
              <w:top w:val="nil"/>
              <w:left w:val="nil"/>
              <w:bottom w:val="single" w:sz="8" w:space="0" w:color="auto"/>
              <w:right w:val="nil"/>
            </w:tcBorders>
            <w:shd w:val="clear" w:color="000000" w:fill="DDD9C3"/>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Comment</w:t>
            </w:r>
          </w:p>
        </w:tc>
      </w:tr>
      <w:tr w:rsidR="002D407C" w:rsidRPr="002D407C" w:rsidTr="008D3034">
        <w:trPr>
          <w:trHeight w:val="1575"/>
        </w:trPr>
        <w:tc>
          <w:tcPr>
            <w:tcW w:w="9105" w:type="dxa"/>
            <w:gridSpan w:val="3"/>
            <w:tcBorders>
              <w:top w:val="nil"/>
              <w:left w:val="single" w:sz="4" w:space="0" w:color="auto"/>
              <w:bottom w:val="single" w:sz="4" w:space="0" w:color="auto"/>
              <w:right w:val="nil"/>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  OBSERVATIONS AND CORE ISSUES AS OF APRIL 24, 2012:</w:t>
            </w:r>
            <w:r w:rsidRPr="002D407C">
              <w:rPr>
                <w:rFonts w:ascii="Calibri" w:eastAsia="Times New Roman" w:hAnsi="Calibri" w:cs="Times New Roman"/>
                <w:color w:val="000000"/>
                <w:sz w:val="20"/>
                <w:szCs w:val="20"/>
              </w:rPr>
              <w:br/>
              <w:t>• Scheduling and other inconsistencies in the interactions of the two markets impact the effectiveness of providing gas and electric service.</w:t>
            </w:r>
            <w:r w:rsidRPr="002D407C">
              <w:rPr>
                <w:rFonts w:ascii="Calibri" w:eastAsia="Times New Roman" w:hAnsi="Calibri" w:cs="Times New Roman"/>
                <w:color w:val="000000"/>
                <w:sz w:val="20"/>
                <w:szCs w:val="20"/>
              </w:rPr>
              <w:br/>
              <w:t>• Core issue: Should NAESB examine</w:t>
            </w:r>
            <w:proofErr w:type="gramStart"/>
            <w:r w:rsidRPr="002D407C">
              <w:rPr>
                <w:rFonts w:ascii="Calibri" w:eastAsia="Times New Roman" w:hAnsi="Calibri" w:cs="Times New Roman"/>
                <w:color w:val="000000"/>
                <w:sz w:val="20"/>
                <w:szCs w:val="20"/>
              </w:rPr>
              <w:t>:</w:t>
            </w:r>
            <w:proofErr w:type="gramEnd"/>
            <w:r w:rsidRPr="002D407C">
              <w:rPr>
                <w:rFonts w:ascii="Calibri" w:eastAsia="Times New Roman" w:hAnsi="Calibri" w:cs="Times New Roman"/>
                <w:color w:val="000000"/>
                <w:sz w:val="20"/>
                <w:szCs w:val="20"/>
              </w:rPr>
              <w:br/>
              <w:t>• The gas &amp; electric scheduling timelines to create more certainty and flexibility in scheduling, recognizing that providing flexibility in one area may take away flexibility in another?</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nil"/>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nil"/>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For day-of operations, intraday nomination flexibility is key in contingency response, load following, and in backing up </w:t>
            </w:r>
            <w:proofErr w:type="spellStart"/>
            <w:r w:rsidRPr="002D407C">
              <w:rPr>
                <w:rFonts w:ascii="Calibri" w:eastAsia="Times New Roman" w:hAnsi="Calibri" w:cs="Times New Roman"/>
                <w:color w:val="000000"/>
                <w:sz w:val="20"/>
                <w:szCs w:val="20"/>
              </w:rPr>
              <w:t>renewables</w:t>
            </w:r>
            <w:proofErr w:type="spellEnd"/>
            <w:r w:rsidRPr="002D407C">
              <w:rPr>
                <w:rFonts w:ascii="Calibri" w:eastAsia="Times New Roman" w:hAnsi="Calibri" w:cs="Times New Roman"/>
                <w:color w:val="000000"/>
                <w:sz w:val="20"/>
                <w:szCs w:val="20"/>
              </w:rPr>
              <w:t>.</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10</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c>
          <w:tcPr>
            <w:tcW w:w="103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r>
      <w:tr w:rsidR="002D407C" w:rsidRPr="002D407C" w:rsidTr="008D3034">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15</w:t>
            </w:r>
          </w:p>
        </w:tc>
        <w:tc>
          <w:tcPr>
            <w:tcW w:w="126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19</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r>
      <w:tr w:rsidR="002D407C" w:rsidRPr="002D407C" w:rsidTr="008D3034">
        <w:trPr>
          <w:trHeight w:val="204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72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126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1020" w:type="dxa"/>
            <w:tcBorders>
              <w:top w:val="nil"/>
              <w:left w:val="nil"/>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r>
      <w:tr w:rsidR="002D407C" w:rsidRPr="002D407C" w:rsidTr="008D3034">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Scheduling flexibility can be introduced on a pipeline by pipeline basis to the pipeline’s customers.  Natural gas market grid synchronization plays a role, as in multi-pipeline nominations which may cross multiple control </w:t>
            </w:r>
            <w:proofErr w:type="gramStart"/>
            <w:r w:rsidRPr="002D407C">
              <w:rPr>
                <w:rFonts w:ascii="Calibri" w:eastAsia="Times New Roman" w:hAnsi="Calibri" w:cs="Times New Roman"/>
                <w:color w:val="000000"/>
                <w:sz w:val="20"/>
                <w:szCs w:val="20"/>
              </w:rPr>
              <w:t>areas,</w:t>
            </w:r>
            <w:proofErr w:type="gramEnd"/>
            <w:r w:rsidRPr="002D407C">
              <w:rPr>
                <w:rFonts w:ascii="Calibri" w:eastAsia="Times New Roman" w:hAnsi="Calibri" w:cs="Times New Roman"/>
                <w:color w:val="000000"/>
                <w:sz w:val="20"/>
                <w:szCs w:val="20"/>
              </w:rPr>
              <w:t xml:space="preserve"> the least flexible pipeline in the chain of nominations will govern the timing of submittal and confirmation of transaction(s).</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9</w:t>
            </w:r>
          </w:p>
        </w:tc>
        <w:tc>
          <w:tcPr>
            <w:tcW w:w="1260" w:type="dxa"/>
            <w:tcBorders>
              <w:top w:val="nil"/>
              <w:left w:val="single" w:sz="24" w:space="0" w:color="auto"/>
              <w:bottom w:val="nil"/>
              <w:right w:val="nil"/>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single" w:sz="4" w:space="0" w:color="auto"/>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103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9</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10</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Using natural gas-fired generation to back up </w:t>
            </w:r>
            <w:proofErr w:type="spellStart"/>
            <w:r w:rsidRPr="002D407C">
              <w:rPr>
                <w:rFonts w:ascii="Calibri" w:eastAsia="Times New Roman" w:hAnsi="Calibri" w:cs="Times New Roman"/>
                <w:color w:val="000000"/>
                <w:sz w:val="20"/>
                <w:szCs w:val="20"/>
              </w:rPr>
              <w:t>renewables</w:t>
            </w:r>
            <w:proofErr w:type="spellEnd"/>
            <w:r w:rsidRPr="002D407C">
              <w:rPr>
                <w:rFonts w:ascii="Calibri" w:eastAsia="Times New Roman" w:hAnsi="Calibri" w:cs="Times New Roman"/>
                <w:color w:val="000000"/>
                <w:sz w:val="20"/>
                <w:szCs w:val="20"/>
              </w:rPr>
              <w:t xml:space="preserve"> could require enhanced and additional flexibility in day-of nominations and/or no-notice service or similar services.</w:t>
            </w:r>
          </w:p>
        </w:tc>
        <w:tc>
          <w:tcPr>
            <w:tcW w:w="720" w:type="dxa"/>
            <w:tcBorders>
              <w:top w:val="nil"/>
              <w:left w:val="nil"/>
              <w:bottom w:val="single" w:sz="4" w:space="0" w:color="auto"/>
              <w:right w:val="single" w:sz="2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16</w:t>
            </w:r>
          </w:p>
        </w:tc>
        <w:tc>
          <w:tcPr>
            <w:tcW w:w="1260" w:type="dxa"/>
            <w:tcBorders>
              <w:top w:val="nil"/>
              <w:left w:val="single" w:sz="24" w:space="0" w:color="auto"/>
              <w:bottom w:val="nil"/>
              <w:right w:val="nil"/>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single" w:sz="4" w:space="0" w:color="auto"/>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c>
          <w:tcPr>
            <w:tcW w:w="1030" w:type="dxa"/>
            <w:tcBorders>
              <w:top w:val="nil"/>
              <w:left w:val="single" w:sz="24" w:space="0" w:color="auto"/>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nil"/>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519" w:type="dxa"/>
            <w:tcBorders>
              <w:top w:val="nil"/>
              <w:left w:val="nil"/>
              <w:bottom w:val="nil"/>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c>
          <w:tcPr>
            <w:tcW w:w="8169" w:type="dxa"/>
            <w:tcBorders>
              <w:top w:val="nil"/>
              <w:left w:val="nil"/>
              <w:bottom w:val="nil"/>
              <w:right w:val="single" w:sz="4" w:space="0" w:color="auto"/>
            </w:tcBorders>
            <w:shd w:val="clear" w:color="000000" w:fill="D8D8D8"/>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Deleted.  Added to Observation 1-8.</w:t>
            </w:r>
          </w:p>
        </w:tc>
        <w:tc>
          <w:tcPr>
            <w:tcW w:w="720" w:type="dxa"/>
            <w:tcBorders>
              <w:top w:val="nil"/>
              <w:left w:val="nil"/>
              <w:bottom w:val="nil"/>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nil"/>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nil"/>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nil"/>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nil"/>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2370"/>
        </w:trPr>
        <w:tc>
          <w:tcPr>
            <w:tcW w:w="9105" w:type="dxa"/>
            <w:gridSpan w:val="3"/>
            <w:tcBorders>
              <w:top w:val="single" w:sz="4" w:space="0" w:color="auto"/>
              <w:left w:val="single" w:sz="4" w:space="0" w:color="auto"/>
              <w:bottom w:val="single" w:sz="4" w:space="0" w:color="auto"/>
              <w:right w:val="nil"/>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  Observations and Core Issues as of April 24, 2012</w:t>
            </w:r>
            <w:proofErr w:type="gramStart"/>
            <w:r w:rsidRPr="002D407C">
              <w:rPr>
                <w:rFonts w:ascii="Calibri" w:eastAsia="Times New Roman" w:hAnsi="Calibri" w:cs="Times New Roman"/>
                <w:color w:val="000000"/>
                <w:sz w:val="20"/>
                <w:szCs w:val="20"/>
              </w:rPr>
              <w:t>:</w:t>
            </w:r>
            <w:proofErr w:type="gramEnd"/>
            <w:r w:rsidRPr="002D407C">
              <w:rPr>
                <w:rFonts w:ascii="Calibri" w:eastAsia="Times New Roman" w:hAnsi="Calibri" w:cs="Times New Roman"/>
                <w:color w:val="000000"/>
                <w:sz w:val="20"/>
                <w:szCs w:val="20"/>
              </w:rPr>
              <w:br/>
              <w:t>Capacity issues including the availability and determination to use firm and interruptible capacity to support load requirements is a core issue in the interdependencies of the two markets, for both the day of and the day-ahead markets.</w:t>
            </w:r>
            <w:r w:rsidRPr="002D407C">
              <w:rPr>
                <w:rFonts w:ascii="Calibri" w:eastAsia="Times New Roman" w:hAnsi="Calibri" w:cs="Times New Roman"/>
                <w:color w:val="000000"/>
                <w:sz w:val="20"/>
                <w:szCs w:val="20"/>
              </w:rPr>
              <w:br/>
              <w:t>Core Issue: Recognizing the interdependency of the gas and electric markets in both the day of and day ahead operations, should NAESB examine:</w:t>
            </w:r>
            <w:r w:rsidRPr="002D407C">
              <w:rPr>
                <w:rFonts w:ascii="Calibri" w:eastAsia="Times New Roman" w:hAnsi="Calibri" w:cs="Times New Roman"/>
                <w:color w:val="000000"/>
                <w:sz w:val="20"/>
                <w:szCs w:val="2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sidRPr="002D407C">
              <w:rPr>
                <w:rFonts w:ascii="Calibri" w:eastAsia="Times New Roman" w:hAnsi="Calibri" w:cs="Times New Roman"/>
                <w:color w:val="000000"/>
                <w:sz w:val="20"/>
                <w:szCs w:val="20"/>
              </w:rPr>
              <w:br/>
              <w:t>• the structure of communications to make for a better utilization of existing infrastructure and capacity.</w:t>
            </w:r>
          </w:p>
        </w:tc>
        <w:tc>
          <w:tcPr>
            <w:tcW w:w="720" w:type="dxa"/>
            <w:tcBorders>
              <w:top w:val="single" w:sz="4" w:space="0" w:color="auto"/>
              <w:left w:val="nil"/>
              <w:bottom w:val="single" w:sz="4" w:space="0" w:color="auto"/>
              <w:right w:val="single" w:sz="2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single" w:sz="4" w:space="0" w:color="auto"/>
              <w:left w:val="single" w:sz="24" w:space="0" w:color="auto"/>
              <w:bottom w:val="single" w:sz="4" w:space="0" w:color="auto"/>
              <w:right w:val="nil"/>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single" w:sz="4" w:space="0" w:color="auto"/>
              <w:left w:val="nil"/>
              <w:bottom w:val="single" w:sz="4" w:space="0" w:color="auto"/>
              <w:right w:val="single" w:sz="2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single" w:sz="4" w:space="0" w:color="auto"/>
              <w:left w:val="single" w:sz="24" w:space="0" w:color="auto"/>
              <w:bottom w:val="single" w:sz="4" w:space="0" w:color="auto"/>
              <w:right w:val="nil"/>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127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1020" w:type="dxa"/>
            <w:tcBorders>
              <w:top w:val="nil"/>
              <w:left w:val="nil"/>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22</w:t>
            </w:r>
          </w:p>
        </w:tc>
      </w:tr>
      <w:tr w:rsidR="002D407C" w:rsidRPr="002D407C" w:rsidTr="008D3034">
        <w:trPr>
          <w:trHeight w:val="458"/>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c>
          <w:tcPr>
            <w:tcW w:w="1020" w:type="dxa"/>
            <w:tcBorders>
              <w:top w:val="nil"/>
              <w:left w:val="nil"/>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18</w:t>
            </w:r>
          </w:p>
        </w:tc>
      </w:tr>
      <w:tr w:rsidR="002D407C" w:rsidRPr="002D407C" w:rsidTr="008D3034">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720" w:type="dxa"/>
            <w:tcBorders>
              <w:top w:val="nil"/>
              <w:left w:val="nil"/>
              <w:bottom w:val="single" w:sz="4" w:space="0" w:color="auto"/>
              <w:right w:val="single" w:sz="2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25</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21</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r>
      <w:tr w:rsidR="002D407C" w:rsidRPr="002D407C" w:rsidTr="008D3034">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1020" w:type="dxa"/>
            <w:tcBorders>
              <w:top w:val="nil"/>
              <w:left w:val="nil"/>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23</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204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w:t>
            </w:r>
            <w:proofErr w:type="spellStart"/>
            <w:r w:rsidRPr="002D407C">
              <w:rPr>
                <w:rFonts w:ascii="Calibri" w:eastAsia="Times New Roman" w:hAnsi="Calibri" w:cs="Times New Roman"/>
                <w:color w:val="000000"/>
                <w:sz w:val="20"/>
                <w:szCs w:val="20"/>
              </w:rPr>
              <w:t>renewables</w:t>
            </w:r>
            <w:proofErr w:type="spellEnd"/>
            <w:r w:rsidRPr="002D407C">
              <w:rPr>
                <w:rFonts w:ascii="Calibri" w:eastAsia="Times New Roman" w:hAnsi="Calibri" w:cs="Times New Roman"/>
                <w:color w:val="000000"/>
                <w:sz w:val="20"/>
                <w:szCs w:val="20"/>
              </w:rPr>
              <w:t xml:space="preserve">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720" w:type="dxa"/>
            <w:tcBorders>
              <w:top w:val="nil"/>
              <w:left w:val="nil"/>
              <w:bottom w:val="single" w:sz="4" w:space="0" w:color="auto"/>
              <w:right w:val="single" w:sz="2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25</w:t>
            </w:r>
          </w:p>
        </w:tc>
        <w:tc>
          <w:tcPr>
            <w:tcW w:w="1260" w:type="dxa"/>
            <w:tcBorders>
              <w:top w:val="nil"/>
              <w:left w:val="single" w:sz="24" w:space="0" w:color="auto"/>
              <w:bottom w:val="nil"/>
              <w:right w:val="nil"/>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single" w:sz="4" w:space="0" w:color="auto"/>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23</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000000" w:fill="D8D8D8"/>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 [Deleted.]</w:t>
            </w:r>
          </w:p>
        </w:tc>
        <w:tc>
          <w:tcPr>
            <w:tcW w:w="72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single" w:sz="4" w:space="0" w:color="auto"/>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76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1260" w:type="dxa"/>
            <w:tcBorders>
              <w:top w:val="nil"/>
              <w:left w:val="single" w:sz="24" w:space="0" w:color="auto"/>
              <w:bottom w:val="nil"/>
              <w:right w:val="nil"/>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single" w:sz="4" w:space="0" w:color="auto"/>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15</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c>
          <w:tcPr>
            <w:tcW w:w="1020" w:type="dxa"/>
            <w:tcBorders>
              <w:top w:val="nil"/>
              <w:left w:val="nil"/>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18</w:t>
            </w:r>
          </w:p>
        </w:tc>
      </w:tr>
      <w:tr w:rsidR="002D407C" w:rsidRPr="002D407C" w:rsidTr="008D3034">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9</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Price signal information, which could be an input to cost recovery, is needed by generators when making economic decisions on fuels and services in support of reliable service.</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10</w:t>
            </w:r>
          </w:p>
        </w:tc>
        <w:tc>
          <w:tcPr>
            <w:tcW w:w="1260" w:type="dxa"/>
            <w:tcBorders>
              <w:top w:val="single" w:sz="4" w:space="0" w:color="auto"/>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22</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1020" w:type="dxa"/>
            <w:tcBorders>
              <w:top w:val="nil"/>
              <w:left w:val="nil"/>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r>
      <w:tr w:rsidR="002D407C" w:rsidRPr="002D407C" w:rsidTr="008D3034">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10</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Incorporating use of LNG and storage facilities as peak shaving units can provide flexibility for power generation and expands the capability of the market in meeting demand for power.</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126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22</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1020" w:type="dxa"/>
            <w:tcBorders>
              <w:top w:val="nil"/>
              <w:left w:val="nil"/>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16</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c>
          <w:tcPr>
            <w:tcW w:w="8169" w:type="dxa"/>
            <w:tcBorders>
              <w:top w:val="nil"/>
              <w:left w:val="nil"/>
              <w:bottom w:val="single" w:sz="4" w:space="0" w:color="auto"/>
              <w:right w:val="single" w:sz="4" w:space="0" w:color="auto"/>
            </w:tcBorders>
            <w:shd w:val="clear" w:color="000000" w:fill="D8D8D8"/>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[Deleted.]</w:t>
            </w:r>
          </w:p>
        </w:tc>
        <w:tc>
          <w:tcPr>
            <w:tcW w:w="72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593"/>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proofErr w:type="gramStart"/>
            <w:r w:rsidRPr="002D407C">
              <w:rPr>
                <w:rFonts w:ascii="Calibri" w:eastAsia="Times New Roman" w:hAnsi="Calibri" w:cs="Times New Roman"/>
                <w:color w:val="000000"/>
                <w:sz w:val="20"/>
                <w:szCs w:val="20"/>
              </w:rPr>
              <w:t>Adequate lead times to secure the replacement capacity and energy is</w:t>
            </w:r>
            <w:proofErr w:type="gramEnd"/>
            <w:r w:rsidRPr="002D407C">
              <w:rPr>
                <w:rFonts w:ascii="Calibri" w:eastAsia="Times New Roman" w:hAnsi="Calibri" w:cs="Times New Roman"/>
                <w:color w:val="000000"/>
                <w:sz w:val="20"/>
                <w:szCs w:val="20"/>
              </w:rPr>
              <w:t xml:space="preserve"> needed in order to reliably address any stress that is introduced when generation units are retired or taken offline. </w:t>
            </w:r>
          </w:p>
        </w:tc>
        <w:tc>
          <w:tcPr>
            <w:tcW w:w="720" w:type="dxa"/>
            <w:tcBorders>
              <w:top w:val="nil"/>
              <w:left w:val="nil"/>
              <w:bottom w:val="single" w:sz="4" w:space="0" w:color="auto"/>
              <w:right w:val="single" w:sz="2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r>
      <w:tr w:rsidR="002D407C" w:rsidRPr="002D407C" w:rsidTr="008D3034">
        <w:trPr>
          <w:trHeight w:val="1313"/>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72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c>
          <w:tcPr>
            <w:tcW w:w="1020" w:type="dxa"/>
            <w:tcBorders>
              <w:top w:val="nil"/>
              <w:left w:val="nil"/>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r>
      <w:tr w:rsidR="002D407C" w:rsidRPr="002D407C" w:rsidTr="008D3034">
        <w:trPr>
          <w:trHeight w:val="2295"/>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15</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c>
          <w:tcPr>
            <w:tcW w:w="103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31</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0</w:t>
            </w:r>
          </w:p>
        </w:tc>
      </w:tr>
      <w:tr w:rsidR="002D407C" w:rsidRPr="002D407C" w:rsidTr="008D3034">
        <w:trPr>
          <w:trHeight w:val="102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16</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720" w:type="dxa"/>
            <w:tcBorders>
              <w:top w:val="nil"/>
              <w:left w:val="nil"/>
              <w:bottom w:val="single" w:sz="4" w:space="0" w:color="auto"/>
              <w:right w:val="single" w:sz="2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20</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19</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1020" w:type="dxa"/>
            <w:tcBorders>
              <w:top w:val="nil"/>
              <w:left w:val="nil"/>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r>
      <w:tr w:rsidR="002D407C" w:rsidRPr="002D407C" w:rsidTr="008D3034">
        <w:trPr>
          <w:trHeight w:val="153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17</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72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c>
          <w:tcPr>
            <w:tcW w:w="126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18</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12</w:t>
            </w:r>
          </w:p>
        </w:tc>
        <w:tc>
          <w:tcPr>
            <w:tcW w:w="1020" w:type="dxa"/>
            <w:tcBorders>
              <w:top w:val="nil"/>
              <w:left w:val="nil"/>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r>
      <w:tr w:rsidR="002D407C" w:rsidRPr="002D407C" w:rsidTr="008D3034">
        <w:trPr>
          <w:trHeight w:val="765"/>
        </w:trPr>
        <w:tc>
          <w:tcPr>
            <w:tcW w:w="417" w:type="dxa"/>
            <w:tcBorders>
              <w:top w:val="nil"/>
              <w:left w:val="single" w:sz="4" w:space="0" w:color="auto"/>
              <w:bottom w:val="nil"/>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519" w:type="dxa"/>
            <w:tcBorders>
              <w:top w:val="nil"/>
              <w:left w:val="nil"/>
              <w:bottom w:val="nil"/>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18</w:t>
            </w:r>
          </w:p>
        </w:tc>
        <w:tc>
          <w:tcPr>
            <w:tcW w:w="8169" w:type="dxa"/>
            <w:tcBorders>
              <w:top w:val="nil"/>
              <w:left w:val="nil"/>
              <w:bottom w:val="nil"/>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720" w:type="dxa"/>
            <w:tcBorders>
              <w:top w:val="nil"/>
              <w:left w:val="nil"/>
              <w:bottom w:val="nil"/>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c>
          <w:tcPr>
            <w:tcW w:w="1260" w:type="dxa"/>
            <w:tcBorders>
              <w:top w:val="nil"/>
              <w:left w:val="single" w:sz="24" w:space="0" w:color="auto"/>
              <w:bottom w:val="nil"/>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20</w:t>
            </w:r>
          </w:p>
        </w:tc>
        <w:tc>
          <w:tcPr>
            <w:tcW w:w="1260" w:type="dxa"/>
            <w:tcBorders>
              <w:top w:val="nil"/>
              <w:left w:val="nil"/>
              <w:bottom w:val="nil"/>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nil"/>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1020" w:type="dxa"/>
            <w:tcBorders>
              <w:top w:val="nil"/>
              <w:left w:val="nil"/>
              <w:bottom w:val="nil"/>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14</w:t>
            </w:r>
          </w:p>
        </w:tc>
      </w:tr>
      <w:tr w:rsidR="002D407C" w:rsidRPr="002D407C" w:rsidTr="008D3034">
        <w:trPr>
          <w:trHeight w:val="1605"/>
        </w:trPr>
        <w:tc>
          <w:tcPr>
            <w:tcW w:w="9105" w:type="dxa"/>
            <w:gridSpan w:val="3"/>
            <w:tcBorders>
              <w:top w:val="single" w:sz="4" w:space="0" w:color="auto"/>
              <w:left w:val="single" w:sz="4" w:space="0" w:color="auto"/>
              <w:bottom w:val="single" w:sz="4" w:space="0" w:color="auto"/>
              <w:right w:val="nil"/>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 Curtailment policies and practices are components of the interdependency of the two markets that impacts harmonization.  Curtailment is interruption of service that has been scheduled.</w:t>
            </w:r>
            <w:r w:rsidRPr="002D407C">
              <w:rPr>
                <w:rFonts w:ascii="Calibri" w:eastAsia="Times New Roman" w:hAnsi="Calibri" w:cs="Times New Roman"/>
                <w:color w:val="000000"/>
                <w:sz w:val="20"/>
                <w:szCs w:val="2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720" w:type="dxa"/>
            <w:tcBorders>
              <w:top w:val="single" w:sz="4" w:space="0" w:color="auto"/>
              <w:left w:val="nil"/>
              <w:bottom w:val="single" w:sz="4" w:space="0" w:color="auto"/>
              <w:right w:val="single" w:sz="24" w:space="0" w:color="auto"/>
            </w:tcBorders>
            <w:shd w:val="clear" w:color="auto" w:fill="auto"/>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single" w:sz="4" w:space="0" w:color="auto"/>
              <w:left w:val="single" w:sz="24" w:space="0" w:color="auto"/>
              <w:bottom w:val="single" w:sz="4" w:space="0" w:color="auto"/>
              <w:right w:val="nil"/>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single" w:sz="4" w:space="0" w:color="auto"/>
              <w:left w:val="nil"/>
              <w:bottom w:val="single" w:sz="4" w:space="0" w:color="auto"/>
              <w:right w:val="single" w:sz="2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single" w:sz="4" w:space="0" w:color="auto"/>
              <w:left w:val="single" w:sz="24" w:space="0" w:color="auto"/>
              <w:bottom w:val="single" w:sz="4" w:space="0" w:color="auto"/>
              <w:right w:val="nil"/>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51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Generators can introduce flexibility through the use of reserves and ancillary services, which is determined through regionally based decisions and considered part of market design.</w:t>
            </w:r>
          </w:p>
        </w:tc>
        <w:tc>
          <w:tcPr>
            <w:tcW w:w="72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c>
          <w:tcPr>
            <w:tcW w:w="126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17</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11</w:t>
            </w:r>
          </w:p>
        </w:tc>
      </w:tr>
      <w:tr w:rsidR="002D407C" w:rsidRPr="002D407C" w:rsidTr="008D3034">
        <w:trPr>
          <w:trHeight w:val="204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Most pipelines already offer a park-and-loan service that uses </w:t>
            </w:r>
            <w:proofErr w:type="spellStart"/>
            <w:r w:rsidRPr="002D407C">
              <w:rPr>
                <w:rFonts w:ascii="Calibri" w:eastAsia="Times New Roman" w:hAnsi="Calibri" w:cs="Times New Roman"/>
                <w:color w:val="000000"/>
                <w:sz w:val="20"/>
                <w:szCs w:val="20"/>
              </w:rPr>
              <w:t>linepack</w:t>
            </w:r>
            <w:proofErr w:type="spellEnd"/>
            <w:r w:rsidRPr="002D407C">
              <w:rPr>
                <w:rFonts w:ascii="Calibri" w:eastAsia="Times New Roman" w:hAnsi="Calibri" w:cs="Times New Roman"/>
                <w:color w:val="000000"/>
                <w:sz w:val="20"/>
                <w:szCs w:val="20"/>
              </w:rPr>
              <w:t xml:space="preserve"> in meeting intermittent capacity requirements and provides for greater market flexibility.  The flexibility provided by the use of non-ratable takes is made possible through the use of </w:t>
            </w:r>
            <w:proofErr w:type="spellStart"/>
            <w:r w:rsidRPr="002D407C">
              <w:rPr>
                <w:rFonts w:ascii="Calibri" w:eastAsia="Times New Roman" w:hAnsi="Calibri" w:cs="Times New Roman"/>
                <w:color w:val="000000"/>
                <w:sz w:val="20"/>
                <w:szCs w:val="20"/>
              </w:rPr>
              <w:t>linepack</w:t>
            </w:r>
            <w:proofErr w:type="spellEnd"/>
            <w:r w:rsidRPr="002D407C">
              <w:rPr>
                <w:rFonts w:ascii="Calibri" w:eastAsia="Times New Roman" w:hAnsi="Calibri" w:cs="Times New Roman"/>
                <w:color w:val="000000"/>
                <w:sz w:val="20"/>
                <w:szCs w:val="20"/>
              </w:rPr>
              <w:t xml:space="preserve">.  </w:t>
            </w:r>
            <w:proofErr w:type="spellStart"/>
            <w:r w:rsidRPr="002D407C">
              <w:rPr>
                <w:rFonts w:ascii="Calibri" w:eastAsia="Times New Roman" w:hAnsi="Calibri" w:cs="Times New Roman"/>
                <w:color w:val="000000"/>
                <w:sz w:val="20"/>
                <w:szCs w:val="20"/>
              </w:rPr>
              <w:t>Linepack</w:t>
            </w:r>
            <w:proofErr w:type="spellEnd"/>
            <w:r w:rsidRPr="002D407C">
              <w:rPr>
                <w:rFonts w:ascii="Calibri" w:eastAsia="Times New Roman" w:hAnsi="Calibri" w:cs="Times New Roman"/>
                <w:color w:val="000000"/>
                <w:sz w:val="20"/>
                <w:szCs w:val="20"/>
              </w:rPr>
              <w:t xml:space="preserve"> however may not be suitable to address issues that arise in peak day demand conditions for generators that have not already contracted for park-and-loan service or non-ratable takes. Taking </w:t>
            </w:r>
            <w:proofErr w:type="spellStart"/>
            <w:r w:rsidRPr="002D407C">
              <w:rPr>
                <w:rFonts w:ascii="Calibri" w:eastAsia="Times New Roman" w:hAnsi="Calibri" w:cs="Times New Roman"/>
                <w:color w:val="000000"/>
                <w:sz w:val="20"/>
                <w:szCs w:val="20"/>
              </w:rPr>
              <w:t>linepack</w:t>
            </w:r>
            <w:proofErr w:type="spellEnd"/>
            <w:r w:rsidRPr="002D407C">
              <w:rPr>
                <w:rFonts w:ascii="Calibri" w:eastAsia="Times New Roman" w:hAnsi="Calibri" w:cs="Times New Roman"/>
                <w:color w:val="000000"/>
                <w:sz w:val="20"/>
                <w:szCs w:val="20"/>
              </w:rPr>
              <w:t xml:space="preserve"> can impact the pipeline’s deliverability and cause the pipeline to shut down the unauthorized party to preserve the reliability of the system.  In addition, there may well be occasions when </w:t>
            </w:r>
            <w:proofErr w:type="spellStart"/>
            <w:r w:rsidRPr="002D407C">
              <w:rPr>
                <w:rFonts w:ascii="Calibri" w:eastAsia="Times New Roman" w:hAnsi="Calibri" w:cs="Times New Roman"/>
                <w:color w:val="000000"/>
                <w:sz w:val="20"/>
                <w:szCs w:val="20"/>
              </w:rPr>
              <w:t>linepack</w:t>
            </w:r>
            <w:proofErr w:type="spellEnd"/>
            <w:r w:rsidRPr="002D407C">
              <w:rPr>
                <w:rFonts w:ascii="Calibri" w:eastAsia="Times New Roman" w:hAnsi="Calibri" w:cs="Times New Roman"/>
                <w:color w:val="000000"/>
                <w:sz w:val="20"/>
                <w:szCs w:val="20"/>
              </w:rPr>
              <w:t xml:space="preserve"> is fully utilized to support other pipeline operations.</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10</w:t>
            </w:r>
          </w:p>
        </w:tc>
        <w:tc>
          <w:tcPr>
            <w:tcW w:w="1260" w:type="dxa"/>
            <w:tcBorders>
              <w:top w:val="nil"/>
              <w:left w:val="single" w:sz="24" w:space="0" w:color="auto"/>
              <w:bottom w:val="single" w:sz="4" w:space="0" w:color="auto"/>
              <w:right w:val="single" w:sz="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17</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1020" w:type="dxa"/>
            <w:tcBorders>
              <w:top w:val="nil"/>
              <w:left w:val="nil"/>
              <w:bottom w:val="single" w:sz="4" w:space="0" w:color="auto"/>
              <w:right w:val="single" w:sz="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13</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153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000000" w:fill="EEECE1"/>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Supply curtailment policies at the state level may need review, as well as state commissions’ use of base gas instead of operational capacity to address shortages.  Some generators may purchase gas from LDCs, and even those that purchase their own gas may be behind an LDC </w:t>
            </w:r>
            <w:proofErr w:type="spellStart"/>
            <w:r w:rsidRPr="002D407C">
              <w:rPr>
                <w:rFonts w:ascii="Calibri" w:eastAsia="Times New Roman" w:hAnsi="Calibri" w:cs="Times New Roman"/>
                <w:color w:val="000000"/>
                <w:sz w:val="20"/>
                <w:szCs w:val="20"/>
              </w:rPr>
              <w:t>citygate</w:t>
            </w:r>
            <w:proofErr w:type="spellEnd"/>
            <w:r w:rsidRPr="002D407C">
              <w:rPr>
                <w:rFonts w:ascii="Calibri" w:eastAsia="Times New Roman" w:hAnsi="Calibri" w:cs="Times New Roman"/>
                <w:color w:val="000000"/>
                <w:sz w:val="20"/>
                <w:szCs w:val="20"/>
              </w:rPr>
              <w:t xml:space="preserve"> and its transportation policies.  LDCs may use end use curtailment to support residential demand.   Storage factors into curtailment policies if it is behind the city gate, and may relieve constraints that could occur during peak periods.</w:t>
            </w:r>
          </w:p>
        </w:tc>
        <w:tc>
          <w:tcPr>
            <w:tcW w:w="720" w:type="dxa"/>
            <w:tcBorders>
              <w:top w:val="nil"/>
              <w:left w:val="nil"/>
              <w:bottom w:val="single" w:sz="4" w:space="0" w:color="auto"/>
              <w:right w:val="single" w:sz="24" w:space="0" w:color="auto"/>
            </w:tcBorders>
            <w:shd w:val="clear" w:color="000000" w:fill="92D05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30</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rPr>
                <w:rFonts w:ascii="Calibri" w:eastAsia="Times New Roman" w:hAnsi="Calibri" w:cs="Times New Roman"/>
                <w:color w:val="000000"/>
              </w:rPr>
            </w:pPr>
            <w:r w:rsidRPr="002D407C">
              <w:rPr>
                <w:rFonts w:ascii="Calibri" w:eastAsia="Times New Roman" w:hAnsi="Calibri" w:cs="Times New Roman"/>
                <w:color w:val="000000"/>
              </w:rPr>
              <w:t> </w:t>
            </w:r>
          </w:p>
        </w:tc>
        <w:tc>
          <w:tcPr>
            <w:tcW w:w="1260" w:type="dxa"/>
            <w:tcBorders>
              <w:top w:val="nil"/>
              <w:left w:val="nil"/>
              <w:bottom w:val="single" w:sz="4" w:space="0" w:color="auto"/>
              <w:right w:val="single" w:sz="24" w:space="0" w:color="auto"/>
            </w:tcBorders>
            <w:shd w:val="clear" w:color="000000" w:fill="FFFF00"/>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6</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519" w:type="dxa"/>
            <w:tcBorders>
              <w:top w:val="nil"/>
              <w:left w:val="nil"/>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c>
          <w:tcPr>
            <w:tcW w:w="8169" w:type="dxa"/>
            <w:tcBorders>
              <w:top w:val="nil"/>
              <w:left w:val="nil"/>
              <w:bottom w:val="single" w:sz="4" w:space="0" w:color="auto"/>
              <w:right w:val="single" w:sz="4" w:space="0" w:color="auto"/>
            </w:tcBorders>
            <w:shd w:val="clear" w:color="000000" w:fill="D8D8D8"/>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[Deleted – combined with observation 3-3.]</w:t>
            </w:r>
          </w:p>
        </w:tc>
        <w:tc>
          <w:tcPr>
            <w:tcW w:w="72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1080"/>
        </w:trPr>
        <w:tc>
          <w:tcPr>
            <w:tcW w:w="9105" w:type="dxa"/>
            <w:gridSpan w:val="3"/>
            <w:tcBorders>
              <w:top w:val="single" w:sz="4" w:space="0" w:color="auto"/>
              <w:left w:val="single" w:sz="4" w:space="0" w:color="auto"/>
              <w:bottom w:val="single" w:sz="4" w:space="0" w:color="auto"/>
              <w:right w:val="single" w:sz="4" w:space="0" w:color="000000"/>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  Additional and more formal structure for communications of the parties in the gas and electric markets is needed, particularly for unanticipated demand situations.</w:t>
            </w:r>
            <w:r w:rsidRPr="002D407C">
              <w:rPr>
                <w:rFonts w:ascii="Calibri" w:eastAsia="Times New Roman" w:hAnsi="Calibri" w:cs="Times New Roman"/>
                <w:color w:val="000000"/>
                <w:sz w:val="20"/>
                <w:szCs w:val="20"/>
              </w:rPr>
              <w:br/>
              <w:t>Core Issue: Should NAESB examine a more comprehensive approach to communications between the two markets and among participants in each of the markets as the communications impact the interdependency of the markets?</w:t>
            </w:r>
          </w:p>
        </w:tc>
        <w:tc>
          <w:tcPr>
            <w:tcW w:w="720" w:type="dxa"/>
            <w:tcBorders>
              <w:top w:val="nil"/>
              <w:left w:val="nil"/>
              <w:bottom w:val="single" w:sz="4" w:space="0" w:color="auto"/>
              <w:right w:val="single" w:sz="2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0</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1</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2</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3</w:t>
            </w:r>
          </w:p>
        </w:tc>
        <w:tc>
          <w:tcPr>
            <w:tcW w:w="8169" w:type="dxa"/>
            <w:tcBorders>
              <w:top w:val="nil"/>
              <w:left w:val="nil"/>
              <w:bottom w:val="single" w:sz="4" w:space="0" w:color="auto"/>
              <w:right w:val="single" w:sz="4" w:space="0" w:color="auto"/>
            </w:tcBorders>
            <w:shd w:val="clear" w:color="000000" w:fill="D8D8D8"/>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xml:space="preserve"> [Deleted – replaced by 4-0.]</w:t>
            </w:r>
          </w:p>
        </w:tc>
        <w:tc>
          <w:tcPr>
            <w:tcW w:w="72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5</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6</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7</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00"/>
        </w:trPr>
        <w:tc>
          <w:tcPr>
            <w:tcW w:w="417" w:type="dxa"/>
            <w:tcBorders>
              <w:top w:val="nil"/>
              <w:left w:val="single" w:sz="4" w:space="0" w:color="auto"/>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EEECE1"/>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8</w:t>
            </w:r>
          </w:p>
        </w:tc>
        <w:tc>
          <w:tcPr>
            <w:tcW w:w="8169" w:type="dxa"/>
            <w:tcBorders>
              <w:top w:val="nil"/>
              <w:left w:val="nil"/>
              <w:bottom w:val="single" w:sz="4" w:space="0" w:color="auto"/>
              <w:right w:val="single" w:sz="4" w:space="0" w:color="auto"/>
            </w:tcBorders>
            <w:shd w:val="clear" w:color="auto" w:fill="auto"/>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72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4" w:space="0" w:color="auto"/>
              <w:right w:val="single" w:sz="2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r w:rsidR="002D407C" w:rsidRPr="002D407C" w:rsidTr="008D3034">
        <w:trPr>
          <w:trHeight w:val="315"/>
        </w:trPr>
        <w:tc>
          <w:tcPr>
            <w:tcW w:w="417" w:type="dxa"/>
            <w:tcBorders>
              <w:top w:val="nil"/>
              <w:left w:val="single" w:sz="4" w:space="0" w:color="auto"/>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4</w:t>
            </w:r>
          </w:p>
        </w:tc>
        <w:tc>
          <w:tcPr>
            <w:tcW w:w="519" w:type="dxa"/>
            <w:tcBorders>
              <w:top w:val="nil"/>
              <w:left w:val="nil"/>
              <w:bottom w:val="single" w:sz="4" w:space="0" w:color="auto"/>
              <w:right w:val="single" w:sz="4" w:space="0" w:color="auto"/>
            </w:tcBorders>
            <w:shd w:val="clear" w:color="000000" w:fill="D8D8D8"/>
            <w:noWrap/>
            <w:vAlign w:val="bottom"/>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9</w:t>
            </w:r>
          </w:p>
        </w:tc>
        <w:tc>
          <w:tcPr>
            <w:tcW w:w="8169" w:type="dxa"/>
            <w:tcBorders>
              <w:top w:val="nil"/>
              <w:left w:val="nil"/>
              <w:bottom w:val="single" w:sz="4" w:space="0" w:color="auto"/>
              <w:right w:val="single" w:sz="4" w:space="0" w:color="auto"/>
            </w:tcBorders>
            <w:shd w:val="clear" w:color="000000" w:fill="D8D8D8"/>
            <w:hideMark/>
          </w:tcPr>
          <w:p w:rsidR="002D407C" w:rsidRPr="002D407C" w:rsidRDefault="002D407C" w:rsidP="002D407C">
            <w:pPr>
              <w:spacing w:after="0" w:line="240" w:lineRule="auto"/>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Deleted.</w:t>
            </w:r>
          </w:p>
        </w:tc>
        <w:tc>
          <w:tcPr>
            <w:tcW w:w="720" w:type="dxa"/>
            <w:tcBorders>
              <w:top w:val="nil"/>
              <w:left w:val="nil"/>
              <w:bottom w:val="single" w:sz="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single" w:sz="24" w:space="0" w:color="auto"/>
              <w:bottom w:val="single" w:sz="2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260" w:type="dxa"/>
            <w:tcBorders>
              <w:top w:val="nil"/>
              <w:left w:val="nil"/>
              <w:bottom w:val="single" w:sz="24" w:space="0" w:color="auto"/>
              <w:right w:val="single" w:sz="2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30" w:type="dxa"/>
            <w:tcBorders>
              <w:top w:val="nil"/>
              <w:left w:val="single" w:sz="24" w:space="0" w:color="auto"/>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000000" w:fill="D8D8D8"/>
            <w:noWrap/>
            <w:hideMark/>
          </w:tcPr>
          <w:p w:rsidR="002D407C" w:rsidRPr="002D407C" w:rsidRDefault="002D407C" w:rsidP="002D407C">
            <w:pPr>
              <w:spacing w:after="0" w:line="240" w:lineRule="auto"/>
              <w:jc w:val="center"/>
              <w:rPr>
                <w:rFonts w:ascii="Calibri" w:eastAsia="Times New Roman" w:hAnsi="Calibri" w:cs="Times New Roman"/>
                <w:color w:val="000000"/>
                <w:sz w:val="20"/>
                <w:szCs w:val="20"/>
              </w:rPr>
            </w:pPr>
            <w:r w:rsidRPr="002D407C">
              <w:rPr>
                <w:rFonts w:ascii="Calibri" w:eastAsia="Times New Roman" w:hAnsi="Calibri" w:cs="Times New Roman"/>
                <w:color w:val="000000"/>
                <w:sz w:val="20"/>
                <w:szCs w:val="20"/>
              </w:rPr>
              <w:t> </w:t>
            </w:r>
          </w:p>
        </w:tc>
      </w:tr>
    </w:tbl>
    <w:p w:rsidR="00114981" w:rsidRPr="007B0F3E" w:rsidRDefault="00114981" w:rsidP="002D407C">
      <w:pPr>
        <w:rPr>
          <w:sz w:val="20"/>
          <w:szCs w:val="20"/>
        </w:rPr>
      </w:pPr>
    </w:p>
    <w:sectPr w:rsidR="00114981" w:rsidRPr="007B0F3E" w:rsidSect="00662EA3">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A3" w:rsidRDefault="009110A3" w:rsidP="007914CA">
      <w:pPr>
        <w:spacing w:after="0" w:line="240" w:lineRule="auto"/>
      </w:pPr>
      <w:r>
        <w:separator/>
      </w:r>
    </w:p>
  </w:endnote>
  <w:endnote w:type="continuationSeparator" w:id="0">
    <w:p w:rsidR="009110A3" w:rsidRDefault="009110A3" w:rsidP="0079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NAESB GEH Survey, April 26, 2012</w:t>
    </w:r>
  </w:p>
  <w:p w:rsidR="009110A3" w:rsidRPr="00FA5DDA" w:rsidRDefault="009110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 xml:space="preserve">Page </w:t>
    </w:r>
    <w:r w:rsidR="00CD6408" w:rsidRPr="00FA5DDA">
      <w:rPr>
        <w:rFonts w:ascii="Times New Roman" w:hAnsi="Times New Roman" w:cs="Times New Roman"/>
        <w:sz w:val="20"/>
        <w:szCs w:val="20"/>
      </w:rPr>
      <w:fldChar w:fldCharType="begin"/>
    </w:r>
    <w:r w:rsidRPr="00FA5DDA">
      <w:rPr>
        <w:rFonts w:ascii="Times New Roman" w:hAnsi="Times New Roman" w:cs="Times New Roman"/>
        <w:sz w:val="20"/>
        <w:szCs w:val="20"/>
      </w:rPr>
      <w:instrText xml:space="preserve"> PAGE   \* MERGEFORMAT </w:instrText>
    </w:r>
    <w:r w:rsidR="00CD6408" w:rsidRPr="00FA5DDA">
      <w:rPr>
        <w:rFonts w:ascii="Times New Roman" w:hAnsi="Times New Roman" w:cs="Times New Roman"/>
        <w:sz w:val="20"/>
        <w:szCs w:val="20"/>
      </w:rPr>
      <w:fldChar w:fldCharType="separate"/>
    </w:r>
    <w:r w:rsidR="008D3034">
      <w:rPr>
        <w:rFonts w:ascii="Times New Roman" w:hAnsi="Times New Roman" w:cs="Times New Roman"/>
        <w:noProof/>
        <w:sz w:val="20"/>
        <w:szCs w:val="20"/>
      </w:rPr>
      <w:t>1</w:t>
    </w:r>
    <w:r w:rsidR="00CD6408" w:rsidRPr="00FA5DDA">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sidR="00CD6408">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sidR="00CD6408">
      <w:rPr>
        <w:rFonts w:ascii="Times New Roman" w:hAnsi="Times New Roman" w:cs="Times New Roman"/>
        <w:noProof/>
        <w:sz w:val="20"/>
        <w:szCs w:val="20"/>
      </w:rPr>
      <w:fldChar w:fldCharType="separate"/>
    </w:r>
    <w:r w:rsidR="008D3034">
      <w:rPr>
        <w:rFonts w:ascii="Times New Roman" w:hAnsi="Times New Roman" w:cs="Times New Roman"/>
        <w:noProof/>
        <w:sz w:val="20"/>
        <w:szCs w:val="20"/>
      </w:rPr>
      <w:t>7</w:t>
    </w:r>
    <w:r w:rsidR="00CD6408">
      <w:rPr>
        <w:rFonts w:ascii="Times New Roman" w:hAnsi="Times New Roman" w:cs="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A3" w:rsidRDefault="009110A3" w:rsidP="007914CA">
      <w:pPr>
        <w:spacing w:after="0" w:line="240" w:lineRule="auto"/>
      </w:pPr>
      <w:r>
        <w:separator/>
      </w:r>
    </w:p>
  </w:footnote>
  <w:footnote w:type="continuationSeparator" w:id="0">
    <w:p w:rsidR="009110A3" w:rsidRDefault="009110A3" w:rsidP="0079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0A3" w:rsidRDefault="009110A3" w:rsidP="007914CA">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3700" b="24203"/>
                  <a:stretch>
                    <a:fillRect/>
                  </a:stretch>
                </pic:blipFill>
                <pic:spPr bwMode="auto">
                  <a:xfrm>
                    <a:off x="0" y="0"/>
                    <a:ext cx="981710" cy="1133475"/>
                  </a:xfrm>
                  <a:prstGeom prst="rect">
                    <a:avLst/>
                  </a:prstGeom>
                  <a:noFill/>
                </pic:spPr>
              </pic:pic>
            </a:graphicData>
          </a:graphic>
        </wp:anchor>
      </w:drawing>
    </w:r>
  </w:p>
  <w:p w:rsidR="009110A3" w:rsidRDefault="009110A3" w:rsidP="007914CA">
    <w:pPr>
      <w:pStyle w:val="Header"/>
      <w:tabs>
        <w:tab w:val="left" w:pos="1080"/>
      </w:tabs>
      <w:ind w:left="2160"/>
      <w:rPr>
        <w:rFonts w:ascii="Bookman Old Style" w:hAnsi="Bookman Old Style"/>
        <w:b/>
        <w:sz w:val="28"/>
      </w:rPr>
    </w:pPr>
  </w:p>
  <w:p w:rsidR="009110A3" w:rsidRDefault="009110A3" w:rsidP="007914CA">
    <w:pPr>
      <w:pStyle w:val="Header"/>
      <w:tabs>
        <w:tab w:val="left" w:pos="1080"/>
      </w:tabs>
      <w:ind w:left="1800"/>
      <w:jc w:val="right"/>
      <w:rPr>
        <w:b/>
        <w:spacing w:val="20"/>
        <w:sz w:val="32"/>
      </w:rPr>
    </w:pPr>
    <w:r>
      <w:rPr>
        <w:b/>
        <w:spacing w:val="20"/>
        <w:sz w:val="32"/>
      </w:rPr>
      <w:t>North American Energy Standards Board</w:t>
    </w:r>
  </w:p>
  <w:p w:rsidR="009110A3" w:rsidRDefault="009110A3" w:rsidP="007914CA">
    <w:pPr>
      <w:pStyle w:val="Header"/>
      <w:tabs>
        <w:tab w:val="left" w:pos="680"/>
        <w:tab w:val="right" w:pos="9810"/>
      </w:tabs>
      <w:spacing w:before="60"/>
      <w:ind w:left="1800"/>
      <w:jc w:val="right"/>
    </w:pPr>
    <w:r>
      <w:t>801 Travis, Suite 1675, Houston, Texas 77002</w:t>
    </w:r>
  </w:p>
  <w:p w:rsidR="009110A3" w:rsidRDefault="009110A3" w:rsidP="007914CA">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9110A3" w:rsidRDefault="009110A3" w:rsidP="007914C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9110A3" w:rsidRDefault="009110A3" w:rsidP="007914CA">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210E"/>
    <w:rsid w:val="00022236"/>
    <w:rsid w:val="00024C42"/>
    <w:rsid w:val="0003768B"/>
    <w:rsid w:val="00041C02"/>
    <w:rsid w:val="000472AD"/>
    <w:rsid w:val="00091CFD"/>
    <w:rsid w:val="000A084B"/>
    <w:rsid w:val="000A5890"/>
    <w:rsid w:val="000B7BBE"/>
    <w:rsid w:val="00104318"/>
    <w:rsid w:val="00114981"/>
    <w:rsid w:val="00126565"/>
    <w:rsid w:val="001704B9"/>
    <w:rsid w:val="001B37C2"/>
    <w:rsid w:val="001D5CC2"/>
    <w:rsid w:val="001E72E8"/>
    <w:rsid w:val="00200117"/>
    <w:rsid w:val="002071B9"/>
    <w:rsid w:val="00250E2C"/>
    <w:rsid w:val="00256AB0"/>
    <w:rsid w:val="00261C52"/>
    <w:rsid w:val="0027502F"/>
    <w:rsid w:val="002A0F47"/>
    <w:rsid w:val="002A2274"/>
    <w:rsid w:val="002C7A30"/>
    <w:rsid w:val="002D407C"/>
    <w:rsid w:val="002E5E3F"/>
    <w:rsid w:val="002F1174"/>
    <w:rsid w:val="00326F95"/>
    <w:rsid w:val="003438C4"/>
    <w:rsid w:val="00364C66"/>
    <w:rsid w:val="00376D8B"/>
    <w:rsid w:val="00384FBA"/>
    <w:rsid w:val="003B6EA0"/>
    <w:rsid w:val="003D28B1"/>
    <w:rsid w:val="003D4EAD"/>
    <w:rsid w:val="00424A8B"/>
    <w:rsid w:val="004305A6"/>
    <w:rsid w:val="00477D93"/>
    <w:rsid w:val="0048679D"/>
    <w:rsid w:val="004A3DDF"/>
    <w:rsid w:val="004B4960"/>
    <w:rsid w:val="004B6884"/>
    <w:rsid w:val="004C2519"/>
    <w:rsid w:val="004F3034"/>
    <w:rsid w:val="004F4B9A"/>
    <w:rsid w:val="00506050"/>
    <w:rsid w:val="005346CA"/>
    <w:rsid w:val="00545838"/>
    <w:rsid w:val="00557402"/>
    <w:rsid w:val="0056685D"/>
    <w:rsid w:val="005B61B0"/>
    <w:rsid w:val="005E1510"/>
    <w:rsid w:val="00602F2F"/>
    <w:rsid w:val="006101DC"/>
    <w:rsid w:val="00613711"/>
    <w:rsid w:val="00632759"/>
    <w:rsid w:val="00636C67"/>
    <w:rsid w:val="00660530"/>
    <w:rsid w:val="00662EA3"/>
    <w:rsid w:val="006735EB"/>
    <w:rsid w:val="006B0C05"/>
    <w:rsid w:val="006E1DE3"/>
    <w:rsid w:val="006E7954"/>
    <w:rsid w:val="006F5257"/>
    <w:rsid w:val="007329BC"/>
    <w:rsid w:val="00742DD2"/>
    <w:rsid w:val="007914CA"/>
    <w:rsid w:val="0079476A"/>
    <w:rsid w:val="007A3CD8"/>
    <w:rsid w:val="007A425F"/>
    <w:rsid w:val="007B0078"/>
    <w:rsid w:val="007B0F3E"/>
    <w:rsid w:val="007C4A8E"/>
    <w:rsid w:val="0084661B"/>
    <w:rsid w:val="00861C3A"/>
    <w:rsid w:val="00873F64"/>
    <w:rsid w:val="008A5286"/>
    <w:rsid w:val="008A60B4"/>
    <w:rsid w:val="008B0D1E"/>
    <w:rsid w:val="008B1ED1"/>
    <w:rsid w:val="008B5E7C"/>
    <w:rsid w:val="008C78F6"/>
    <w:rsid w:val="008D3034"/>
    <w:rsid w:val="008D65FF"/>
    <w:rsid w:val="008F3391"/>
    <w:rsid w:val="00900B3B"/>
    <w:rsid w:val="00903A5F"/>
    <w:rsid w:val="009110A3"/>
    <w:rsid w:val="00912369"/>
    <w:rsid w:val="00953182"/>
    <w:rsid w:val="00962CEB"/>
    <w:rsid w:val="00964E85"/>
    <w:rsid w:val="009A21BB"/>
    <w:rsid w:val="009A585C"/>
    <w:rsid w:val="009B4F90"/>
    <w:rsid w:val="009C5657"/>
    <w:rsid w:val="009D27C8"/>
    <w:rsid w:val="00A056B8"/>
    <w:rsid w:val="00A13112"/>
    <w:rsid w:val="00A36C94"/>
    <w:rsid w:val="00A4020B"/>
    <w:rsid w:val="00A42409"/>
    <w:rsid w:val="00A43174"/>
    <w:rsid w:val="00A71CF4"/>
    <w:rsid w:val="00AB1389"/>
    <w:rsid w:val="00AB210E"/>
    <w:rsid w:val="00AF6BCB"/>
    <w:rsid w:val="00B15FCE"/>
    <w:rsid w:val="00B17C84"/>
    <w:rsid w:val="00B2149E"/>
    <w:rsid w:val="00B36E91"/>
    <w:rsid w:val="00B83AEB"/>
    <w:rsid w:val="00C07FC9"/>
    <w:rsid w:val="00C10A27"/>
    <w:rsid w:val="00C165AF"/>
    <w:rsid w:val="00C37F5C"/>
    <w:rsid w:val="00C5503A"/>
    <w:rsid w:val="00C768A9"/>
    <w:rsid w:val="00C93404"/>
    <w:rsid w:val="00CB2816"/>
    <w:rsid w:val="00CB698E"/>
    <w:rsid w:val="00CC2500"/>
    <w:rsid w:val="00CD6408"/>
    <w:rsid w:val="00CD67A4"/>
    <w:rsid w:val="00CE0B15"/>
    <w:rsid w:val="00CE20FE"/>
    <w:rsid w:val="00D00C5E"/>
    <w:rsid w:val="00D24450"/>
    <w:rsid w:val="00DC6716"/>
    <w:rsid w:val="00E301B6"/>
    <w:rsid w:val="00E31545"/>
    <w:rsid w:val="00EB2315"/>
    <w:rsid w:val="00EC2CA0"/>
    <w:rsid w:val="00ED0B60"/>
    <w:rsid w:val="00EE75C8"/>
    <w:rsid w:val="00EF7D6F"/>
    <w:rsid w:val="00F16E3B"/>
    <w:rsid w:val="00F40058"/>
    <w:rsid w:val="00F41497"/>
    <w:rsid w:val="00F42F0E"/>
    <w:rsid w:val="00F53E33"/>
    <w:rsid w:val="00F930F5"/>
    <w:rsid w:val="00F97DA7"/>
    <w:rsid w:val="00FA5DDA"/>
    <w:rsid w:val="00FC1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02331665">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555052371">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1921131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133451889">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2431810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461915966">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592279750">
      <w:bodyDiv w:val="1"/>
      <w:marLeft w:val="0"/>
      <w:marRight w:val="0"/>
      <w:marTop w:val="0"/>
      <w:marBottom w:val="0"/>
      <w:divBdr>
        <w:top w:val="none" w:sz="0" w:space="0" w:color="auto"/>
        <w:left w:val="none" w:sz="0" w:space="0" w:color="auto"/>
        <w:bottom w:val="none" w:sz="0" w:space="0" w:color="auto"/>
        <w:right w:val="none" w:sz="0" w:space="0" w:color="auto"/>
      </w:divBdr>
    </w:div>
    <w:div w:id="1638951925">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688365503">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 w:id="2102870209">
      <w:bodyDiv w:val="1"/>
      <w:marLeft w:val="0"/>
      <w:marRight w:val="0"/>
      <w:marTop w:val="0"/>
      <w:marBottom w:val="0"/>
      <w:divBdr>
        <w:top w:val="none" w:sz="0" w:space="0" w:color="auto"/>
        <w:left w:val="none" w:sz="0" w:space="0" w:color="auto"/>
        <w:bottom w:val="none" w:sz="0" w:space="0" w:color="auto"/>
        <w:right w:val="none" w:sz="0" w:space="0" w:color="auto"/>
      </w:divBdr>
    </w:div>
    <w:div w:id="212279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7A98-8BD5-4D44-A576-8F45DA55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 McQuade</dc:creator>
  <cp:lastModifiedBy>Employee of</cp:lastModifiedBy>
  <cp:revision>7</cp:revision>
  <cp:lastPrinted>2012-05-18T14:33:00Z</cp:lastPrinted>
  <dcterms:created xsi:type="dcterms:W3CDTF">2012-05-23T14:58:00Z</dcterms:created>
  <dcterms:modified xsi:type="dcterms:W3CDTF">2012-05-23T18:09:00Z</dcterms:modified>
</cp:coreProperties>
</file>